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onscreen_revaluation.py-overview"/>
    <w:p>
      <w:pPr>
        <w:pStyle w:val="Heading1"/>
      </w:pPr>
      <w:r>
        <w:t xml:space="preserve">onscreen_revaluation.py — Overview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revaluation/onscreen_revaluation.py</w:t>
      </w:r>
      <w:r>
        <w:t xml:space="preserve"> </w:t>
      </w:r>
      <w:r>
        <w:t xml:space="preserve">(1,727 lines, 22</w:t>
      </w:r>
      <w:r>
        <w:t xml:space="preserve"> </w:t>
      </w:r>
      <w:r>
        <w:t xml:space="preserve">classes) URL mapping:</w:t>
      </w:r>
      <w:r>
        <w:t xml:space="preserve"> </w:t>
      </w:r>
      <w:r>
        <w:rPr>
          <w:rStyle w:val="VerbatimChar"/>
        </w:rPr>
        <w:t xml:space="preserve">revaluation/urls.py</w:t>
      </w:r>
    </w:p>
    <w:p>
      <w:pPr>
        <w:pStyle w:val="BodyText"/>
      </w:pPr>
      <w:r>
        <w:t xml:space="preserve">Split into grouped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files, per the agreed convention for very</w:t>
      </w:r>
      <w:r>
        <w:t xml:space="preserve"> </w:t>
      </w:r>
      <w:r>
        <w:t xml:space="preserve">large files.</w:t>
      </w:r>
    </w:p>
    <w:bookmarkStart w:id="20" w:name="what-this-source-file-is-for"/>
    <w:p>
      <w:pPr>
        <w:pStyle w:val="Heading2"/>
      </w:pPr>
      <w:r>
        <w:t xml:space="preserve">What this source file is for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</w:t>
      </w:r>
      <w:r>
        <w:t xml:space="preserve">onscreen</w:t>
      </w:r>
      <w:r>
        <w:t xml:space="preserve">”</w:t>
      </w:r>
      <w:r>
        <w:t xml:space="preserve"> </w:t>
      </w:r>
      <w:r>
        <w:t xml:space="preserve">revaluation flow — distributing revaluation bundles to</w:t>
      </w:r>
      <w:r>
        <w:t xml:space="preserve"> </w:t>
      </w:r>
      <w:r>
        <w:t xml:space="preserve">examiners for on-screen (rather than physical-scan) evaluation,</w:t>
      </w:r>
      <w:r>
        <w:t xml:space="preserve"> </w:t>
      </w:r>
      <w:r>
        <w:t xml:space="preserve">across all three levels, plus accepting bundles at a camp and</w:t>
      </w:r>
      <w:r>
        <w:t xml:space="preserve"> </w:t>
      </w:r>
      <w:r>
        <w:t xml:space="preserve">converting a normal answer sheet into a scannable revaluation bundle.</w:t>
      </w:r>
      <w:r>
        <w:t xml:space="preserve"> </w:t>
      </w:r>
      <w:r>
        <w:t xml:space="preserve">Structurally, most of this file repeats the same shape three times —</w:t>
      </w:r>
      <w:r>
        <w:t xml:space="preserve"> </w:t>
      </w:r>
      <w:r>
        <w:t xml:space="preserve">once per evaluation level — so this documentation covers Level 1 in</w:t>
      </w:r>
      <w:r>
        <w:t xml:space="preserve"> </w:t>
      </w:r>
      <w:r>
        <w:t xml:space="preserve">full and cross-references Level 2/3 as near-duplicates, giving full</w:t>
      </w:r>
      <w:r>
        <w:t xml:space="preserve"> </w:t>
      </w:r>
      <w:r>
        <w:t xml:space="preserve">individual treatment only to the classes that aren’t part of that</w:t>
      </w:r>
      <w:r>
        <w:t xml:space="preserve"> </w:t>
      </w:r>
      <w:r>
        <w:t xml:space="preserve">three-way repetition.</w:t>
      </w:r>
    </w:p>
    <w:bookmarkEnd w:id="20"/>
    <w:bookmarkStart w:id="21" w:name="documents-in-this-group"/>
    <w:p>
      <w:pPr>
        <w:pStyle w:val="Heading2"/>
      </w:pPr>
      <w:r>
        <w:t xml:space="preserve">Documents in this group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01-level1-distribution.docx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OnscreenRevaluationDistribution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OnscreenRevaluationDistributionBundleCourse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OnscreenRevaluationDistributionBundleCamp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OnscreenRevaluationDistributionExaminerList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OnscreenRevaluationDistributionEqualBundleCreation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OnscreenRevaluationDistributionSingleBundleCreation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02-level2-and-level3-distribution.docx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Level 2/3 counterparts —</w:t>
            </w:r>
            <w:r>
              <w:t xml:space="preserve"> </w:t>
            </w:r>
            <w:r>
              <w:rPr>
                <w:rStyle w:val="VerbatimChar"/>
              </w:rPr>
              <w:t xml:space="preserve">OnscreenRevaluationDistributionSecondLevel</w:t>
            </w:r>
            <w:r>
              <w:t xml:space="preserve"> </w:t>
            </w:r>
            <w:r>
              <w:t xml:space="preserve">and siblings,</w:t>
            </w:r>
            <w:r>
              <w:t xml:space="preserve"> </w:t>
            </w:r>
            <w:r>
              <w:rPr>
                <w:rStyle w:val="VerbatimChar"/>
              </w:rPr>
              <w:t xml:space="preserve">OnscreenRevaluationDistributionThirdLevel</w:t>
            </w:r>
            <w:r>
              <w:t xml:space="preserve"> </w:t>
            </w:r>
            <w:r>
              <w:t xml:space="preserve">and siblings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03-bundle-accept.docx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RevaluationBundleAccept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RevaluationBundleSubCamp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RevaluationBundleCampSchedule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RevaluationBundlesFetch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04-onscreen-conversion-and-scanning.docx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RevaluationOnscreenBundle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RevaluationOnscreenExamDetails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RevaluationQRScannedAnswerSheets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ScannedBundleInformation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CandidateBundleCrossCheck</w:t>
            </w:r>
          </w:p>
        </w:tc>
      </w:tr>
    </w:tbl>
    <w:bookmarkEnd w:id="21"/>
    <w:bookmarkStart w:id="22" w:name="X5372dd349c21599b90d363baed51a28c6e32585"/>
    <w:p>
      <w:pPr>
        <w:pStyle w:val="Heading2"/>
      </w:pPr>
      <w:r>
        <w:t xml:space="preserve">The single most important thing to understand about this file</w:t>
      </w:r>
    </w:p>
    <w:p>
      <w:pPr>
        <w:pStyle w:val="FirstParagraph"/>
      </w:pPr>
      <w:r>
        <w:rPr>
          <w:rStyle w:val="VerbatimChar"/>
          <w:bCs/>
          <w:b/>
        </w:rPr>
        <w:t xml:space="preserve">OnscreenRevaluationDistributionSingleBundleCreation</w:t>
      </w:r>
      <w:r>
        <w:rPr>
          <w:bCs/>
          <w:b/>
        </w:rPr>
        <w:t xml:space="preserve">’s per-examiner</w:t>
      </w:r>
      <w:r>
        <w:rPr>
          <w:bCs/>
          <w:b/>
        </w:rPr>
        <w:t xml:space="preserve"> </w:t>
      </w:r>
      <w:r>
        <w:rPr>
          <w:bCs/>
          <w:b/>
        </w:rPr>
        <w:t xml:space="preserve">candidate cap doesn’t actually work — every eligible candidate gets</w:t>
      </w:r>
      <w:r>
        <w:rPr>
          <w:bCs/>
          <w:b/>
        </w:rPr>
        <w:t xml:space="preserve"> </w:t>
      </w:r>
      <w:r>
        <w:rPr>
          <w:bCs/>
          <w:b/>
        </w:rPr>
        <w:t xml:space="preserve">allocated regardless of the requested limit.</w:t>
      </w:r>
    </w:p>
    <w:p>
      <w:pPr>
        <w:pStyle w:val="SourceCode"/>
      </w:pPr>
      <w:r>
        <w:rPr>
          <w:rStyle w:val="NormalTok"/>
        </w:rPr>
        <w:t xml:space="preserve">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max_count:</w:t>
      </w:r>
      <w:r>
        <w:br/>
      </w:r>
      <w:r>
        <w:rPr>
          <w:rStyle w:val="NormalTok"/>
        </w:rPr>
        <w:t xml:space="preserve">    toval_dfms.append(rev)</w:t>
      </w:r>
      <w:r>
        <w:br/>
      </w:r>
      <w:r>
        <w:rPr>
          <w:rStyle w:val="NormalTok"/>
        </w:rPr>
        <w:t xml:space="preserve">    count</w:t>
      </w:r>
      <w:r>
        <w:rPr>
          <w:rStyle w:val="OperatorTok"/>
        </w:rPr>
        <w:t xml:space="preserve">+=</w:t>
      </w:r>
      <w:r>
        <w:rPr>
          <w:rStyle w:val="DecValTok"/>
        </w:rPr>
        <w:t xml:space="preserve">1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max_count: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break</w:t>
      </w:r>
    </w:p>
    <w:p>
      <w:pPr>
        <w:pStyle w:val="FirstParagraph"/>
      </w:pPr>
      <w:r>
        <w:rPr>
          <w:rStyle w:val="VerbatimChar"/>
        </w:rPr>
        <w:t xml:space="preserve">count = 0</w:t>
      </w:r>
      <w:r>
        <w:t xml:space="preserve"> </w:t>
      </w:r>
      <w:r>
        <w:t xml:space="preserve">sits</w:t>
      </w:r>
      <w:r>
        <w:t xml:space="preserve"> </w:t>
      </w:r>
      <w:r>
        <w:rPr>
          <w:iCs/>
          <w:i/>
        </w:rPr>
        <w:t xml:space="preserve">inside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for rev in req_dfms:</w:t>
      </w:r>
      <w:r>
        <w:t xml:space="preserve"> </w:t>
      </w:r>
      <w:r>
        <w:t xml:space="preserve">loop, so it’s</w:t>
      </w:r>
      <w:r>
        <w:t xml:space="preserve"> </w:t>
      </w:r>
      <w:r>
        <w:t xml:space="preserve">reset back to zero on every single iteration before being checked —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 </w:t>
      </w:r>
      <w:r>
        <w:t xml:space="preserve">never actually accumulates across candidates. As long as</w:t>
      </w:r>
      <w:r>
        <w:t xml:space="preserve"> </w:t>
      </w:r>
      <w:r>
        <w:rPr>
          <w:rStyle w:val="VerbatimChar"/>
        </w:rPr>
        <w:t xml:space="preserve">max_count</w:t>
      </w:r>
      <w:r>
        <w:t xml:space="preserve"> </w:t>
      </w:r>
      <w:r>
        <w:t xml:space="preserve">is greater than zero,</w:t>
      </w:r>
      <w:r>
        <w:t xml:space="preserve"> </w:t>
      </w:r>
      <w:r>
        <w:rPr>
          <w:rStyle w:val="VerbatimChar"/>
        </w:rPr>
        <w:t xml:space="preserve">count &lt; max_count</w:t>
      </w:r>
      <w:r>
        <w:t xml:space="preserve"> </w:t>
      </w:r>
      <w:r>
        <w:t xml:space="preserve">is always true</w:t>
      </w:r>
      <w:r>
        <w:t xml:space="preserve"> </w:t>
      </w:r>
      <w:r>
        <w:t xml:space="preserve">(since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 </w:t>
      </w:r>
      <w:r>
        <w:t xml:space="preserve">is always freshly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when checked), so</w:t>
      </w:r>
      <w:r>
        <w:t xml:space="preserve"> </w:t>
      </w:r>
      <w:r>
        <w:rPr>
          <w:bCs/>
          <w:b/>
        </w:rPr>
        <w:t xml:space="preserve">every</w:t>
      </w:r>
      <w:r>
        <w:t xml:space="preserve"> </w:t>
      </w:r>
      <w:r>
        <w:t xml:space="preserve">eligible candidate in</w:t>
      </w:r>
      <w:r>
        <w:t xml:space="preserve"> </w:t>
      </w:r>
      <w:r>
        <w:rPr>
          <w:rStyle w:val="VerbatimChar"/>
        </w:rPr>
        <w:t xml:space="preserve">req_dfms</w:t>
      </w:r>
      <w:r>
        <w:t xml:space="preserve"> </w:t>
      </w:r>
      <w:r>
        <w:t xml:space="preserve">gets appended to</w:t>
      </w:r>
      <w:r>
        <w:t xml:space="preserve"> </w:t>
      </w:r>
      <w:r>
        <w:rPr>
          <w:rStyle w:val="VerbatimChar"/>
        </w:rPr>
        <w:t xml:space="preserve">toval_dfms</w:t>
      </w:r>
      <w:r>
        <w:t xml:space="preserve">,</w:t>
      </w:r>
      <w:r>
        <w:t xml:space="preserve"> </w:t>
      </w:r>
      <w:r>
        <w:t xml:space="preserve">completely ignoring whatever cap the caller actually requested. See</w:t>
      </w:r>
      <w:r>
        <w:t xml:space="preserve"> </w:t>
      </w:r>
      <w:r>
        <w:rPr>
          <w:rStyle w:val="VerbatimChar"/>
        </w:rPr>
        <w:t xml:space="preserve">01-level1-distribution.docx</w:t>
      </w:r>
      <w:r>
        <w:t xml:space="preserve"> </w:t>
      </w:r>
      <w:r>
        <w:t xml:space="preserve">for the full explanation.</w:t>
      </w:r>
    </w:p>
    <w:bookmarkEnd w:id="22"/>
    <w:bookmarkStart w:id="23" w:name="other-high-priority-findings"/>
    <w:p>
      <w:pPr>
        <w:pStyle w:val="Heading2"/>
      </w:pPr>
      <w:r>
        <w:t xml:space="preserve">Other high-priority findings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RevaluationBundleAccept.post()</w:t>
      </w:r>
      <w:r>
        <w:rPr>
          <w:bCs/>
          <w:b/>
        </w:rPr>
        <w:t xml:space="preserve"> </w:t>
      </w:r>
      <w:r>
        <w:rPr>
          <w:bCs/>
          <w:b/>
        </w:rPr>
        <w:t xml:space="preserve">accepts a list of bundle</w:t>
      </w:r>
      <w:r>
        <w:rPr>
          <w:bCs/>
          <w:b/>
        </w:rPr>
        <w:t xml:space="preserve"> </w:t>
      </w:r>
      <w:r>
        <w:rPr>
          <w:bCs/>
          <w:b/>
        </w:rPr>
        <w:t xml:space="preserve">examiners to accept in one call, but only ever processes the</w:t>
      </w:r>
      <w:r>
        <w:rPr>
          <w:bCs/>
          <w:b/>
        </w:rPr>
        <w:t xml:space="preserve"> </w:t>
      </w:r>
      <w:r>
        <w:rPr>
          <w:bCs/>
          <w:b/>
        </w:rPr>
        <w:t xml:space="preserve">first one.</w:t>
      </w:r>
      <w:r>
        <w:t xml:space="preserve"> </w:t>
      </w:r>
      <w:r>
        <w:t xml:space="preserve">The method’s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sits inside the loop over the</w:t>
      </w:r>
      <w:r>
        <w:t xml:space="preserve"> </w:t>
      </w:r>
      <w:r>
        <w:t xml:space="preserve">submitted list — any bundles after the first are silently left</w:t>
      </w:r>
      <w:r>
        <w:t xml:space="preserve"> </w:t>
      </w:r>
      <w:r>
        <w:t xml:space="preserve">unprocessed with no error and no indication anything was skipped.</w:t>
      </w:r>
      <w:r>
        <w:t xml:space="preserve"> </w:t>
      </w:r>
      <w:r>
        <w:t xml:space="preserve">See</w:t>
      </w:r>
      <w:r>
        <w:t xml:space="preserve"> </w:t>
      </w:r>
      <w:r>
        <w:rPr>
          <w:rStyle w:val="VerbatimChar"/>
        </w:rPr>
        <w:t xml:space="preserve">03-bundle-accept.docx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RevaluationOnscreenBundle.post()</w:t>
      </w:r>
      <w:r>
        <w:rPr>
          <w:bCs/>
          <w:b/>
        </w:rPr>
        <w:t xml:space="preserve"> </w:t>
      </w:r>
      <w:r>
        <w:rPr>
          <w:bCs/>
          <w:b/>
        </w:rPr>
        <w:t xml:space="preserve">reports success in its JSON</w:t>
      </w:r>
      <w:r>
        <w:rPr>
          <w:bCs/>
          <w:b/>
        </w:rPr>
        <w:t xml:space="preserve"> </w:t>
      </w:r>
      <w:r>
        <w:rPr>
          <w:bCs/>
          <w:b/>
        </w:rPr>
        <w:t xml:space="preserve">payload (</w:t>
      </w:r>
      <w:r>
        <w:rPr>
          <w:rStyle w:val="VerbatimChar"/>
          <w:bCs/>
          <w:b/>
        </w:rPr>
        <w:t xml:space="preserve">status: true</w:t>
      </w:r>
      <w:r>
        <w:rPr>
          <w:bCs/>
          <w:b/>
        </w:rPr>
        <w:t xml:space="preserve">) but tags the HTTP response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400 Bad   Request</w:t>
      </w:r>
      <w:r>
        <w:rPr>
          <w:bCs/>
          <w:b/>
        </w:rPr>
        <w:t xml:space="preserve">.</w:t>
      </w:r>
      <w:r>
        <w:t xml:space="preserve"> </w:t>
      </w:r>
      <w:r>
        <w:t xml:space="preserve">Any client that checks the HTTP status code before</w:t>
      </w:r>
      <w:r>
        <w:t xml:space="preserve"> </w:t>
      </w:r>
      <w:r>
        <w:t xml:space="preserve">reading the response body would treat a successful bundle</w:t>
      </w:r>
      <w:r>
        <w:t xml:space="preserve"> </w:t>
      </w:r>
      <w:r>
        <w:t xml:space="preserve">conversion as a failed request. See</w:t>
      </w:r>
      <w:r>
        <w:t xml:space="preserve"> </w:t>
      </w:r>
      <w:r>
        <w:rPr>
          <w:rStyle w:val="VerbatimChar"/>
        </w:rPr>
        <w:t xml:space="preserve">04-onscreen-conversion-and-scanning.docx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ScannedBundleInformation</w:t>
      </w:r>
      <w:r>
        <w:rPr>
          <w:bCs/>
          <w:b/>
        </w:rPr>
        <w:t xml:space="preserve"> </w:t>
      </w:r>
      <w:r>
        <w:rPr>
          <w:bCs/>
          <w:b/>
        </w:rPr>
        <w:t xml:space="preserve">and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CandidateBundleCrossCheck</w:t>
      </w:r>
      <w:r>
        <w:rPr>
          <w:bCs/>
          <w:b/>
        </w:rPr>
        <w:t xml:space="preserve"> </w:t>
      </w:r>
      <w:r>
        <w:rPr>
          <w:bCs/>
          <w:b/>
        </w:rPr>
        <w:t xml:space="preserve">are</w:t>
      </w:r>
      <w:r>
        <w:rPr>
          <w:bCs/>
          <w:b/>
        </w:rPr>
        <w:t xml:space="preserve"> </w:t>
      </w:r>
      <w:r>
        <w:rPr>
          <w:bCs/>
          <w:b/>
        </w:rPr>
        <w:t xml:space="preserve">both marked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AllowAny</w:t>
      </w:r>
      <w:r>
        <w:t xml:space="preserve">, returning candidate/bundle/exam metadata</w:t>
      </w:r>
      <w:r>
        <w:t xml:space="preserve"> </w:t>
      </w:r>
      <w:r>
        <w:t xml:space="preserve">with no authentication required — the same access-control pattern</w:t>
      </w:r>
      <w:r>
        <w:t xml:space="preserve"> </w:t>
      </w:r>
      <w:r>
        <w:t xml:space="preserve">flagged for several endpoints in the</w:t>
      </w:r>
      <w:r>
        <w:t xml:space="preserve"> </w:t>
      </w:r>
      <w:r>
        <w:rPr>
          <w:rStyle w:val="VerbatimChar"/>
        </w:rPr>
        <w:t xml:space="preserve">qr_map</w:t>
      </w:r>
      <w:r>
        <w:t xml:space="preserve"> </w:t>
      </w:r>
      <w:r>
        <w:t xml:space="preserve">module.</w:t>
      </w:r>
    </w:p>
    <w:bookmarkEnd w:id="23"/>
    <w:bookmarkStart w:id="24" w:name="a-positive-note"/>
    <w:p>
      <w:pPr>
        <w:pStyle w:val="Heading2"/>
      </w:pPr>
      <w:r>
        <w:t xml:space="preserve">A positive note</w:t>
      </w:r>
    </w:p>
    <w:p>
      <w:pPr>
        <w:pStyle w:val="FirstParagraph"/>
      </w:pPr>
      <w:r>
        <w:t xml:space="preserve">Several methods in this file (</w:t>
      </w:r>
      <w:r>
        <w:rPr>
          <w:rStyle w:val="VerbatimChar"/>
        </w:rPr>
        <w:t xml:space="preserve">OnscreenRevaluationDistributionBundleCamp</w:t>
      </w:r>
      <w:r>
        <w:t xml:space="preserve"> </w:t>
      </w:r>
      <w:r>
        <w:t xml:space="preserve">in particular) carry genuinely useful explanatory comments — for</w:t>
      </w:r>
      <w:r>
        <w:t xml:space="preserve"> </w:t>
      </w:r>
      <w:r>
        <w:t xml:space="preserve">example, one explicitly documents why a single QP code can</w:t>
      </w:r>
      <w:r>
        <w:t xml:space="preserve"> </w:t>
      </w:r>
      <w:r>
        <w:t xml:space="preserve">legitimately map to more than one exam schedule (</w:t>
      </w:r>
      <w:r>
        <w:t xml:space="preserve">“</w:t>
      </w:r>
      <w:r>
        <w:t xml:space="preserve">e.g. Regular +</w:t>
      </w:r>
      <w:r>
        <w:t xml:space="preserve"> </w:t>
      </w:r>
      <w:r>
        <w:t xml:space="preserve">Mercy Chance running in the same session</w:t>
      </w:r>
      <w:r>
        <w:t xml:space="preserve">”</w:t>
      </w:r>
      <w:r>
        <w:t xml:space="preserve">). This is a better</w:t>
      </w:r>
      <w:r>
        <w:t xml:space="preserve"> </w:t>
      </w:r>
      <w:r>
        <w:t xml:space="preserve">standard of in-code documentation than most other files reviewed</w:t>
      </w:r>
      <w:r>
        <w:t xml:space="preserve"> </w:t>
      </w:r>
      <w:r>
        <w:t xml:space="preserve">across this whole set of modules.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2026-09-08T10:05:01Z</dcterms:created>
  <dcterms:modified xsi:type="dcterms:W3CDTF">2026-09-08T10:05:01Z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