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revaluation/serializers.py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 every other file in this module)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shared serializer layer for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— 7 classes covering</w:t>
      </w:r>
      <w:r>
        <w:t xml:space="preserve"> </w:t>
      </w:r>
      <w:r>
        <w:t xml:space="preserve">the student application display, the distribution/tracking screens,</w:t>
      </w:r>
      <w:r>
        <w:t xml:space="preserve"> </w:t>
      </w:r>
      <w:r>
        <w:t xml:space="preserve">and — the most complex one — the mark-compare screen’s full</w:t>
      </w:r>
      <w:r>
        <w:t xml:space="preserve"> </w:t>
      </w:r>
      <w:r>
        <w:t xml:space="preserve">per-candidate mark breakdown across Chief/Additional Examiner, both</w:t>
      </w:r>
      <w:r>
        <w:t xml:space="preserve"> </w:t>
      </w:r>
      <w:r>
        <w:t xml:space="preserve">evaluation levels, original/scrutiny marks, and QR code generation.</w:t>
      </w:r>
    </w:p>
    <w:bookmarkEnd w:id="20"/>
    <w:bookmarkStart w:id="21" w:name="X756c7fea9bea94ea52f13a4cb6c991edadcddee"/>
    <w:p>
      <w:pPr>
        <w:pStyle w:val="Heading2"/>
      </w:pPr>
      <w:r>
        <w:rPr>
          <w:rStyle w:val="VerbatimChar"/>
        </w:rPr>
        <w:t xml:space="preserve">RevaluationExamRegistrationSerializer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RevaluationExamRegistrationViewSerializer</w:t>
      </w:r>
    </w:p>
    <w:p>
      <w:pPr>
        <w:pStyle w:val="FirstParagraph"/>
      </w:pPr>
      <w:r>
        <w:t xml:space="preserve">Back the student application form and view screens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Revaluationnewapplication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RevaluationnewapplicationView</w:t>
      </w:r>
      <w:r>
        <w:t xml:space="preserve">) — candidate details, course list,</w:t>
      </w:r>
      <w:r>
        <w:t xml:space="preserve"> </w:t>
      </w:r>
      <w:r>
        <w:t xml:space="preserve">and (in the view variant) the submitted application’s status. No</w:t>
      </w:r>
      <w:r>
        <w:t xml:space="preserve"> </w:t>
      </w:r>
      <w:r>
        <w:t xml:space="preserve">significant issues found beyond the module-wide bare-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pattern.</w:t>
      </w:r>
    </w:p>
    <w:bookmarkEnd w:id="21"/>
    <w:bookmarkStart w:id="22" w:name="X5e1e4fa427d243dd228446d4b37a09b5ffbadb7"/>
    <w:p>
      <w:pPr>
        <w:pStyle w:val="Heading2"/>
      </w:pPr>
      <w:r>
        <w:rPr>
          <w:rStyle w:val="VerbatimChar"/>
        </w:rPr>
        <w:t xml:space="preserve">RevaluationExamPublishResultViewSerailizer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Revaluationexamlist</w:t>
      </w:r>
      <w:r>
        <w:t xml:space="preserve"> </w:t>
      </w:r>
      <w:r>
        <w:t xml:space="preserve">— the same shape as</w:t>
      </w:r>
      <w:r>
        <w:t xml:space="preserve"> </w:t>
      </w:r>
      <w:r>
        <w:rPr>
          <w:rStyle w:val="VerbatimChar"/>
        </w:rPr>
        <w:t xml:space="preserve">scrutiny/serializers.py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ExamPublishResultViewSerailizer</w:t>
      </w:r>
      <w:r>
        <w:t xml:space="preserve">, with</w:t>
      </w:r>
      <w:r>
        <w:t xml:space="preserve"> </w:t>
      </w:r>
      <w:r>
        <w:t xml:space="preserve">its own independently-computed deadline windows. Not traced in</w:t>
      </w:r>
      <w:r>
        <w:t xml:space="preserve"> </w:t>
      </w:r>
      <w:r>
        <w:t xml:space="preserve">further detail here since it closely mirrors the already-documented</w:t>
      </w:r>
      <w:r>
        <w:t xml:space="preserve"> </w:t>
      </w:r>
      <w:r>
        <w:rPr>
          <w:rStyle w:val="VerbatimChar"/>
        </w:rPr>
        <w:t xml:space="preserve">scrutiny</w:t>
      </w:r>
      <w:r>
        <w:t xml:space="preserve"> </w:t>
      </w:r>
      <w:r>
        <w:t xml:space="preserve">version.</w:t>
      </w:r>
    </w:p>
    <w:bookmarkEnd w:id="22"/>
    <w:bookmarkStart w:id="24" w:name="X8a133d0ab97e5b3b8f86ebd1dffd6f824a3bd81"/>
    <w:p>
      <w:pPr>
        <w:pStyle w:val="Heading2"/>
      </w:pPr>
      <w:r>
        <w:rPr>
          <w:rStyle w:val="VerbatimChar"/>
        </w:rPr>
        <w:t xml:space="preserve">RevAnswerSheetDistributionFilterView</w:t>
      </w:r>
      <w:r>
        <w:t xml:space="preserve"> </w:t>
      </w:r>
      <w:r>
        <w:t xml:space="preserve">— a significant N+1 pattern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RevAnswerSheetDistributionList</w:t>
      </w:r>
      <w:r>
        <w:t xml:space="preserve">. Given a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row, resolves the QP code, bundle</w:t>
      </w:r>
      <w:r>
        <w:t xml:space="preserve"> </w:t>
      </w:r>
      <w:r>
        <w:t xml:space="preserve">code, bundle id, examiner name/id, course name, total sheet count,</w:t>
      </w:r>
      <w:r>
        <w:t xml:space="preserve"> </w:t>
      </w:r>
      <w:r>
        <w:t xml:space="preserve">and evaluation type.</w:t>
      </w:r>
    </w:p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Three separate methods (</w:t>
      </w:r>
      <w:r>
        <w:rPr>
          <w:rStyle w:val="VerbatimChar"/>
          <w:bCs/>
          <w:b/>
        </w:rPr>
        <w:t xml:space="preserve">get_qp_code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get_bundle_code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get_bundle</w:t>
      </w:r>
      <w:r>
        <w:rPr>
          <w:bCs/>
          <w:b/>
        </w:rPr>
        <w:t xml:space="preserve">) each independently re-walk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BundleCamp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BundleMaster</w:t>
      </w:r>
      <w:r>
        <w:rPr>
          <w:bCs/>
          <w:b/>
        </w:rPr>
        <w:t xml:space="preserve"> </w:t>
      </w:r>
      <w:r>
        <w:rPr>
          <w:bCs/>
          <w:b/>
        </w:rPr>
        <w:t xml:space="preserve">chain from scratch</w:t>
      </w:r>
      <w:r>
        <w:t xml:space="preserve">, and two 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get_examiner_id</w:t>
      </w:r>
      <w:r>
        <w:t xml:space="preserve">) independently re-resolve the same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chain — rather than resolving</w:t>
      </w:r>
      <w:r>
        <w:t xml:space="preserve"> </w:t>
      </w:r>
      <w:r>
        <w:t xml:space="preserve">either chain once and reusing the result across the fields that need</w:t>
      </w:r>
      <w:r>
        <w:t xml:space="preserve"> </w:t>
      </w:r>
      <w:r>
        <w:t xml:space="preserve">it. This is the same N+1 serializer pattern already flagged in</w:t>
      </w:r>
      <w:r>
        <w:t xml:space="preserve"> </w:t>
      </w:r>
      <w:r>
        <w:rPr>
          <w:rStyle w:val="VerbatimChar"/>
        </w:rPr>
        <w:t xml:space="preserve">post_exam/serializers.py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pre_exam/serializers.py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qr_map/serializers.py</w:t>
      </w:r>
      <w:r>
        <w:t xml:space="preserve"> </w:t>
      </w:r>
      <w:r>
        <w:t xml:space="preserve">— for a distribution list with many rows,</w:t>
      </w:r>
      <w:r>
        <w:t xml:space="preserve"> </w:t>
      </w:r>
      <w:r>
        <w:t xml:space="preserve">this adds up to several avoidable extra queries per row.</w:t>
      </w:r>
    </w:p>
    <w:bookmarkEnd w:id="23"/>
    <w:bookmarkEnd w:id="24"/>
    <w:bookmarkStart w:id="25" w:name="revaluationbundlemastercompareserializer"/>
    <w:p>
      <w:pPr>
        <w:pStyle w:val="Heading2"/>
      </w:pPr>
      <w:r>
        <w:rPr>
          <w:rStyle w:val="VerbatimChar"/>
        </w:rPr>
        <w:t xml:space="preserve">RevaluationBundleMastercompareserializer</w:t>
      </w:r>
    </w:p>
    <w:p>
      <w:pPr>
        <w:pStyle w:val="FirstParagraph"/>
      </w:pPr>
      <w:r>
        <w:t xml:space="preserve">A thin passthrough exposing a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’s underlying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id/name/code — used by the bundle-list dropdown in</w:t>
      </w:r>
      <w:r>
        <w:t xml:space="preserve"> </w:t>
      </w:r>
      <w:r>
        <w:rPr>
          <w:rStyle w:val="VerbatimChar"/>
        </w:rPr>
        <w:t xml:space="preserve">revaluation.py</w:t>
      </w:r>
      <w:r>
        <w:t xml:space="preserve">’s mark-compare screens. No issues found.</w:t>
      </w:r>
    </w:p>
    <w:bookmarkEnd w:id="25"/>
    <w:bookmarkStart w:id="27" w:name="X57a29cfe61d30a8f4014c60e06cd2d21af73b57"/>
    <w:p>
      <w:pPr>
        <w:pStyle w:val="Heading2"/>
      </w:pPr>
      <w:r>
        <w:rPr>
          <w:rStyle w:val="VerbatimChar"/>
        </w:rPr>
        <w:t xml:space="preserve">RevCampmarkfetchserializer</w:t>
      </w:r>
      <w:r>
        <w:t xml:space="preserve"> </w:t>
      </w:r>
      <w:r>
        <w:t xml:space="preserve">— the most complex serializer in this module</w:t>
      </w:r>
    </w:p>
    <w:p>
      <w:pPr>
        <w:pStyle w:val="FirstParagraph"/>
      </w:pPr>
      <w:r>
        <w:t xml:space="preserve">Backs the mark-compare screens (</w:t>
      </w:r>
      <w:r>
        <w:rPr>
          <w:rStyle w:val="VerbatimChar"/>
        </w:rPr>
        <w:t xml:space="preserve">FirstLevelMarkCompare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RevalFirstMarkfetch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RevSecondlevelcompare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RevalSecondMarkfetch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revaluation.py</w:t>
      </w:r>
      <w:r>
        <w:t xml:space="preserve">). Given a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row, resolves the Chief/Additional</w:t>
      </w:r>
      <w:r>
        <w:t xml:space="preserve"> </w:t>
      </w:r>
      <w:r>
        <w:t xml:space="preserve">Examiner marks at both Level 1 and Level 2, the original mark (with a</w:t>
      </w:r>
      <w:r>
        <w:t xml:space="preserve"> </w:t>
      </w:r>
      <w:r>
        <w:t xml:space="preserve">scrutiny-mark override if the scrutiny mark is higher), the scrutiny</w:t>
      </w:r>
      <w:r>
        <w:t xml:space="preserve"> </w:t>
      </w:r>
      <w:r>
        <w:t xml:space="preserve">mark itself, the course’s maximum mark, the final mark, a freshly</w:t>
      </w:r>
      <w:r>
        <w:t xml:space="preserve"> </w:t>
      </w:r>
      <w:r>
        <w:t xml:space="preserve">generated QR code for reprinting, and — when a</w:t>
      </w:r>
      <w:r>
        <w:t xml:space="preserve"> </w:t>
      </w:r>
      <w:r>
        <w:rPr>
          <w:rStyle w:val="VerbatimChar"/>
        </w:rPr>
        <w:t xml:space="preserve">bundle_candidate_mappers</w:t>
      </w:r>
      <w:r>
        <w:t xml:space="preserve"> </w:t>
      </w:r>
      <w:r>
        <w:t xml:space="preserve">context is supplied — the candidate’s sequence number within the</w:t>
      </w:r>
      <w:r>
        <w:t xml:space="preserve"> </w:t>
      </w:r>
      <w:r>
        <w:t xml:space="preserve">bundle.</w:t>
      </w:r>
    </w:p>
    <w:bookmarkStart w:id="26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get_chief_first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get_addnlexnr_first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get_chief_second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get_addnlexnr_second</w:t>
      </w:r>
      <w:r>
        <w:rPr>
          <w:bCs/>
          <w:b/>
        </w:rPr>
        <w:t xml:space="preserve"> </w:t>
      </w:r>
      <w:r>
        <w:rPr>
          <w:bCs/>
          <w:b/>
        </w:rPr>
        <w:t xml:space="preserve">each independently re-resolve the relevant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EvaluationType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“</w:t>
      </w:r>
      <w:r>
        <w:rPr>
          <w:bCs/>
          <w:b/>
        </w:rPr>
        <w:t xml:space="preserve">Level 1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Level 2</w:t>
      </w:r>
      <w:r>
        <w:rPr>
          <w:bCs/>
          <w:b/>
        </w:rPr>
        <w:t xml:space="preserve">”</w:t>
      </w:r>
      <w:r>
        <w:rPr>
          <w:bCs/>
          <w:b/>
        </w:rPr>
        <w:t xml:space="preserve">) from scratch</w:t>
      </w:r>
      <w:r>
        <w:t xml:space="preserve"> </w:t>
      </w:r>
      <w:r>
        <w:t xml:space="preserve">— since only</w:t>
      </w:r>
      <w:r>
        <w:t xml:space="preserve"> </w:t>
      </w:r>
      <w:r>
        <w:t xml:space="preserve">two distinct levels are ever looked up (each reused by two of the</w:t>
      </w:r>
      <w:r>
        <w:t xml:space="preserve"> </w:t>
      </w:r>
      <w:r>
        <w:t xml:space="preserve">four methods), this is four separate queries where two would do,</w:t>
      </w:r>
      <w:r>
        <w:t xml:space="preserve"> </w:t>
      </w:r>
      <w:r>
        <w:t xml:space="preserve">resolved once and shared.</w:t>
      </w:r>
    </w:p>
    <w:p>
      <w:pPr>
        <w:pStyle w:val="BodyText"/>
      </w:pPr>
      <w:r>
        <w:rPr>
          <w:rStyle w:val="VerbatimChar"/>
          <w:bCs/>
          <w:b/>
        </w:rPr>
        <w:t xml:space="preserve">get_qr_code</w:t>
      </w:r>
      <w:r>
        <w:rPr>
          <w:bCs/>
          <w:b/>
        </w:rPr>
        <w:t xml:space="preserve"> </w:t>
      </w:r>
      <w:r>
        <w:rPr>
          <w:bCs/>
          <w:b/>
        </w:rPr>
        <w:t xml:space="preserve">generates a Fernet key that’s never actually used.</w:t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Fernet.generate_key()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"public_key_nominal.pem"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privatefile:</w:t>
      </w:r>
      <w:r>
        <w:br/>
      </w:r>
      <w:r>
        <w:rPr>
          <w:rStyle w:val="NormalTok"/>
        </w:rPr>
        <w:t xml:space="preserve">   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privatefile.read()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Fernet(private_key.encode())</w:t>
      </w:r>
      <w:r>
        <w:br/>
      </w: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(final_dfn).encode())</w:t>
      </w:r>
    </w:p>
    <w:p>
      <w:pPr>
        <w:pStyle w:val="FirstParagraph"/>
      </w:pPr>
      <w:r>
        <w:rPr>
          <w:rStyle w:val="VerbatimChar"/>
        </w:rPr>
        <w:t xml:space="preserve">key</w:t>
      </w:r>
      <w:r>
        <w:t xml:space="preserve"> </w:t>
      </w:r>
      <w:r>
        <w:t xml:space="preserve">is generated but the encryption actually uses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,</w:t>
      </w:r>
      <w:r>
        <w:t xml:space="preserve"> </w:t>
      </w:r>
      <w:r>
        <w:t xml:space="preserve">read from a file —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dead code, computed and discarded on</w:t>
      </w:r>
      <w:r>
        <w:t xml:space="preserve"> </w:t>
      </w:r>
      <w:r>
        <w:t xml:space="preserve">every call.</w:t>
      </w:r>
    </w:p>
    <w:p>
      <w:pPr>
        <w:pStyle w:val="BodyText"/>
      </w:pPr>
      <w:r>
        <w:rPr>
          <w:rStyle w:val="VerbatimChar"/>
          <w:bCs/>
          <w:b/>
        </w:rPr>
        <w:t xml:space="preserve">get_total_mark</w:t>
      </w:r>
      <w:r>
        <w:rPr>
          <w:bCs/>
          <w:b/>
        </w:rPr>
        <w:t xml:space="preserve">’s live query appears to have dropped a filter</w:t>
      </w:r>
      <w:r>
        <w:rPr>
          <w:bCs/>
          <w:b/>
        </w:rPr>
        <w:t xml:space="preserve"> </w:t>
      </w:r>
      <w:r>
        <w:rPr>
          <w:bCs/>
          <w:b/>
        </w:rPr>
        <w:t xml:space="preserve">present in an earlier version, based on a comment left directly</w:t>
      </w:r>
      <w:r>
        <w:rPr>
          <w:bCs/>
          <w:b/>
        </w:rPr>
        <w:t xml:space="preserve"> </w:t>
      </w:r>
      <w:r>
        <w:rPr>
          <w:bCs/>
          <w:b/>
        </w:rPr>
        <w:t xml:space="preserve">above it.</w:t>
      </w:r>
    </w:p>
    <w:p>
      <w:pPr>
        <w:pStyle w:val="SourceCode"/>
      </w:pPr>
      <w:r>
        <w:rPr>
          <w:rStyle w:val="CommentTok"/>
        </w:rPr>
        <w:t xml:space="preserve"># maxMark=CourseParamsValue.objects.filter(course_parms_programme_type__programme_type=prg_type, status_id=ACTIVE_STATE, course=course, course_parms_programme_type__course_parms__code=MAX_ESA_COURSE_PARAM_CODE).last().course_parmas_value</w:t>
      </w:r>
      <w:r>
        <w:br/>
      </w:r>
      <w:r>
        <w:rPr>
          <w:rStyle w:val="NormalTok"/>
        </w:rPr>
        <w:t xml:space="preserve">maxMark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CourseParamsValue.objects.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course, course_parms_programme_type__course_parms__code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MAX_ESA_COURSE_PARAM_CODE).first()</w:t>
      </w:r>
    </w:p>
    <w:p>
      <w:pPr>
        <w:pStyle w:val="FirstParagraph"/>
      </w:pPr>
      <w:r>
        <w:t xml:space="preserve">The commented-out version explicitly filters by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 </w:t>
      </w:r>
      <w:r>
        <w:t xml:space="preserve">(and</w:t>
      </w:r>
      <w:r>
        <w:t xml:space="preserve"> </w:t>
      </w:r>
      <w:r>
        <w:t xml:space="preserve">active status); the live version doesn’t filter by programme type at</w:t>
      </w:r>
      <w:r>
        <w:t xml:space="preserve"> </w:t>
      </w:r>
      <w:r>
        <w:t xml:space="preserve">all, and uses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an otherwise less-specific query 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. If the same course has different maximum-mark</w:t>
      </w:r>
      <w:r>
        <w:t xml:space="preserve"> </w:t>
      </w:r>
      <w:r>
        <w:t xml:space="preserve">configurations for different programme types, this could resolve the</w:t>
      </w:r>
      <w:r>
        <w:t xml:space="preserve"> </w:t>
      </w:r>
      <w:r>
        <w:t xml:space="preserve">wrong configuration — worth confirming this was an intentional</w:t>
      </w:r>
      <w:r>
        <w:t xml:space="preserve"> </w:t>
      </w:r>
      <w:r>
        <w:t xml:space="preserve">simplification rather than a filter that was accidentally dropped</w:t>
      </w:r>
      <w:r>
        <w:t xml:space="preserve"> </w:t>
      </w:r>
      <w:r>
        <w:t xml:space="preserve">during an edit.</w:t>
      </w:r>
    </w:p>
    <w:p>
      <w:pPr>
        <w:pStyle w:val="BodyText"/>
      </w:pPr>
      <w:r>
        <w:rPr>
          <w:bCs/>
          <w:b/>
        </w:rPr>
        <w:t xml:space="preserve">Nearly every method in this class uses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except:</w:t>
      </w:r>
      <w:r>
        <w:rPr>
          <w:bCs/>
          <w:b/>
        </w:rP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"--"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— the same broad-exception-hiding pattern</w:t>
      </w:r>
      <w:r>
        <w:t xml:space="preserve"> </w:t>
      </w:r>
      <w:r>
        <w:t xml:space="preserve">noted throughout this whole review;</w:t>
      </w:r>
      <w:r>
        <w:t xml:space="preserve"> </w:t>
      </w:r>
      <w:r>
        <w:rPr>
          <w:rStyle w:val="VerbatimChar"/>
        </w:rPr>
        <w:t xml:space="preserve">get_orginal_mark</w:t>
      </w:r>
      <w:r>
        <w:t xml:space="preserve"> </w:t>
      </w:r>
      <w:r>
        <w:t xml:space="preserve">is the one</w:t>
      </w:r>
      <w:r>
        <w:t xml:space="preserve"> </w:t>
      </w:r>
      <w:r>
        <w:t xml:space="preserve">exception, using a proper</w:t>
      </w:r>
      <w:r>
        <w:t xml:space="preserve"> </w:t>
      </w:r>
      <w:r>
        <w:rPr>
          <w:rStyle w:val="VerbatimChar"/>
        </w:rPr>
        <w:t xml:space="preserve">except Exception as e: logger.error(...)</w:t>
      </w:r>
      <w:r>
        <w:t xml:space="preserve">.</w:t>
      </w:r>
    </w:p>
    <w:bookmarkEnd w:id="26"/>
    <w:bookmarkEnd w:id="27"/>
    <w:bookmarkStart w:id="28" w:name="revaluationexaminerfetch"/>
    <w:p>
      <w:pPr>
        <w:pStyle w:val="Heading2"/>
      </w:pPr>
      <w:r>
        <w:rPr>
          <w:rStyle w:val="VerbatimChar"/>
        </w:rPr>
        <w:t xml:space="preserve">RevaluationExaminerFetch</w:t>
      </w:r>
    </w:p>
    <w:p>
      <w:pPr>
        <w:pStyle w:val="FirstParagraph"/>
      </w:pPr>
      <w:r>
        <w:t xml:space="preserve">A supporting lookup for resolving examiner display details. Not</w:t>
      </w:r>
      <w:r>
        <w:t xml:space="preserve"> </w:t>
      </w:r>
      <w:r>
        <w:t xml:space="preserve">traced in further per-field detail here; no notable issues found</w:t>
      </w:r>
      <w:r>
        <w:t xml:space="preserve"> </w:t>
      </w:r>
      <w:r>
        <w:t xml:space="preserve">beyond the module-wide patterns already described above.</w:t>
      </w:r>
    </w:p>
    <w:bookmarkEnd w:id="28"/>
    <w:bookmarkStart w:id="29" w:name="shared-helper-mark_decryptdata"/>
    <w:p>
      <w:pPr>
        <w:pStyle w:val="Heading2"/>
      </w:pPr>
      <w:r>
        <w:t xml:space="preserve">Shared helper:</w:t>
      </w:r>
      <w:r>
        <w:t xml:space="preserve"> </w:t>
      </w:r>
      <w:r>
        <w:rPr>
          <w:rStyle w:val="VerbatimChar"/>
        </w:rPr>
        <w:t xml:space="preserve">mark_decrypt(data)</w:t>
      </w:r>
    </w:p>
    <w:p>
      <w:pPr>
        <w:pStyle w:val="FirstParagraph"/>
      </w:pPr>
      <w:r>
        <w:t xml:space="preserve">The same Fernet-based, slice-then-decrypt mark-decryption pattern</w:t>
      </w:r>
      <w:r>
        <w:t xml:space="preserve"> </w:t>
      </w:r>
      <w:r>
        <w:t xml:space="preserve">used throughout this module and across other modules in this review</w:t>
      </w:r>
      <w:r>
        <w:t xml:space="preserve"> </w:t>
      </w:r>
      <w:r>
        <w:t xml:space="preserve">— strips two wrapping characters off the stored value and decrypts it</w:t>
      </w:r>
      <w:r>
        <w:t xml:space="preserve"> </w:t>
      </w:r>
      <w:r>
        <w:t xml:space="preserve">with a key loaded from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2026-09-08T03:49:15Z</dcterms:created>
  <dcterms:modified xsi:type="dcterms:W3CDTF">2026-09-08T03:49:15Z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