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academic-module-api-documentation"/>
    <w:p>
      <w:pPr>
        <w:pStyle w:val="Heading1"/>
      </w:pPr>
      <w:r>
        <w:t xml:space="preserve">academic Module — API Documentation</w:t>
      </w:r>
    </w:p>
    <w:bookmarkStart w:id="20" w:name="what-this-module-does"/>
    <w:p>
      <w:pPr>
        <w:pStyle w:val="Heading2"/>
      </w:pPr>
      <w:r>
        <w:t xml:space="preserve">What this module does</w:t>
      </w:r>
    </w:p>
    <w:p>
      <w:pPr>
        <w:pStyle w:val="FirstParagraph"/>
      </w:pPr>
      <w:r>
        <w:rPr>
          <w:rStyle w:val="VerbatimChar"/>
        </w:rPr>
        <w:t xml:space="preserve">academic</w:t>
      </w:r>
      <w:r>
        <w:t xml:space="preserve"> </w:t>
      </w:r>
      <w:r>
        <w:t xml:space="preserve">handles the academic/programme structure of the University of</w:t>
      </w:r>
      <w:r>
        <w:t xml:space="preserve"> </w:t>
      </w:r>
      <w:r>
        <w:t xml:space="preserve">Kerala online evaluation system — top-level programme and course master</w:t>
      </w:r>
      <w:r>
        <w:t xml:space="preserve"> </w:t>
      </w:r>
      <w:r>
        <w:t xml:space="preserve">data (Programme Class, Type, Group, Duration, Category, Course, and the</w:t>
      </w:r>
      <w:r>
        <w:t xml:space="preserve"> </w:t>
      </w:r>
      <w:r>
        <w:t xml:space="preserve">University Department/Faculty/School masters), college ↔ programme and</w:t>
      </w:r>
      <w:r>
        <w:t xml:space="preserve"> </w:t>
      </w:r>
      <w:r>
        <w:t xml:space="preserve">college-batch ↔ programme mapping, course-mark configuration, general</w:t>
      </w:r>
      <w:r>
        <w:t xml:space="preserve"> </w:t>
      </w:r>
      <w:r>
        <w:t xml:space="preserve">purpose certificate and student-service requests, college staff/Principal</w:t>
      </w:r>
      <w:r>
        <w:t xml:space="preserve"> </w:t>
      </w:r>
      <w:r>
        <w:t xml:space="preserve">management, external-examiner attendance uploads, Demand Cost Bill (DCB)</w:t>
      </w:r>
      <w:r>
        <w:t xml:space="preserve"> </w:t>
      </w:r>
      <w:r>
        <w:t xml:space="preserve">generation and printing, answer-sheet bundle counts, and student</w:t>
      </w:r>
      <w:r>
        <w:t xml:space="preserve"> </w:t>
      </w:r>
      <w:r>
        <w:t xml:space="preserve">re-admission workflows (semester/paper cancellation, CA mark entry).</w:t>
      </w:r>
    </w:p>
    <w:bookmarkEnd w:id="20"/>
    <w:bookmarkStart w:id="21" w:name="response-format-used-across-all-apis"/>
    <w:p>
      <w:pPr>
        <w:pStyle w:val="Heading2"/>
      </w:pPr>
      <w:r>
        <w:t xml:space="preserve">Response format used across all APIs</w:t>
      </w:r>
    </w:p>
    <w:p>
      <w:pPr>
        <w:pStyle w:val="FirstParagraph"/>
      </w:pPr>
      <w:r>
        <w:t xml:space="preserve">Every endpoint in this module returns a response built by the same shared</w:t>
      </w:r>
      <w:r>
        <w:t xml:space="preserve"> </w:t>
      </w:r>
      <w:r>
        <w:rPr>
          <w:rStyle w:val="VerbatimChar"/>
        </w:rPr>
        <w:t xml:space="preserve">format_response()</w:t>
      </w:r>
      <w:r>
        <w:t xml:space="preserve"> </w:t>
      </w:r>
      <w:r>
        <w:t xml:space="preserve">helper used elsewhere in the project, in this shape: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the request succeeded,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if it failed.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message</w:t>
      </w:r>
      <w:r>
        <w:t xml:space="preserve">:</w:t>
      </w:r>
      <w:r>
        <w:t xml:space="preserve"> </w:t>
      </w:r>
      <w:r>
        <w:rPr>
          <w:rStyle w:val="VerbatimChar"/>
        </w:rPr>
        <w:t xml:space="preserve">"success"</w:t>
      </w:r>
      <w:r>
        <w:t xml:space="preserve"> </w:t>
      </w:r>
      <w:r>
        <w:t xml:space="preserve">(or a specific success message) on success, or an</w:t>
      </w:r>
      <w:r>
        <w:t xml:space="preserve"> </w:t>
      </w:r>
      <w:r>
        <w:t xml:space="preserve">error message/code on failure (e.g. </w:t>
      </w:r>
      <w:r>
        <w:rPr>
          <w:rStyle w:val="VerbatimChar"/>
        </w:rPr>
        <w:t xml:space="preserve">Bad Gateway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data</w:t>
      </w:r>
      <w:r>
        <w:t xml:space="preserve">: the actual payload — an empty object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t xml:space="preserve">on error, and on</w:t>
      </w:r>
      <w:r>
        <w:t xml:space="preserve"> </w:t>
      </w:r>
      <w:r>
        <w:t xml:space="preserve">several endpoints in this module, an empty object even on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(the created record isn’t echoed back — see individual endpoints).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status_code</w:t>
      </w:r>
      <w:r>
        <w:t xml:space="preserve">: standard HTTP status code (</w:t>
      </w:r>
      <w:r>
        <w:rPr>
          <w:rStyle w:val="VerbatimChar"/>
        </w:rPr>
        <w:t xml:space="preserve">200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Created,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Bad Request, etc). Note: on some endpoints this doesn’t line up cleanly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— e.g. a</w:t>
      </w:r>
      <w:r>
        <w:t xml:space="preserve"> </w:t>
      </w:r>
      <w:r>
        <w:t xml:space="preserve">“</w:t>
      </w:r>
      <w:r>
        <w:t xml:space="preserve">record already exists</w:t>
      </w:r>
      <w:r>
        <w:t xml:space="preserve">”</w:t>
      </w:r>
      <w:r>
        <w:t xml:space="preserve"> </w:t>
      </w:r>
      <w:r>
        <w:t xml:space="preserve">case can still return</w:t>
      </w:r>
      <w:r>
        <w:t xml:space="preserve"> </w:t>
      </w:r>
      <w:r>
        <w:rPr>
          <w:rStyle w:val="VerbatimChar"/>
        </w:rPr>
        <w:t xml:space="preserve">status: true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status_code: 201</w:t>
      </w:r>
      <w:r>
        <w:t xml:space="preserve">. This is called out per-endpoint</w:t>
      </w:r>
      <w:r>
        <w:t xml:space="preserve"> </w:t>
      </w:r>
      <w:r>
        <w:t xml:space="preserve">where it happens.</w:t>
      </w:r>
    </w:p>
    <w:p>
      <w:pPr>
        <w:pStyle w:val="FirstParagraph"/>
      </w:pPr>
      <w:r>
        <w:t xml:space="preserve">All endpoints wrap their logic in</w:t>
      </w:r>
      <w:r>
        <w:t xml:space="preserve"> </w:t>
      </w:r>
      <w:r>
        <w:rPr>
          <w:rStyle w:val="VerbatimChar"/>
        </w:rPr>
        <w:t xml:space="preserve">try</w:t>
      </w:r>
      <w:r>
        <w:t xml:space="preserve">/</w:t>
      </w:r>
      <w:r>
        <w:rPr>
          <w:rStyle w:val="VerbatimChar"/>
        </w:rPr>
        <w:t xml:space="preserve">except</w:t>
      </w:r>
      <w:r>
        <w:t xml:space="preserve">, so a caller should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first before reading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</w:t>
      </w:r>
    </w:p>
    <w:bookmarkEnd w:id="21"/>
    <w:bookmarkStart w:id="22" w:name="a-note-on-source-visibility"/>
    <w:p>
      <w:pPr>
        <w:pStyle w:val="Heading2"/>
      </w:pPr>
      <w:r>
        <w:t xml:space="preserve">A note on source visibility</w:t>
      </w:r>
    </w:p>
    <w:p>
      <w:pPr>
        <w:pStyle w:val="FirstParagraph"/>
      </w:pPr>
      <w:r>
        <w:t xml:space="preserve">Every file in this app imports models and several serializers from a</w:t>
      </w:r>
      <w:r>
        <w:t xml:space="preserve"> </w:t>
      </w:r>
      <w:r>
        <w:t xml:space="preserve">shared</w:t>
      </w:r>
      <w:r>
        <w:t xml:space="preserve"> </w:t>
      </w:r>
      <w:r>
        <w:rPr>
          <w:rStyle w:val="VerbatimChar"/>
        </w:rPr>
        <w:t xml:space="preserve">util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from util.models import *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 util.serializers import *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 util.constants import *</w:t>
      </w:r>
      <w:r>
        <w:t xml:space="preserve">) that wasn’t part of the</w:t>
      </w:r>
      <w:r>
        <w:t xml:space="preserve"> </w:t>
      </w:r>
      <w:r>
        <w:rPr>
          <w:rStyle w:val="VerbatimChar"/>
        </w:rPr>
        <w:t xml:space="preserve">academic.zip</w:t>
      </w:r>
      <w:r>
        <w:t xml:space="preserve"> </w:t>
      </w:r>
      <w:r>
        <w:t xml:space="preserve">upload. Where a request/response shape depends on one of</w:t>
      </w:r>
      <w:r>
        <w:t xml:space="preserve"> </w:t>
      </w:r>
      <w:r>
        <w:t xml:space="preserve">those external classes, the docs below say so explicitly rather than</w:t>
      </w:r>
      <w:r>
        <w:t xml:space="preserve"> </w:t>
      </w:r>
      <w:r>
        <w:t xml:space="preserve">guessing field names — sharing</w:t>
      </w:r>
      <w:r>
        <w:t xml:space="preserve"> </w:t>
      </w:r>
      <w:r>
        <w:rPr>
          <w:rStyle w:val="VerbatimChar"/>
        </w:rPr>
        <w:t xml:space="preserve">util/models.py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util/serializers.py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util/constants.py</w:t>
      </w:r>
      <w:r>
        <w:t xml:space="preserve"> </w:t>
      </w:r>
      <w:r>
        <w:t xml:space="preserve">(even just the relevant classes/constants) would</w:t>
      </w:r>
      <w:r>
        <w:t xml:space="preserve"> </w:t>
      </w:r>
      <w:r>
        <w:t xml:space="preserve">let those sections be completed with the same level of confidence as the</w:t>
      </w:r>
      <w:r>
        <w:t xml:space="preserve"> </w:t>
      </w:r>
      <w:r>
        <w:t xml:space="preserve">rest.</w:t>
      </w:r>
    </w:p>
    <w:bookmarkEnd w:id="22"/>
    <w:bookmarkStart w:id="23" w:name="Xb6168f56817381df0dd5806bfe14767e696e242"/>
    <w:p>
      <w:pPr>
        <w:pStyle w:val="Heading2"/>
      </w:pPr>
      <w:r>
        <w:t xml:space="preserve">Sub-areas in this module (one doc file each)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university-programme-master.md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all 6 endpoints from</w:t>
            </w:r>
            <w:r>
              <w:t xml:space="preserve"> </w:t>
            </w:r>
            <w:r>
              <w:rPr>
                <w:rStyle w:val="VerbatimChar"/>
              </w:rPr>
              <w:t xml:space="preserve">univ_programmes.py</w:t>
            </w:r>
            <w:r>
              <w:t xml:space="preserve">: create APIs for Programme Class, Programme Type, Programme Group, Programme Duration, Programme Category, and Programme 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university-courses.md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 type &amp; course master CRUD, course activation/status toggling, programme class/group/type dropdown lists — from</w:t>
            </w:r>
            <w:r>
              <w:t xml:space="preserve"> </w:t>
            </w:r>
            <w:r>
              <w:rPr>
                <w:rStyle w:val="VerbatimChar"/>
              </w:rPr>
              <w:t xml:space="preserve">course.py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university-department.md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Department master create/update — from</w:t>
            </w:r>
            <w:r>
              <w:t xml:space="preserve"> </w:t>
            </w:r>
            <w:r>
              <w:rPr>
                <w:rStyle w:val="VerbatimChar"/>
              </w:rPr>
              <w:t xml:space="preserve">univ_dept.py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university-faculty.md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Faculty master + Faculty-Department mapping — from</w:t>
            </w:r>
            <w:r>
              <w:t xml:space="preserve"> </w:t>
            </w:r>
            <w:r>
              <w:rPr>
                <w:rStyle w:val="VerbatimChar"/>
              </w:rPr>
              <w:t xml:space="preserve">univ_faculty.py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university-school.md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School master + School-Department mapping — from</w:t>
            </w:r>
            <w:r>
              <w:t xml:space="preserve"> </w:t>
            </w:r>
            <w:r>
              <w:rPr>
                <w:rStyle w:val="VerbatimChar"/>
              </w:rPr>
              <w:t xml:space="preserve">univ_school.py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general-purpose-certificate.md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 certificate requests, recognition/student-service submissions, SSR approve/revert — from</w:t>
            </w:r>
            <w:r>
              <w:t xml:space="preserve"> </w:t>
            </w:r>
            <w:r>
              <w:rPr>
                <w:rStyle w:val="VerbatimChar"/>
              </w:rPr>
              <w:t xml:space="preserve">certificate.py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course-mark-configuration.md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 mark parameter configuration, entry, update and approval, incl. section &amp; project courses — from</w:t>
            </w:r>
            <w:r>
              <w:t xml:space="preserve"> </w:t>
            </w:r>
            <w:r>
              <w:rPr>
                <w:rStyle w:val="VerbatimChar"/>
              </w:rPr>
              <w:t xml:space="preserve">course_mark_conig.py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course-mapping.md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Programme–course–scheme–semester mapping and fetch helpers — from</w:t>
            </w:r>
            <w:r>
              <w:t xml:space="preserve"> </w:t>
            </w:r>
            <w:r>
              <w:rPr>
                <w:rStyle w:val="VerbatimChar"/>
              </w:rPr>
              <w:t xml:space="preserve">course_mapping.py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college-programme-mapping.md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College ↔ Programme mapping, groups, subsection programmes, department status — from</w:t>
            </w:r>
            <w:r>
              <w:t xml:space="preserve"> </w:t>
            </w:r>
            <w:r>
              <w:rPr>
                <w:rStyle w:val="VerbatimChar"/>
              </w:rPr>
              <w:t xml:space="preserve">college_programme.py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collegebatch-programme.md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College-batch ↔ Programme mapping and bulk upload — from</w:t>
            </w:r>
            <w:r>
              <w:t xml:space="preserve"> </w:t>
            </w:r>
            <w:r>
              <w:rPr>
                <w:rStyle w:val="VerbatimChar"/>
              </w:rPr>
              <w:t xml:space="preserve">collegebatch_programm.py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staff-list-management.md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District/college staff lists, Principal add/remove/fetch, password resets — from</w:t>
            </w:r>
            <w:r>
              <w:t xml:space="preserve"> </w:t>
            </w:r>
            <w:r>
              <w:rPr>
                <w:rStyle w:val="VerbatimChar"/>
              </w:rPr>
              <w:t xml:space="preserve">stafflist.py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external-attendance.md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examiner attendance bulk upload screens — from</w:t>
            </w:r>
            <w:r>
              <w:t xml:space="preserve"> </w:t>
            </w:r>
            <w:r>
              <w:rPr>
                <w:rStyle w:val="VerbatimChar"/>
              </w:rPr>
              <w:t xml:space="preserve">attnds_view.py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demand-cost-bill.md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 Cost Bill (DCB) generation, OP ticket, bulk OP ticket, DCB printing — from</w:t>
            </w:r>
            <w:r>
              <w:t xml:space="preserve"> </w:t>
            </w:r>
            <w:r>
              <w:rPr>
                <w:rStyle w:val="VerbatimChar"/>
              </w:rPr>
              <w:t xml:space="preserve">dcb.py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bundle-answer-count.md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Answer-sheet bundle counts by exam code / programme type / group / scheme / examination — from</w:t>
            </w:r>
            <w:r>
              <w:t xml:space="preserve"> </w:t>
            </w:r>
            <w:r>
              <w:rPr>
                <w:rStyle w:val="VerbatimChar"/>
              </w:rPr>
              <w:t xml:space="preserve">answercount.py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re-admission.md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re-admission, semester/paper cancellation, semester registration, CA mark entry &amp; fetch — from</w:t>
            </w:r>
            <w:r>
              <w:t xml:space="preserve"> </w:t>
            </w:r>
            <w:r>
              <w:rPr>
                <w:rStyle w:val="VerbatimChar"/>
              </w:rPr>
              <w:t xml:space="preserve">readmission.py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student-mapping.md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StudentMapping</w:t>
            </w:r>
            <w:r>
              <w:t xml:space="preserve"> </w:t>
            </w:r>
            <w:r>
              <w:t xml:space="preserve">view defined in</w:t>
            </w:r>
            <w:r>
              <w:t xml:space="preserve"> </w:t>
            </w:r>
            <w:r>
              <w:rPr>
                <w:rStyle w:val="VerbatimChar"/>
              </w:rPr>
              <w:t xml:space="preserve">student_mapping.py</w:t>
            </w:r>
            <w:r>
              <w:t xml:space="preserve">, imported in</w:t>
            </w:r>
            <w:r>
              <w:t xml:space="preserve"> </w:t>
            </w:r>
            <w:r>
              <w:rPr>
                <w:rStyle w:val="VerbatimChar"/>
              </w:rPr>
              <w:t xml:space="preserve">urls.py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Cs/>
                <w:b/>
              </w:rPr>
              <w:t xml:space="preserve">not currently wired to any URL pattern</w:t>
            </w:r>
            <w:r>
              <w:t xml:space="preserve"> </w:t>
            </w:r>
            <w:r>
              <w:t xml:space="preserve">— flagged for confirmation before documenting</w:t>
            </w:r>
          </w:p>
        </w:tc>
      </w:tr>
    </w:tbl>
    <w:p>
      <w:pPr>
        <w:pStyle w:val="BodyText"/>
      </w:pPr>
      <w:r>
        <w:t xml:space="preserve">This is a living document — sub-areas are being documented one at a</w:t>
      </w:r>
      <w:r>
        <w:t xml:space="preserve"> </w:t>
      </w:r>
      <w:r>
        <w:t xml:space="preserve">time, in the order they appear in</w:t>
      </w:r>
      <w:r>
        <w:t xml:space="preserve"> </w:t>
      </w:r>
      <w:r>
        <w:rPr>
          <w:rStyle w:val="VerbatimChar"/>
        </w:rPr>
        <w:t xml:space="preserve">academic/urls.py</w:t>
      </w:r>
      <w:r>
        <w:t xml:space="preserve">, and reviewed before</w:t>
      </w:r>
      <w:r>
        <w:t xml:space="preserve"> </w:t>
      </w:r>
      <w:r>
        <w:t xml:space="preserve">moving to the next.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2026-07-31T11:02:57Z</dcterms:created>
  <dcterms:modified xsi:type="dcterms:W3CDTF">2026-07-31T11:02:57Z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