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项目讨论纪要</w:t>
      </w:r>
    </w:p>
    <w:p>
      <w:r>
        <w:t>会议日期: 2026-05-26  |  参与: 创始人 + AI  |  记录: AI  |  编号: MTG-001</w:t>
      </w:r>
    </w:p>
    <w:p/>
    <w:p>
      <w:pPr>
        <w:pStyle w:val="Heading1"/>
      </w:pPr>
      <w:r>
        <w:t>议题一：1000W → 1200W 功率调整</w:t>
      </w:r>
    </w:p>
    <w:p>
      <w:r>
        <w:t>背景：初始市场分析基于 1000W，但对标竞品（ITECH/美尔诺/BK）均以 1200W 为额定功率。</w:t>
      </w:r>
    </w:p>
    <w:p/>
    <w:p>
      <w:r>
        <w:rPr>
          <w:b/>
          <w:sz w:val="24"/>
        </w:rPr>
        <w:t>决策：功率定为 1200W 连续 / 1500W 峰值</w:t>
      </w:r>
    </w:p>
    <w:p>
      <w:r>
        <w:t>理由:</w:t>
      </w:r>
    </w:p>
    <w:p>
      <w:r>
        <w:t xml:space="preserve">  1. 与市场主流产品对齐（IT8512+, M9713, 8602 均为1200W）</w:t>
      </w:r>
    </w:p>
    <w:p>
      <w:r>
        <w:t xml:space="preserve">  2. 用户认知中 "1000W级" 即为 1200W 区间</w:t>
      </w:r>
    </w:p>
    <w:p>
      <w:r>
        <w:t xml:space="preserve">  3. 1000W → 1200W 的 BOM 增量有限（管数不变，散热器稍大）</w:t>
      </w:r>
    </w:p>
    <w:p/>
    <w:p>
      <w:pPr>
        <w:pStyle w:val="Heading1"/>
      </w:pPr>
      <w:r>
        <w:t>议题二：动态测试频率 25kHz</w:t>
      </w:r>
    </w:p>
    <w:p>
      <w:r>
        <w:t>背景：美尔诺 M9713 仅 10kHz，ITECH IT8512+ 为 25kHz，Keysight 可达 50kHz+。</w:t>
      </w:r>
    </w:p>
    <w:p>
      <w:r>
        <w:rPr>
          <w:b/>
          <w:sz w:val="24"/>
        </w:rPr>
        <w:t>决策：动态频率定为 25kHz，对标 ITECH</w:t>
      </w:r>
    </w:p>
    <w:p>
      <w:r>
        <w:t>理由:</w:t>
      </w:r>
    </w:p>
    <w:p>
      <w:r>
        <w:t xml:space="preserve">  1. 25kHz 是实用场景的甜点（LED驱动、DC-DC瞬态测试）</w:t>
      </w:r>
    </w:p>
    <w:p>
      <w:r>
        <w:t xml:space="preserve">  2. 25kHz → 40μs周期，PID需在 10kHz采样率下稳定，技术上可行</w:t>
      </w:r>
    </w:p>
    <w:p>
      <w:r>
        <w:t xml:space="preserve">  3. 做到 50kHz 需要更快的 ADC 和运放，BOM 增加明显</w:t>
      </w:r>
    </w:p>
    <w:p/>
    <w:p>
      <w:pPr>
        <w:pStyle w:val="Heading1"/>
      </w:pPr>
      <w:r>
        <w:t>议题三：拓扑方案讨论</w:t>
      </w:r>
    </w:p>
    <w:p>
      <w:r>
        <w:t>讨论要点:</w:t>
      </w:r>
    </w:p>
    <w:p>
      <w:r>
        <w:t xml:space="preserve">  1. 商用负载（ITECH等）使用纯线性 MOSFET 阵列，无预降压级</w:t>
      </w:r>
    </w:p>
    <w:p>
      <w:r>
        <w:t xml:space="preserve">  2. 纯线性的核心挑战：MOSFET SOA 限制 + Spirito 效应</w:t>
      </w:r>
    </w:p>
    <w:p>
      <w:r>
        <w:t xml:space="preserve">  3. 现代开关优化型 MOSFET（如 IRFP250N）在线性模式下 SOA 差</w:t>
      </w:r>
    </w:p>
    <w:p>
      <w:r>
        <w:t xml:space="preserve">  4. 老款平面栅 MOSFET（如 IRFP250 不带N）线性 SOA 好但越来越难买</w:t>
      </w:r>
    </w:p>
    <w:p>
      <w:r>
        <w:rPr>
          <w:b/>
          <w:sz w:val="24"/>
        </w:rPr>
        <w:t>决策：纯线性拓扑作为主方案，PCB 预留 Buck 预降压焊盘作为备选</w:t>
      </w:r>
    </w:p>
    <w:p>
      <w:r>
        <w:t>理由:</w:t>
      </w:r>
    </w:p>
    <w:p>
      <w:r>
        <w:t xml:space="preserve">  1. 原型阶段先用 8 管 IRFP250N 验证</w:t>
      </w:r>
    </w:p>
    <w:p>
      <w:r>
        <w:t xml:space="preserve">  2. 如果 SOA 翻车，补焊 Buck 预降压模块即可（Vds 降至 30-50V）</w:t>
      </w:r>
    </w:p>
    <w:p>
      <w:r>
        <w:t xml:space="preserve">  3. 量产时根据采购到的 MOSFET 型号决定是否保留预降压</w:t>
      </w:r>
    </w:p>
    <w:p/>
    <w:p>
      <w:pPr>
        <w:pStyle w:val="Heading1"/>
      </w:pPr>
      <w:r>
        <w:t>议题四：竞品采购进度</w:t>
      </w:r>
    </w:p>
    <w:p>
      <w:r>
        <w:t>状态: 竞品采购清单已出，待创始人下单</w:t>
      </w:r>
    </w:p>
    <w:p>
      <w:r>
        <w:t>目标: 拆解 IT8512+ 时重点确认 MOSFET 型号和数量，直接验证拓扑假设</w:t>
      </w:r>
    </w:p>
    <w:p/>
    <w:p>
      <w:pPr>
        <w:pStyle w:val="Heading1"/>
      </w:pPr>
      <w:r>
        <w:t>议题五：产品规格书（SRD）定稿</w:t>
      </w:r>
    </w:p>
    <w:p>
      <w:r>
        <w:t>规格由方案A（1000W）升级为 EL-1200：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FFFFFF"/>
                <w:sz w:val="22"/>
              </w:rPr>
              <w:t>参数</w:t>
            </w:r>
            <w:r>
              <w:rPr>
                <w:rFonts w:ascii="Microsoft YaHei" w:hAnsi="Microsoft YaHei"/>
                <w:b/>
                <w:sz w:val="20"/>
              </w:rPr>
              <w:t>功率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FFFFFF"/>
                <w:sz w:val="22"/>
              </w:rPr>
              <w:t>锁定值</w:t>
            </w:r>
            <w:r>
              <w:rPr>
                <w:rFonts w:ascii="Microsoft YaHei" w:hAnsi="Microsoft YaHei"/>
                <w:b w:val="0"/>
                <w:color w:val="00A8CC"/>
                <w:sz w:val="20"/>
              </w:rPr>
              <w:t>1200W连续 / 1500W峰值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电压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20"/>
              </w:rPr>
              <w:t>0-150V DC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电流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20"/>
              </w:rPr>
              <w:t>0-60A DC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精度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color w:val="00A8CC"/>
                <w:sz w:val="20"/>
              </w:rPr>
              <w:t>0.1% ± 0.05% FS（对标ITECH）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动态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25kHz（对标ITECH）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模式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CC/CV/CP/CR/BAT/SEQ/SHORT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保护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OVP/OCP/OPP/OTP/RVP/看门狗/远程检测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接口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USB-C + Wi-Fi 6 + BLE 5.0 + 可选LAN</w:t>
            </w:r>
          </w:p>
        </w:tc>
      </w:tr>
      <w:tr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sz w:val="20"/>
              </w:rPr>
              <w:t>价格</w:t>
            </w:r>
          </w:p>
        </w:tc>
        <w:tc>
          <w:tcPr>
            <w:tcW w:type="dxa" w:w="4819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20"/>
              </w:rPr>
              <w:t>¥3,999-4,999</w:t>
            </w:r>
          </w:p>
        </w:tc>
      </w:tr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</w:tbl>
    <w:p/>
    <w:p>
      <w:pPr>
        <w:pStyle w:val="Heading1"/>
      </w:pPr>
      <w:r>
        <w:t>产出文件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SRD_1200W_产品规格书_v1.0.docx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02_产品定义/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产品规格书正式版，8个章节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W1_竞品采购清单.docx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01_市场调研/竞品分析/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3款竞品+购买渠道+拆解维度+预算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W1_用户访谈大纲.docx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01_市场调研/用户研究/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21道访谈题+外观偏好问卷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18"/>
              </w:rPr>
              <w:t>本纪要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_meeting_notes/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MTG-001 产品定义讨论</w:t>
            </w:r>
          </w:p>
        </w:tc>
      </w:tr>
    </w:tbl>
    <w:p/>
    <w:p>
      <w:pPr>
        <w:pStyle w:val="Heading1"/>
      </w:pPr>
      <w:r>
        <w:t>下一步行动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行动项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/>
                <w:color w:val="FFFFFF"/>
                <w:sz w:val="20"/>
              </w:rPr>
              <w:t>时间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20"/>
              </w:rPr>
              <w:t>创始人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下单购买3款竞品（IT8512+/M9713/8602）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W1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FF9F43"/>
                <w:sz w:val="20"/>
              </w:rPr>
              <w:t>创始人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确定10位用户访谈名单并预约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W1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20"/>
              </w:rPr>
              <w:t>AI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竞品到货后输出拆解分析模板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W2</w:t>
            </w:r>
          </w:p>
        </w:tc>
      </w:tr>
      <w:tr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/>
                <w:color w:val="00A8CC"/>
                <w:sz w:val="20"/>
              </w:rPr>
              <w:t>AI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left"/>
            </w:pPr>
            <w:r>
              <w:rPr>
                <w:rFonts w:ascii="Microsoft YaHei" w:hAnsi="Microsoft YaHei"/>
                <w:b w:val="0"/>
                <w:sz w:val="18"/>
              </w:rPr>
              <w:t>进入SRD评审 &amp; 系统架构设计</w:t>
            </w:r>
          </w:p>
        </w:tc>
        <w:tc>
          <w:tcPr>
            <w:tcW w:type="dxa" w:w="3213"/>
          </w:tcPr>
          <w:p>
            <w:pPr>
              <w:spacing w:before="20" w:after="20" w:line="276" w:lineRule="auto"/>
              <w:jc w:val="center"/>
            </w:pPr>
            <w:r>
              <w:rPr>
                <w:rFonts w:ascii="Microsoft YaHei" w:hAnsi="Microsoft YaHei"/>
                <w:b w:val="0"/>
                <w:sz w:val="18"/>
              </w:rPr>
              <w:t>W5-W6</w:t>
            </w:r>
          </w:p>
        </w:tc>
      </w:tr>
    </w:tbl>
    <w:p/>
    <w:p>
      <w:pPr>
        <w:jc w:val="center"/>
      </w:pPr>
      <w:r>
        <w:rPr>
          <w:b/>
          <w:color w:val="16C79A"/>
          <w:sz w:val="26"/>
        </w:rPr>
        <w:t>—— 纪要结束，下次讨论议题: 竞品到货 &amp; 拆解分析 ——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  <w:rFonts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365F91" w:themeColor="accent1" w:themeShade="BF"/>
      <w:sz w:val="28"/>
      <w:szCs w:val="28"/>
      <w:rFonts w:eastAsia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sz w:val="26"/>
      <w:szCs w:val="26"/>
      <w:rFonts w:eastAsia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4F81BD" w:themeColor="accent1"/>
      <w:rFonts w:eastAsia="Microsoft YaHe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