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通信协议架构 — 终版 v1.0</w:t>
      </w:r>
    </w:p>
    <w:p>
      <w:r>
        <w:rPr>
          <w:b w:val="0"/>
          <w:sz w:val="22"/>
        </w:rPr>
        <w:t>文档编号: SYS-ARCH-005 v1.0  |  日期: 2026-05-26  |  状态: M1-M6 全部确认</w:t>
      </w:r>
    </w:p>
    <w:p>
      <w:pPr>
        <w:pStyle w:val="Heading1"/>
      </w:pPr>
      <w:r>
        <w:t>一、全部决策 (6/6)</w:t>
      </w:r>
    </w:p>
    <w:p>
      <w:r>
        <w:rPr>
          <w:b w:val="0"/>
          <w:sz w:val="22"/>
        </w:rPr>
        <w:t xml:space="preserve">  M1: 外部协议 — Web UI(WebSocket) + REST API 优先</w:t>
      </w:r>
    </w:p>
    <w:p>
      <w:r>
        <w:rPr>
          <w:b w:val="0"/>
          <w:sz w:val="22"/>
        </w:rPr>
        <w:t xml:space="preserve">  M2: 内部协议 — 自定义: SOF+CMD+LEN+PAYLOAD+CRC8</w:t>
      </w:r>
    </w:p>
    <w:p>
      <w:r>
        <w:rPr>
          <w:b w:val="0"/>
          <w:sz w:val="22"/>
        </w:rPr>
        <w:t xml:space="preserve">  M3: UART — 115200bps, 5.9ms/帧</w:t>
      </w:r>
    </w:p>
    <w:p>
      <w:r>
        <w:rPr>
          <w:b w:val="0"/>
          <w:sz w:val="22"/>
        </w:rPr>
        <w:t xml:space="preserve">  M4: 数据缓存 — ESP32环形缓冲 60分钟</w:t>
      </w:r>
    </w:p>
    <w:p>
      <w:r>
        <w:rPr>
          <w:b w:val="0"/>
          <w:sz w:val="22"/>
        </w:rPr>
        <w:t xml:space="preserve">  M5: OTA — ESP32自升级 -&gt; UART更新C2000 IAP</w:t>
      </w:r>
    </w:p>
    <w:p>
      <w:r>
        <w:rPr>
          <w:b w:val="0"/>
          <w:sz w:val="22"/>
        </w:rPr>
        <w:t xml:space="preserve">  M6: 安全 — V1.0无鉴权(局域网), 云端需Token</w:t>
      </w:r>
    </w:p>
    <w:p>
      <w:r>
        <w:rPr>
          <w:b w:val="0"/>
          <w:sz w:val="22"/>
        </w:rPr>
      </w:r>
    </w:p>
    <w:p>
      <w:pPr>
        <w:pStyle w:val="Heading1"/>
      </w:pPr>
      <w:r>
        <w:t>二、通信 BOM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物料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ESP32-S3模组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WROOM-1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通信核心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隔离器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ADuM1201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UART隔离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阻容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外围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合计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~25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三、系统设计总进度</w:t>
      </w:r>
    </w:p>
    <w:p>
      <w:r>
        <w:rPr>
          <w:b w:val="0"/>
          <w:color w:val="16C79A"/>
          <w:sz w:val="22"/>
        </w:rPr>
        <w:t xml:space="preserve">  安全架构: 8/8 — 已完成</w:t>
      </w:r>
    </w:p>
    <w:p>
      <w:r>
        <w:rPr>
          <w:b w:val="0"/>
          <w:color w:val="16C79A"/>
          <w:sz w:val="22"/>
        </w:rPr>
        <w:t xml:space="preserve">  电源树: 8/8 — 已完成</w:t>
      </w:r>
    </w:p>
    <w:p>
      <w:r>
        <w:rPr>
          <w:b w:val="0"/>
          <w:color w:val="16C79A"/>
          <w:sz w:val="22"/>
        </w:rPr>
        <w:t xml:space="preserve">  功率拓扑: 7/7 — 已完成</w:t>
      </w:r>
    </w:p>
    <w:p>
      <w:r>
        <w:rPr>
          <w:b w:val="0"/>
          <w:color w:val="16C79A"/>
          <w:sz w:val="22"/>
        </w:rPr>
        <w:t xml:space="preserve">  控制架构: 6/6 — 已完成</w:t>
      </w:r>
    </w:p>
    <w:p>
      <w:r>
        <w:rPr>
          <w:b w:val="0"/>
          <w:color w:val="16C79A"/>
          <w:sz w:val="22"/>
        </w:rPr>
        <w:t xml:space="preserve">  通信协议: 6/6 — 已完成</w:t>
      </w:r>
    </w:p>
    <w:p>
      <w:r>
        <w:rPr>
          <w:b w:val="0"/>
          <w:color w:val="F5C518"/>
          <w:sz w:val="22"/>
        </w:rPr>
        <w:t xml:space="preserve">  外观结构: 0/? — 待开始</w:t>
      </w:r>
    </w:p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—— 系统设计 5/6 模块完成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