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控制架构 — 终版 v1.0</w:t>
      </w:r>
    </w:p>
    <w:p>
      <w:r>
        <w:rPr>
          <w:b w:val="0"/>
          <w:sz w:val="22"/>
        </w:rPr>
        <w:t>文档编号: SYS-ARCH-004 v1.0  |  日期: 2026-05-26  |  状态: C1-C6 全部确认</w:t>
      </w:r>
    </w:p>
    <w:p>
      <w:r>
        <w:rPr>
          <w:b w:val="0"/>
          <w:sz w:val="22"/>
        </w:rPr>
      </w:r>
    </w:p>
    <w:p>
      <w:pPr>
        <w:pStyle w:val="Heading1"/>
      </w:pPr>
      <w:r>
        <w:t>一、全部决策 (6/6)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决策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C1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PID频率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860Hz (跟随ADS1115)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负载带宽~30Hz, 28x冗余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C2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采样方案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双速率混合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ADS1115(精密PID) + 内部ADC+CMPSS(保护)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C3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外环频率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1kHz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CV/CP/CR外环 -&gt; I_set给内环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C4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PID结构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增量式 + 抗积分饱和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clamping防windup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C5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DAC变化率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2.5A/us 斜率限制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保护路径可绕过限制直通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16C79A"/>
                <w:sz w:val="18"/>
              </w:rPr>
              <w:t>C6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模式切换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18"/>
              </w:rPr>
              <w:t>50ms软切换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用当前I_actual初始化新PID</w:t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二、控制环路总图</w:t>
      </w:r>
    </w:p>
    <w:p>
      <w:r>
        <w:rPr>
          <w:b w:val="0"/>
          <w:sz w:val="18"/>
        </w:rPr>
        <w:br/>
        <w:t xml:space="preserve">  设定值(CC/CV/CP/CR)</w:t>
        <w:br/>
        <w:t xml:space="preserve">       |</w:t>
        <w:br/>
        <w:t xml:space="preserve">  模式选择器 (C6: 50ms软切换)</w:t>
        <w:br/>
        <w:t xml:space="preserve">       |</w:t>
        <w:br/>
        <w:t xml:space="preserve">  +----+--------+</w:t>
        <w:br/>
        <w:t xml:space="preserve">  |             |</w:t>
        <w:br/>
        <w:t xml:space="preserve">  V外环(1kHz)  其他模式计算</w:t>
        <w:br/>
        <w:t xml:space="preserve">  |             |</w:t>
        <w:br/>
        <w:t xml:space="preserve">  +----+--------+</w:t>
        <w:br/>
        <w:t xml:space="preserve">       |</w:t>
        <w:br/>
        <w:t xml:space="preserve">    I_set -&gt; PID内环(860Hz) -&gt; DAC(C5:2.5A/us斜率) -&gt; 功率级</w:t>
        <w:br/>
        <w:t xml:space="preserve">                |                                        |</w:t>
        <w:br/>
        <w:t xml:space="preserve">                +--- ADS1115(16bit) &lt;--- 分流器 &lt;--------+</w:t>
        <w:br/>
        <w:t xml:space="preserve">                |</w:t>
        <w:br/>
        <w:t xml:space="preserve">                +--- 内部ADC(12bit) -&gt; CMPSS(保护)</w:t>
        <w:br/>
      </w:r>
    </w:p>
    <w:p>
      <w:r>
        <w:rPr>
          <w:b w:val="0"/>
          <w:sz w:val="22"/>
        </w:rPr>
      </w:r>
    </w:p>
    <w:p>
      <w:pPr>
        <w:pStyle w:val="Heading1"/>
      </w:pPr>
      <w:r>
        <w:t>三、实时任务 (FreeRTOS)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工作</w:t>
            </w:r>
          </w:p>
        </w:tc>
        <w:tc>
          <w:tcPr>
            <w:tcW w:type="dxa" w:w="1928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CMPSS硬件保护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&lt;100ns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硬件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OCP/OVP/OTP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不经过软件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动态DYN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25kHz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Timer中断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查表-&gt;SPI DMA-&gt;DAC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开环,不受PID影响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保护任务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1ms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最高优先级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读内部ADC+决定降额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喂看门狗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PID内环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1.16ms(860Hz)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高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ADS1115-&gt;PID-&gt;DAC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C5斜率限制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PID外环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10ms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中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CV/CP/CR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输出I_set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通信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100ms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低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UART ESP32</w:t>
            </w:r>
          </w:p>
        </w:tc>
        <w:tc>
          <w:tcPr>
            <w:tcW w:type="dxa" w:w="1928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6"/>
              </w:rPr>
              <w:t>不阻塞</w:t>
            </w:r>
          </w:p>
        </w:tc>
      </w:tr>
    </w:tbl>
    <w:p>
      <w:r>
        <w:rPr>
          <w:b w:val="0"/>
          <w:sz w:val="22"/>
        </w:rPr>
      </w:r>
    </w:p>
    <w:p>
      <w:pPr>
        <w:pStyle w:val="Heading1"/>
      </w:pPr>
      <w:r>
        <w:t>四、系统设计总进度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文档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决策</w:t>
            </w:r>
          </w:p>
        </w:tc>
        <w:tc>
          <w:tcPr>
            <w:tcW w:type="dxa" w:w="2409"/>
            <w:shd w:fill="1a1a2e" w:val="clear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安全架构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SYS-ARCH-001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8/8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已完成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电源树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SYS-ARCH-002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8/8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已完成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功率拓扑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SYS-ARCH-003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7/7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已完成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控制架构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SYS-ARCH-004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6/6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16C79A"/>
                <w:sz w:val="18"/>
              </w:rPr>
              <w:t>已完成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通信协议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SYS-ARCH-005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F5C518"/>
                <w:sz w:val="18"/>
              </w:rPr>
              <w:t>0/?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F5C518"/>
                <w:sz w:val="18"/>
              </w:rPr>
              <w:t>待开始</w:t>
            </w:r>
          </w:p>
        </w:tc>
      </w:tr>
      <w:tr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18"/>
              </w:rPr>
              <w:t>外观结构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888888"/>
                <w:sz w:val="18"/>
              </w:rPr>
              <w:t>SYS-ARCH-006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color w:val="F5C518"/>
                <w:sz w:val="18"/>
              </w:rPr>
              <w:t>0/?</w:t>
            </w:r>
          </w:p>
        </w:tc>
        <w:tc>
          <w:tcPr>
            <w:tcW w:type="dxa" w:w="240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F5C518"/>
                <w:sz w:val="18"/>
              </w:rPr>
              <w:t>待开始</w:t>
            </w:r>
          </w:p>
        </w:tc>
      </w:tr>
    </w:tbl>
    <w:p>
      <w:r>
        <w:rPr>
          <w:b w:val="0"/>
          <w:sz w:val="22"/>
        </w:rPr>
      </w:r>
    </w:p>
    <w:p>
      <w:r>
        <w:rPr>
          <w:b/>
          <w:color w:val="16C79A"/>
          <w:sz w:val="28"/>
        </w:rPr>
        <w:t>—— 控制架构全部完成，4/6模块已有决策，进入通信协议 ——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