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功率拓扑架构 — 终版 (全部确认)</w:t>
      </w:r>
    </w:p>
    <w:p>
      <w:r>
        <w:rPr>
          <w:b w:val="0"/>
          <w:sz w:val="22"/>
        </w:rPr>
        <w:t>文档编号: SYS-ARCH-003 v1.0  |  日期: 2026-05-26  |  状态: T1-T7 全部确认</w:t>
      </w:r>
    </w:p>
    <w:p>
      <w:r>
        <w:rPr>
          <w:b w:val="0"/>
          <w:sz w:val="22"/>
        </w:rPr>
      </w:r>
    </w:p>
    <w:p>
      <w:pPr>
        <w:pStyle w:val="Heading1"/>
      </w:pPr>
      <w:r>
        <w:t>一、全部决策 (7/7)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细节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T1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栅极驱动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2路分组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各驱3-4管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DAC80508+OPA548x2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T2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电流采样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双分流器+ADS1115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0.002Rx2/INA180x2/LM358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总电流=软件加法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T3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25kHz动态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DAC直驱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Timer中断+SPI DMA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~8us &lt; 15us要求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T4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源极电阻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0.05R/5W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被动均流+粗读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50mV/A反馈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T5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MOSFET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M90N20 x8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TO-247, PD=580W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SOA=4A@100V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T6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预降压预留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PCB预留焊盘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V1.0直通, V2.0可选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50x30mm区域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T7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反接保护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MBR20100CT反向并联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+V_in极性ADC检测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继电器不闭合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二、功率级完整架构</w:t>
      </w:r>
    </w:p>
    <w:p>
      <w:r>
        <w:rPr>
          <w:b w:val="0"/>
          <w:sz w:val="22"/>
        </w:rPr>
      </w:r>
    </w:p>
    <w:p>
      <w:r>
        <w:rPr>
          <w:b w:val="0"/>
          <w:sz w:val="18"/>
        </w:rPr>
        <w:br/>
        <w:t xml:space="preserve">  DC+ -&gt; 熔丝125A -&gt; 反接保护(MBR20100CT) -&gt; 继电器(HF165FD)</w:t>
        <w:br/>
        <w:t xml:space="preserve">       |</w:t>
        <w:br/>
        <w:t xml:space="preserve">       +-&gt; [预留预降压焊盘 BUCK_PREREG_OPT, V1.0直通]</w:t>
        <w:br/>
        <w:t xml:space="preserve">       |</w:t>
        <w:br/>
        <w:t xml:space="preserve">       +-&gt; Shunt_A(0.002R) -&gt; M90N20 x4(Group A) -&gt; GND</w:t>
        <w:br/>
        <w:t xml:space="preserve">       |    |                      |</w:t>
        <w:br/>
        <w:t xml:space="preserve">       |    INA180-A         OPA548-A &lt;- DAC80508 ChA</w:t>
        <w:br/>
        <w:t xml:space="preserve">       |</w:t>
        <w:br/>
        <w:t xml:space="preserve">       +-&gt; Shunt_B(0.002R) -&gt; M90N20 x4(Group B) -&gt; GND</w:t>
        <w:br/>
        <w:t xml:space="preserve">            |                      |</w:t>
        <w:br/>
        <w:t xml:space="preserve">            INA180-B         OPA548-B &lt;- DAC80508 ChB</w:t>
        <w:br/>
        <w:br/>
        <w:t xml:space="preserve">  测量: INA180x2 -&gt; ADS1115(I2C) + LM358求和-&gt;CMPSS1(OCP硬件)</w:t>
        <w:br/>
        <w:t xml:space="preserve">  控制: C2000 SPI-&gt;DAC80508, I2C-&gt;ADS1115</w:t>
        <w:br/>
      </w:r>
    </w:p>
    <w:p>
      <w:r>
        <w:rPr>
          <w:b w:val="0"/>
          <w:sz w:val="22"/>
        </w:rPr>
      </w:r>
    </w:p>
    <w:p>
      <w:pPr>
        <w:pStyle w:val="Heading1"/>
      </w:pPr>
      <w:r>
        <w:t>三、功率级 BOM (全部)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物料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小计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MOSFET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M90N20 TO-247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待查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SOA=4A@100V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绝缘垫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氮化铝陶瓷 TO-247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源极电阻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0.05R/5W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被动均流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锰铜分流器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0.002R/3W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Group A/B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INA180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差分运放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6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LM358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双运放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1.5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1.5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求和-&gt;CMPSS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DAC80508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8ch 16bit SPI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仅用2ch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OPA548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功率运放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各驱4-6管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ADS1115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16bit I2C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栅极电阻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10R 0805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0.3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2.4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MBR20100CT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肖特基 TO-220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反接保护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保险丝座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5x20mm面板安装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保险丝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125A快断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含备品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PCB预留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预降压焊盘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V1.0不焊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16C79A"/>
                <w:sz w:val="16"/>
              </w:rPr>
              <w:t>合计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~128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(待M90N20单价)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—— 功率拓扑全部完成，进入控制架构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