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MTG-009: 控制架构 C1确认</w:t>
      </w:r>
    </w:p>
    <w:p>
      <w:r>
        <w:rPr>
          <w:b w:val="0"/>
          <w:sz w:val="22"/>
        </w:rPr>
        <w:t>日期: 2026-05-26  |  参与: 创始人 + AI  |  记录: AI</w:t>
      </w:r>
    </w:p>
    <w:p>
      <w:pPr>
        <w:pStyle w:val="Heading1"/>
      </w:pPr>
      <w:r>
        <w:t>C1: PID频率 860Hz</w:t>
      </w:r>
    </w:p>
    <w:p>
      <w:r>
        <w:rPr>
          <w:b w:val="0"/>
          <w:sz w:val="22"/>
        </w:rPr>
        <w:t>ADS1115 860SPS → PID周期=1.16ms。</w:t>
      </w:r>
    </w:p>
    <w:p>
      <w:r>
        <w:rPr>
          <w:b w:val="0"/>
          <w:sz w:val="22"/>
        </w:rPr>
        <w:t>分析: PID只管稳态精度。快速事件走CMPSS硬件(&lt;100ns)，25kHz动态走Timer+DMA开环。</w:t>
      </w:r>
    </w:p>
    <w:p>
      <w:r>
        <w:rPr>
          <w:b w:val="0"/>
          <w:sz w:val="22"/>
        </w:rPr>
        <w:t>被控对象(电源/电池)带宽~30Hz，860Hz=28x，远超需求。</w:t>
      </w:r>
    </w:p>
    <w:p>
      <w:r>
        <w:rPr>
          <w:b/>
          <w:sz w:val="22"/>
        </w:rPr>
        <w:t>&gt; 决策: 保留860Hz单精密PID方案，不做双速率内环</w:t>
      </w:r>
    </w:p>
    <w:p>
      <w:pPr>
        <w:pStyle w:val="Heading1"/>
      </w:pPr>
      <w:r>
        <w:t>C2-C4: 连带确认</w:t>
      </w:r>
    </w:p>
    <w:p>
      <w:r>
        <w:rPr>
          <w:b w:val="0"/>
          <w:sz w:val="22"/>
        </w:rPr>
        <w:t>C2: 双速率混合 — 精密ADS1115(PID) + 内部ADC + CMPSS(保护)</w:t>
      </w:r>
    </w:p>
    <w:p>
      <w:r>
        <w:rPr>
          <w:b w:val="0"/>
          <w:sz w:val="22"/>
        </w:rPr>
        <w:t>C3: 外环1kHz — CV/CP/CR外环，输出I_set给内环</w:t>
      </w:r>
    </w:p>
    <w:p>
      <w:r>
        <w:rPr>
          <w:b w:val="0"/>
          <w:sz w:val="22"/>
        </w:rPr>
        <w:t>C4: PID结构 — 增量式 + 抗积分饱和(clamping)</w:t>
      </w:r>
    </w:p>
    <w:p>
      <w:r>
        <w:rPr>
          <w:b/>
          <w:sz w:val="22"/>
        </w:rPr>
        <w:t>&gt; 以上均为当前方案默认，一并确认</w:t>
      </w:r>
    </w:p>
    <w:p>
      <w:pPr>
        <w:pStyle w:val="Heading1"/>
      </w:pPr>
      <w:r>
        <w:t>待续: C5/C6</w:t>
      </w:r>
    </w:p>
    <w:p>
      <w:r>
        <w:rPr>
          <w:b w:val="0"/>
          <w:sz w:val="22"/>
        </w:rPr>
        <w:t>C5: DAC更新变化率限制</w:t>
      </w:r>
    </w:p>
    <w:p>
      <w:r>
        <w:rPr>
          <w:b w:val="0"/>
          <w:sz w:val="22"/>
        </w:rPr>
        <w:t>C6: 模式切换平滑过渡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