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MTG-012: 外观结构竞品调研与设计方向讨论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会议编号: MTG-012  |  日期: 2026-05-27  |  主题: 外观结构设计  |  所属维度: 04 外观结构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参与方: 创始人 + AI  |  产出: REF-STRUCT-001 v2.2 竞品报告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--------------------------------------------------</w:t>
      </w:r>
    </w:p>
    <w:p>
      <w:pPr>
        <w:pStyle w:val="Heading1"/>
      </w:pPr>
      <w:r>
        <w:rPr>
          <w:rFonts w:ascii="Microsoft YaHei" w:hAnsi="Microsoft YaHei" w:eastAsia="Microsoft YaHei"/>
        </w:rPr>
        <w:t>一、讨论背景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SYS-ARCH-006 外观结构框架 v0.1 已起草，包含 7 个待讨论决策点 (S1-S7)。在深入讨论之前，需要对市面同类产品进行充分调研，以竞品为参考来定义我们的外观结构方案。</w:t>
      </w:r>
    </w:p>
    <w:p>
      <w:pPr>
        <w:pStyle w:val="Heading1"/>
      </w:pPr>
      <w:r>
        <w:rPr>
          <w:rFonts w:ascii="Microsoft YaHei" w:hAnsi="Microsoft YaHei" w:eastAsia="Microsoft YaHei"/>
        </w:rPr>
        <w:t>二、讨论要点</w:t>
      </w:r>
    </w:p>
    <w:p>
      <w:pPr>
        <w:pStyle w:val="Heading2"/>
      </w:pPr>
      <w:r>
        <w:rPr>
          <w:rFonts w:ascii="Microsoft YaHei" w:hAnsi="Microsoft YaHei" w:eastAsia="Microsoft YaHei"/>
        </w:rPr>
        <w:t>2.1 竞品选择与调研范围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聚焦 1200W 级别可编程直流电子负载，调研了 9 款国内外产品：ITECH IT8814B、BK Precision 8616/8614、Maynuo M9715、Chroma 63204E、Array 3710A、Faith FT6800A、GW Instek PEL-3111。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同时调研了 Kunkin KP184、Rigol DL3021 等中低功率产品作为内部结构和拆解参考。</w:t>
      </w:r>
    </w:p>
    <w:p>
      <w:pPr>
        <w:pStyle w:val="Heading2"/>
      </w:pPr>
      <w:r>
        <w:rPr>
          <w:rFonts w:ascii="Microsoft YaHei" w:hAnsi="Microsoft YaHei" w:eastAsia="Microsoft YaHei"/>
        </w:rPr>
        <w:t>2.2 竞品外观特征对比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经过多轮图片验证 (报告从 v1.0 迭代到 v2.2，解决了图片来源不可靠的问题)，最终确认了以下关键发现：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竞品现状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我们的设计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差距/优势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外形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100% 3U-4U 大型台式/机架式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260x320x110mm 紧凑型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体积仅为竞品 1/5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重量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12-31kg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&lt;5kg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重量仅为竞品 1/4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功率密度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26-62 W/L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131 W/L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竞品的 3.8 倍 - 散热核心挑战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显示屏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100% 单色 VFD/OLED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4.3" IPS TFT 彩色触摸屏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交互体验明显领先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旋钮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100% 单旋钮右侧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单旋钮右侧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与行业一致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接口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RS-232 + GPIB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PMBus + CANbus + USB-C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工业现场总线独家优势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外壳材料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钣金冲压+喷涂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铝型材框架+SPCC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与行业一致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内部结构与散热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竞品拆解显示，1200W 级别内部结构高度一致：控制板与功率板物理分离，MOSFET 线性工作区方案，铝散热器直装功率器件。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Maynuo 的分组双散热器设计 (两组独立散热器各配一排 MOSFET) 在热分布上表现最好，实测 230W 仅 43度。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Rigol DL3021 的 PCIe 互连方案 (主板-UI子板) 信号完整性好，值得参考。</w:t>
      </w:r>
    </w:p>
    <w:p>
      <w:pPr>
        <w:pStyle w:val="Heading2"/>
      </w:pPr>
      <w:r>
        <w:rPr>
          <w:rFonts w:ascii="Microsoft YaHei" w:hAnsi="Microsoft YaHei" w:eastAsia="Microsoft YaHei"/>
        </w:rPr>
        <w:t>2.4 竞品设计教训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从公开拆解评测中提炼了 10 条设计教训：接地安全、大电流焊接质量、旋钮公差、PCB厚度、面板丝印、接线柱兼容性等。详见报告第七章。</w:t>
      </w:r>
    </w:p>
    <w:p>
      <w:pPr>
        <w:pStyle w:val="Heading1"/>
      </w:pPr>
      <w:r>
        <w:rPr>
          <w:rFonts w:ascii="Microsoft YaHei" w:hAnsi="Microsoft YaHei" w:eastAsia="Microsoft YaHei"/>
        </w:rPr>
        <w:t>三、决策结论</w:t>
      </w:r>
    </w:p>
    <w:p>
      <w:r>
        <w:rPr>
          <w:b/>
          <w:rFonts w:ascii="Microsoft YaHei" w:hAnsi="Microsoft YaHei" w:eastAsia="Microsoft YaHei"/>
          <w:color w:val="C81E1E"/>
          <w:sz w:val="21"/>
          <w:szCs w:val="21"/>
        </w:rPr>
        <w:t>D1: 竞品调研报告确认为 REF-STRUCT-001 v2.2，覆盖 9 款 1200W 级竞品，含 ITECH/BK/Maynuo 实物图片。</w:t>
      </w:r>
    </w:p>
    <w:p/>
    <w:p>
      <w:r>
        <w:rPr>
          <w:b/>
          <w:rFonts w:ascii="Microsoft YaHei" w:hAnsi="Microsoft YaHei" w:eastAsia="Microsoft YaHei"/>
          <w:color w:val="C81E1E"/>
          <w:sz w:val="21"/>
          <w:szCs w:val="21"/>
        </w:rPr>
        <w:t>D2: 确认我们的设计属于"紧凑型大功率电子负载"新品类，市场无直接对标 (最近竞品 Array 3710A 体积为 2.1 倍)。</w:t>
      </w:r>
    </w:p>
    <w:p/>
    <w:p>
      <w:r>
        <w:rPr>
          <w:b/>
          <w:rFonts w:ascii="Microsoft YaHei" w:hAnsi="Microsoft YaHei" w:eastAsia="Microsoft YaHei"/>
          <w:color w:val="C81E1E"/>
          <w:sz w:val="21"/>
          <w:szCs w:val="21"/>
        </w:rPr>
        <w:t>D3: SYS-ARCH-006 的 7 个决策点 (S1-S7) 在竞品调研基础上，下次讨论逐一过。</w:t>
      </w:r>
    </w:p>
    <w:p/>
    <w:p>
      <w:r>
        <w:rPr>
          <w:b/>
          <w:rFonts w:ascii="Microsoft YaHei" w:hAnsi="Microsoft YaHei" w:eastAsia="Microsoft YaHei"/>
          <w:color w:val="C81E1E"/>
          <w:sz w:val="21"/>
          <w:szCs w:val="21"/>
        </w:rPr>
        <w:t>D4: 功率密度 131 W/L 是竞品 3.8 倍，散热方案和重量约束 (建议放宽到 6-7kg) 是外观结构设计的核心挑战。</w:t>
      </w:r>
    </w:p>
    <w:p/>
    <w:p>
      <w:r>
        <w:rPr>
          <w:b/>
          <w:rFonts w:ascii="Microsoft YaHei" w:hAnsi="Microsoft YaHei" w:eastAsia="Microsoft YaHei"/>
          <w:color w:val="C81E1E"/>
          <w:sz w:val="21"/>
          <w:szCs w:val="21"/>
        </w:rPr>
        <w:t>D5: 文档和沟通记录过程要记录下来,确保设计回溯和持续迭代。</w:t>
      </w:r>
    </w:p>
    <w:p>
      <w:pPr>
        <w:pStyle w:val="Heading1"/>
      </w:pPr>
      <w:r>
        <w:rPr>
          <w:rFonts w:ascii="Microsoft YaHei" w:hAnsi="Microsoft YaHei" w:eastAsia="Microsoft YaHei"/>
        </w:rPr>
        <w:t>四、产出文件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1. REF-STRUCT-001_同类产品外观结构参考报告_v2.2.docx (最终版，含 8 张实物图片)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2. REF-STRUCT-001 多个历史版本 (v1.0 ~ v2.1)，保留完整迭代记录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3. SYS-ARCH-006_外观结构框架_v0.1.docx (待讨论)</w:t>
      </w:r>
    </w:p>
    <w:p>
      <w:pPr>
        <w:pStyle w:val="Heading1"/>
      </w:pPr>
      <w:r>
        <w:rPr>
          <w:rFonts w:ascii="Microsoft YaHei" w:hAnsi="Microsoft YaHei" w:eastAsia="Microsoft YaHei"/>
        </w:rPr>
        <w:t>五、下一步行动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1. 基于竞品报告，逐项讨论 SYS-ARCH-006 的 7 个决策点 (S1-S7)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2. 更新 SYS-ARCH-006 框架文档至 v0.2 或终版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3. 如有需要，对散热方案进行热仿真验证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4. 如涉及外观结构外包 (S7)，启动外包方筛选</w:t>
      </w:r>
    </w:p>
    <w:p/>
    <w:p>
      <w:r>
        <w:rPr>
          <w:b w:val="0"/>
          <w:rFonts w:ascii="Microsoft YaHei" w:hAnsi="Microsoft YaHei" w:eastAsia="Microsoft YaHei"/>
          <w:sz w:val="21"/>
          <w:szCs w:val="21"/>
        </w:rPr>
        <w:t>--- 记录完毕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Microsoft YaHei" w:hAnsi="Microsoft YaHei" w:eastAsia="Microsoft YaHei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Microsoft YaHei" w:hAnsi="Microsoft YaHei" w:eastAsia="Microsoft YaHei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Microsoft YaHei" w:hAnsi="Microsoft YaHei" w:eastAsia="Microsoft YaHei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Microsoft YaHei" w:hAnsi="Microsoft YaHei" w:eastAsia="Microsoft YaHei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Microsoft YaHei" w:hAnsi="Microsoft YaHei" w:eastAsia="Microsoft YaHe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Microsoft YaHei" w:hAnsi="Microsoft YaHei" w:eastAsia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Microsoft YaHei" w:hAnsi="Microsoft YaHei" w:eastAsia="Microsoft YaHei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Microsoft YaHei" w:hAnsi="Microsoft YaHei" w:eastAsia="Microsoft YaHei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Microsoft YaHei" w:hAnsi="Microsoft YaHei" w:eastAsia="Microsoft YaHei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Microsoft YaHei" w:hAnsi="Microsoft YaHei" w:eastAsia="Microsoft YaHei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Microsoft YaHei" w:hAnsi="Microsoft YaHei" w:eastAsia="Microsoft YaHei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Microsoft YaHei" w:hAnsi="Microsoft YaHei" w:eastAsia="Microsoft YaHe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