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Let us believe for a quick moment or a brief moment… however you wish to describe your moment in time, that time itself is finite. There is a beginning, a middle, and an end. We do indeed know and realize that time isn't finite. But that is a discussion for another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People come into this world to experience it. They live for a determined amount of time and then they die. They are born, this is the beginning. They live, the middle is introduced and carried on for a bit. They die, an end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Some would have you believe that is all there is to it. But what happened before they were born? What happens after the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You can see now the issue at stake. There was a beginning before their beginning. There is an end after their imposed end of life. You can now understand how confusing it can become… how amazing and intricate it can evolve as one thinks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But where does the line stand still? Where on earth indeed. I submit to you, it is not on earth that the line is even drawn in the sand. That line is drawn in the stars without boundaries or borders. The mind is the only limitation of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They say that man cannot use more than 10% of their mind. Movies have tried to predict what would happen if someone were to use more than 10% even up to 100% of their mind. If a person is given a limitation on how well they can use their mind, they will believe in that limitation and never look beyond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See beyond your future. See the possibilities of life that are out there. Be that person you wish to be. Declare today that you are looking for more, that you are willing to cross the threshold of life and death and to see what is out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Do not be afraid of what is out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Only believe.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