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D8D6" w14:textId="7DF186E1" w:rsidR="00F31C31" w:rsidRDefault="00050883">
      <w:pPr>
        <w:rPr>
          <w:rFonts w:eastAsiaTheme="minorEastAsia"/>
        </w:rPr>
      </w:pPr>
      <w:r>
        <w:rPr>
          <w:noProof/>
        </w:rPr>
        <w:drawing>
          <wp:inline distT="0" distB="0" distL="0" distR="0" wp14:anchorId="35D06378" wp14:editId="12F8A83E">
            <wp:extent cx="6210300" cy="3476625"/>
            <wp:effectExtent l="0" t="0" r="0" b="0"/>
            <wp:docPr id="1" name="Chart 1">
              <a:extLst xmlns:a="http://schemas.openxmlformats.org/drawingml/2006/main">
                <a:ext uri="{FF2B5EF4-FFF2-40B4-BE49-F238E27FC236}">
                  <a16:creationId xmlns:a16="http://schemas.microsoft.com/office/drawing/2014/main" id="{971020F6-BED7-4402-AD99-0A542E478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8A155D0" w14:textId="77777777" w:rsidR="00F31C31" w:rsidRDefault="00F31C31">
      <w:pPr>
        <w:rPr>
          <w:rFonts w:eastAsiaTheme="minorEastAsia"/>
        </w:rPr>
      </w:pPr>
    </w:p>
    <w:p w14:paraId="59827085" w14:textId="422BD91F" w:rsidR="00BF2870" w:rsidRDefault="00BF2870">
      <w:pPr>
        <w:rPr>
          <w:rFonts w:eastAsiaTheme="minorEastAsia"/>
        </w:rPr>
      </w:pPr>
      <w:r>
        <w:rPr>
          <w:rFonts w:eastAsiaTheme="minorEastAsia"/>
        </w:rPr>
        <w:t>The 4PL logistic function in BistroMath is written as:</w:t>
      </w:r>
    </w:p>
    <w:p w14:paraId="31334CF3" w14:textId="12BA9AFE" w:rsidR="00BF2870" w:rsidRDefault="00BF287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
            <m:fPr>
              <m:ctrlPr>
                <w:rPr>
                  <w:rFonts w:ascii="Cambria Math" w:hAnsi="Cambria Math"/>
                  <w:i/>
                </w:rPr>
              </m:ctrlPr>
            </m:fPr>
            <m:num>
              <m:r>
                <w:rPr>
                  <w:rFonts w:ascii="Cambria Math" w:hAnsi="Cambria Math"/>
                </w:rPr>
                <m:t>D-A</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B</m:t>
                          </m:r>
                        </m:den>
                      </m:f>
                    </m:e>
                  </m:d>
                </m:e>
                <m:sup>
                  <m:r>
                    <w:rPr>
                      <w:rFonts w:ascii="Cambria Math" w:hAnsi="Cambria Math"/>
                    </w:rPr>
                    <m:t>C</m:t>
                  </m:r>
                </m:sup>
              </m:sSup>
            </m:den>
          </m:f>
        </m:oMath>
      </m:oMathPara>
    </w:p>
    <w:p w14:paraId="76AE367B" w14:textId="237E7950" w:rsidR="00BF2870" w:rsidRDefault="00BF2870">
      <w:pPr>
        <w:rPr>
          <w:rFonts w:eastAsiaTheme="minorEastAsia"/>
        </w:rPr>
      </w:pPr>
      <w:r>
        <w:rPr>
          <w:rFonts w:eastAsiaTheme="minorEastAsia"/>
        </w:rPr>
        <w:t>where</w:t>
      </w:r>
      <w:r w:rsidR="00050883">
        <w:rPr>
          <w:rFonts w:eastAsiaTheme="minorEastAsia"/>
        </w:rPr>
        <w:t>:</w:t>
      </w:r>
    </w:p>
    <w:p w14:paraId="3DE31D1D" w14:textId="6F5002EF" w:rsidR="00BF2870" w:rsidRDefault="00BF2870">
      <w:pPr>
        <w:rPr>
          <w:rFonts w:eastAsiaTheme="minorEastAsia"/>
        </w:rPr>
      </w:pPr>
      <w:r>
        <w:rPr>
          <w:rFonts w:eastAsiaTheme="minorEastAsia"/>
        </w:rPr>
        <w:tab/>
        <w:t>A: the low level of the function</w:t>
      </w:r>
    </w:p>
    <w:p w14:paraId="6B8D6B08" w14:textId="3661FD35" w:rsidR="00BF2870" w:rsidRDefault="00BF2870">
      <w:pPr>
        <w:rPr>
          <w:rFonts w:eastAsiaTheme="minorEastAsia"/>
        </w:rPr>
      </w:pPr>
      <w:r>
        <w:rPr>
          <w:rFonts w:eastAsiaTheme="minorEastAsia"/>
        </w:rPr>
        <w:tab/>
        <w:t xml:space="preserve">B: the approximate </w:t>
      </w:r>
      <w:r w:rsidR="00F713BD">
        <w:rPr>
          <w:rFonts w:eastAsiaTheme="minorEastAsia"/>
        </w:rPr>
        <w:t>inflection point</w:t>
      </w:r>
    </w:p>
    <w:p w14:paraId="683B9D50" w14:textId="51F5BE9D" w:rsidR="00F31C31" w:rsidRDefault="00F31C31">
      <w:pPr>
        <w:rPr>
          <w:rFonts w:eastAsiaTheme="minorEastAsia"/>
        </w:rPr>
      </w:pPr>
      <w:r>
        <w:rPr>
          <w:rFonts w:eastAsiaTheme="minorEastAsia"/>
        </w:rPr>
        <w:tab/>
        <w:t>C: the slope of the sigmoid</w:t>
      </w:r>
    </w:p>
    <w:p w14:paraId="5B9E782E" w14:textId="62781729" w:rsidR="00F31C31" w:rsidRDefault="00F31C31">
      <w:pPr>
        <w:rPr>
          <w:rFonts w:eastAsiaTheme="minorEastAsia"/>
        </w:rPr>
      </w:pPr>
      <w:r>
        <w:rPr>
          <w:rFonts w:eastAsiaTheme="minorEastAsia"/>
        </w:rPr>
        <w:tab/>
        <w:t>D: the high level</w:t>
      </w:r>
    </w:p>
    <w:p w14:paraId="341D7203" w14:textId="68ABA911" w:rsidR="00F31C31" w:rsidRDefault="00F31C31">
      <w:pPr>
        <w:rPr>
          <w:rFonts w:eastAsiaTheme="minorEastAsia"/>
        </w:rPr>
      </w:pPr>
    </w:p>
    <w:p w14:paraId="342FEDD6" w14:textId="0E72887C" w:rsidR="00BF2870" w:rsidRDefault="00F31C31">
      <w:pPr>
        <w:rPr>
          <w:rFonts w:eastAsiaTheme="minorEastAsia"/>
        </w:rPr>
      </w:pPr>
      <w:r>
        <w:rPr>
          <w:rFonts w:eastAsiaTheme="minorEastAsia"/>
        </w:rPr>
        <w:t>The real inflection point can be found as:</w:t>
      </w:r>
    </w:p>
    <w:p w14:paraId="113D9AD4" w14:textId="76CB0A23" w:rsidR="00BF2870" w:rsidRPr="00F31C31" w:rsidRDefault="00BF2870">
      <w:pPr>
        <w:rPr>
          <w:rFonts w:eastAsiaTheme="minorEastAsia"/>
        </w:rPr>
      </w:pPr>
      <m:oMathPara>
        <m:oMath>
          <m:r>
            <w:rPr>
              <w:rFonts w:ascii="Cambria Math" w:eastAsiaTheme="minorEastAsia" w:hAnsi="Cambria Math"/>
            </w:rPr>
            <m:t>x=B*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C-1</m:t>
                      </m:r>
                    </m:num>
                    <m:den>
                      <m:r>
                        <w:rPr>
                          <w:rFonts w:ascii="Cambria Math" w:eastAsiaTheme="minorEastAsia" w:hAnsi="Cambria Math"/>
                        </w:rPr>
                        <m:t>C+1</m:t>
                      </m:r>
                    </m:den>
                  </m:f>
                </m:e>
              </m:d>
            </m:e>
            <m:sup>
              <m:r>
                <w:rPr>
                  <w:rFonts w:ascii="Cambria Math" w:eastAsiaTheme="minorEastAsia" w:hAnsi="Cambria Math"/>
                </w:rPr>
                <m:t>1/C</m:t>
              </m:r>
            </m:sup>
          </m:sSup>
        </m:oMath>
      </m:oMathPara>
    </w:p>
    <w:p w14:paraId="6650CAD0" w14:textId="44816F32" w:rsidR="00F31C31" w:rsidRDefault="00F31C31">
      <w:pPr>
        <w:rPr>
          <w:rFonts w:eastAsiaTheme="minorEastAsia"/>
        </w:rPr>
      </w:pPr>
    </w:p>
    <w:p w14:paraId="481940EA" w14:textId="05369967" w:rsidR="00BE7F21" w:rsidRDefault="00BE7F21">
      <w:pPr>
        <w:rPr>
          <w:rFonts w:eastAsiaTheme="minorEastAsia"/>
        </w:rPr>
      </w:pPr>
      <w:r>
        <w:rPr>
          <w:rFonts w:eastAsiaTheme="minorEastAsia"/>
        </w:rPr>
        <w:t>The inflection point correction is very small as the slope has typically a value in the order of 100.</w:t>
      </w:r>
    </w:p>
    <w:p w14:paraId="13FF9007" w14:textId="4DFC195A" w:rsidR="00E14347" w:rsidRDefault="00E14347">
      <w:pPr>
        <w:rPr>
          <w:rFonts w:eastAsiaTheme="minorEastAsia"/>
        </w:rPr>
      </w:pPr>
      <w:r>
        <w:rPr>
          <w:rFonts w:eastAsiaTheme="minorEastAsia"/>
        </w:rPr>
        <w:t>The function does not perform well for x=0</w:t>
      </w:r>
      <w:r w:rsidR="00BE7F21">
        <w:rPr>
          <w:rFonts w:eastAsiaTheme="minorEastAsia"/>
        </w:rPr>
        <w:t>. Th</w:t>
      </w:r>
      <w:r>
        <w:rPr>
          <w:rFonts w:eastAsiaTheme="minorEastAsia"/>
        </w:rPr>
        <w:t xml:space="preserve">erfore the data are shifted if needed to guarantee that the whole range to fit does not include the origin. As the inflection point is closely related to the peak in the first derivative of the data this is an excellent initial value of B. Around this point a range of typically 2 cm is chosen. The first and last data point can used </w:t>
      </w:r>
      <w:r w:rsidR="0084644A">
        <w:rPr>
          <w:rFonts w:eastAsiaTheme="minorEastAsia"/>
        </w:rPr>
        <w:t xml:space="preserve">as estimates for the </w:t>
      </w:r>
      <w:r>
        <w:rPr>
          <w:rFonts w:eastAsiaTheme="minorEastAsia"/>
        </w:rPr>
        <w:t>low level (A), high level (D)</w:t>
      </w:r>
      <w:r w:rsidR="00050883">
        <w:rPr>
          <w:rFonts w:eastAsiaTheme="minorEastAsia"/>
        </w:rPr>
        <w:t xml:space="preserve"> and slope (C) initial values for a </w:t>
      </w:r>
      <w:r w:rsidR="00BE7F21">
        <w:rPr>
          <w:rFonts w:eastAsiaTheme="minorEastAsia"/>
        </w:rPr>
        <w:t>pa</w:t>
      </w:r>
      <w:r w:rsidR="0084644A">
        <w:rPr>
          <w:rFonts w:eastAsiaTheme="minorEastAsia"/>
        </w:rPr>
        <w:t>r</w:t>
      </w:r>
      <w:r w:rsidR="00BE7F21">
        <w:rPr>
          <w:rFonts w:eastAsiaTheme="minorEastAsia"/>
        </w:rPr>
        <w:t>ameter optimalisation</w:t>
      </w:r>
      <w:r w:rsidR="00050883">
        <w:rPr>
          <w:rFonts w:eastAsiaTheme="minorEastAsia"/>
        </w:rPr>
        <w:t xml:space="preserve"> procedure. Such a procedure needs only a few loops to converge</w:t>
      </w:r>
      <w:r w:rsidR="00BE7F21">
        <w:rPr>
          <w:rFonts w:eastAsiaTheme="minorEastAsia"/>
        </w:rPr>
        <w:t xml:space="preserve"> in this case.</w:t>
      </w:r>
    </w:p>
    <w:p w14:paraId="500FE59E" w14:textId="77777777" w:rsidR="00050883" w:rsidRDefault="00050883">
      <w:pPr>
        <w:rPr>
          <w:rFonts w:eastAsiaTheme="minorEastAsia"/>
        </w:rPr>
      </w:pPr>
    </w:p>
    <w:p w14:paraId="34939EA4" w14:textId="14942FEF" w:rsidR="00F31C31" w:rsidRDefault="00F31C31">
      <w:pPr>
        <w:rPr>
          <w:rFonts w:eastAsiaTheme="minorEastAsia"/>
        </w:rPr>
      </w:pPr>
      <w:r>
        <w:rPr>
          <w:rFonts w:eastAsiaTheme="minorEastAsia"/>
        </w:rPr>
        <w:t>The inverse function can be used to calculate the position of other levels around then inflection point:</w:t>
      </w:r>
    </w:p>
    <w:p w14:paraId="31EFCD68" w14:textId="5AA3BE72" w:rsidR="00F31C31" w:rsidRPr="00BF2870" w:rsidRDefault="00F31C31">
      <w:pPr>
        <w:rPr>
          <w:rFonts w:eastAsiaTheme="minorEastAsia"/>
        </w:rPr>
      </w:pPr>
      <m:oMathPara>
        <m:oMath>
          <m:r>
            <w:rPr>
              <w:rFonts w:ascii="Cambria Math" w:eastAsiaTheme="minorEastAsia" w:hAnsi="Cambria Math"/>
            </w:rPr>
            <m:t>x=B*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f(x)</m:t>
                      </m:r>
                      <m:r>
                        <w:rPr>
                          <w:rFonts w:ascii="Cambria Math" w:eastAsiaTheme="minorEastAsia" w:hAnsi="Cambria Math"/>
                        </w:rPr>
                        <m:t>-</m:t>
                      </m:r>
                      <m:r>
                        <w:rPr>
                          <w:rFonts w:ascii="Cambria Math" w:eastAsiaTheme="minorEastAsia" w:hAnsi="Cambria Math"/>
                        </w:rPr>
                        <m:t>D</m:t>
                      </m:r>
                    </m:num>
                    <m:den>
                      <m:r>
                        <w:rPr>
                          <w:rFonts w:ascii="Cambria Math" w:eastAsiaTheme="minorEastAsia" w:hAnsi="Cambria Math"/>
                        </w:rPr>
                        <m:t>A-f(x)</m:t>
                      </m:r>
                    </m:den>
                  </m:f>
                </m:e>
              </m:d>
            </m:e>
            <m:sup>
              <m:r>
                <w:rPr>
                  <w:rFonts w:ascii="Cambria Math" w:eastAsiaTheme="minorEastAsia" w:hAnsi="Cambria Math"/>
                </w:rPr>
                <m:t>1/C</m:t>
              </m:r>
            </m:sup>
          </m:sSup>
        </m:oMath>
      </m:oMathPara>
    </w:p>
    <w:sectPr w:rsidR="00F31C31" w:rsidRPr="00BF2870" w:rsidSect="00050883">
      <w:pgSz w:w="12240" w:h="15840"/>
      <w:pgMar w:top="1191"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70"/>
    <w:rsid w:val="00050883"/>
    <w:rsid w:val="001A7629"/>
    <w:rsid w:val="005E4581"/>
    <w:rsid w:val="0084644A"/>
    <w:rsid w:val="00911081"/>
    <w:rsid w:val="00BE7F21"/>
    <w:rsid w:val="00BF2870"/>
    <w:rsid w:val="00D7626B"/>
    <w:rsid w:val="00E14347"/>
    <w:rsid w:val="00F31C31"/>
    <w:rsid w:val="00F7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F70"/>
  <w15:chartTrackingRefBased/>
  <w15:docId w15:val="{D7BD641C-7496-4A8D-B526-41E88FB0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Lazarus\projects\BistroMath\testing\synthetic_sigmoi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Sheet1!$A$58:$A$70</c:f>
              <c:numCache>
                <c:formatCode>0.0</c:formatCode>
                <c:ptCount val="13"/>
                <c:pt idx="0">
                  <c:v>-69</c:v>
                </c:pt>
                <c:pt idx="1">
                  <c:v>-66</c:v>
                </c:pt>
                <c:pt idx="2">
                  <c:v>-63</c:v>
                </c:pt>
                <c:pt idx="3">
                  <c:v>-60</c:v>
                </c:pt>
                <c:pt idx="4">
                  <c:v>-57</c:v>
                </c:pt>
                <c:pt idx="5">
                  <c:v>-54</c:v>
                </c:pt>
                <c:pt idx="6">
                  <c:v>-51</c:v>
                </c:pt>
                <c:pt idx="7">
                  <c:v>-48</c:v>
                </c:pt>
                <c:pt idx="8">
                  <c:v>-45</c:v>
                </c:pt>
                <c:pt idx="9">
                  <c:v>-42</c:v>
                </c:pt>
                <c:pt idx="10">
                  <c:v>-39</c:v>
                </c:pt>
                <c:pt idx="11">
                  <c:v>-36</c:v>
                </c:pt>
                <c:pt idx="12">
                  <c:v>-33</c:v>
                </c:pt>
              </c:numCache>
            </c:numRef>
          </c:xVal>
          <c:yVal>
            <c:numRef>
              <c:f>Sheet1!$B$58:$B$70</c:f>
              <c:numCache>
                <c:formatCode>0.00</c:formatCode>
                <c:ptCount val="13"/>
                <c:pt idx="0">
                  <c:v>2.8558050608144745</c:v>
                </c:pt>
                <c:pt idx="1">
                  <c:v>3.1929634895283812</c:v>
                </c:pt>
                <c:pt idx="2">
                  <c:v>3.8947934455691762</c:v>
                </c:pt>
                <c:pt idx="3">
                  <c:v>5.5826002645886197</c:v>
                </c:pt>
                <c:pt idx="4">
                  <c:v>9.9472430587192981</c:v>
                </c:pt>
                <c:pt idx="5">
                  <c:v>20.958594998795057</c:v>
                </c:pt>
                <c:pt idx="6">
                  <c:v>43.654270360690852</c:v>
                </c:pt>
                <c:pt idx="7">
                  <c:v>72.916074029348536</c:v>
                </c:pt>
                <c:pt idx="8">
                  <c:v>92.873879946200006</c:v>
                </c:pt>
                <c:pt idx="9">
                  <c:v>100.8969929320026</c:v>
                </c:pt>
                <c:pt idx="10">
                  <c:v>103.33292362044052</c:v>
                </c:pt>
                <c:pt idx="11">
                  <c:v>104.0471891367027</c:v>
                </c:pt>
                <c:pt idx="12">
                  <c:v>104.33345181591959</c:v>
                </c:pt>
              </c:numCache>
            </c:numRef>
          </c:yVal>
          <c:smooth val="1"/>
          <c:extLst>
            <c:ext xmlns:c16="http://schemas.microsoft.com/office/drawing/2014/chart" uri="{C3380CC4-5D6E-409C-BE32-E72D297353CC}">
              <c16:uniqueId val="{00000000-CB3B-4D14-890A-45C988B691A9}"/>
            </c:ext>
          </c:extLst>
        </c:ser>
        <c:dLbls>
          <c:showLegendKey val="0"/>
          <c:showVal val="0"/>
          <c:showCatName val="0"/>
          <c:showSerName val="0"/>
          <c:showPercent val="0"/>
          <c:showBubbleSize val="0"/>
        </c:dLbls>
        <c:axId val="387478656"/>
        <c:axId val="293940400"/>
      </c:scatterChart>
      <c:valAx>
        <c:axId val="387478656"/>
        <c:scaling>
          <c:orientation val="minMax"/>
          <c:max val="-30"/>
          <c:min val="-70"/>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93940400"/>
        <c:crosses val="autoZero"/>
        <c:crossBetween val="midCat"/>
      </c:valAx>
      <c:valAx>
        <c:axId val="293940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747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169</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4</cp:revision>
  <dcterms:created xsi:type="dcterms:W3CDTF">2020-07-07T16:03:00Z</dcterms:created>
  <dcterms:modified xsi:type="dcterms:W3CDTF">2020-07-07T19:31:00Z</dcterms:modified>
</cp:coreProperties>
</file>