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59B73">
      <w:pPr>
        <w:spacing w:after="40"/>
        <w:jc w:val="center"/>
        <w:rPr>
          <w:color w:val="auto"/>
        </w:rPr>
      </w:pPr>
      <w:r>
        <w:rPr>
          <w:rFonts w:ascii="Times New Roman" w:hAnsi="Times New Roman" w:eastAsia="Noto Sans CJK SC"/>
          <w:b/>
          <w:color w:val="auto"/>
          <w:sz w:val="30"/>
        </w:rPr>
        <w:t>单目深度估计避障提示系统——中期进展报告</w:t>
      </w:r>
    </w:p>
    <w:p w14:paraId="7CDF87A2">
      <w:pPr>
        <w:spacing w:after="80"/>
        <w:jc w:val="center"/>
        <w:rPr>
          <w:color w:val="auto"/>
        </w:rPr>
      </w:pPr>
      <w:r>
        <w:rPr>
          <w:rFonts w:ascii="Times New Roman" w:hAnsi="Times New Roman" w:eastAsia="Noto Serif CJK SC"/>
          <w:color w:val="auto"/>
          <w:sz w:val="17"/>
        </w:rPr>
        <w:t>第10周中期检查｜已完成数据清洗、基线训练与问题复盘｜后续目标：模型调优与可视化 Demo</w:t>
      </w:r>
    </w:p>
    <w:p w14:paraId="249A6779">
      <w:pPr>
        <w:pStyle w:val="3"/>
        <w:pBdr>
          <w:bottom w:val="single" w:color="6D83A0" w:sz="4" w:space="1"/>
        </w:pBdr>
        <w:spacing w:before="100" w:after="40"/>
        <w:rPr>
          <w:color w:val="auto"/>
        </w:rPr>
      </w:pPr>
      <w:r>
        <w:rPr>
          <w:rFonts w:ascii="Times New Roman" w:hAnsi="Times New Roman" w:eastAsia="Noto Sans CJK SC"/>
          <w:b/>
          <w:color w:val="auto"/>
          <w:sz w:val="20"/>
        </w:rPr>
        <w:t>一、项目定位与中期目标</w:t>
      </w:r>
    </w:p>
    <w:p w14:paraId="54FED769">
      <w:pPr>
        <w:spacing w:before="0" w:after="20" w:line="259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8"/>
        </w:rPr>
        <w:t>本项目面向摄像头前方障碍感知场景，目标是从单帧 RGB 图像预测像素级深度图，并在后续 Demo 中结合道路前方 ROI 区域、距离阈值和红色警示叠加实现避障提示。中期阶段不追求一次性完成全部功能，而是先完成一个可复现的工程闭环：公开数据集获取与清洗、基线模型训练、训练日志保存、推理结果检查和代码仓库整理。</w:t>
      </w:r>
    </w:p>
    <w:p w14:paraId="6DF05132">
      <w:pPr>
        <w:pStyle w:val="3"/>
        <w:pBdr>
          <w:bottom w:val="single" w:color="6D83A0" w:sz="4" w:space="1"/>
        </w:pBdr>
        <w:spacing w:before="100" w:after="40"/>
        <w:rPr>
          <w:color w:val="auto"/>
        </w:rPr>
      </w:pPr>
      <w:r>
        <w:rPr>
          <w:rFonts w:ascii="Times New Roman" w:hAnsi="Times New Roman" w:eastAsia="Noto Sans CJK SC"/>
          <w:b/>
          <w:color w:val="auto"/>
          <w:sz w:val="20"/>
        </w:rPr>
        <w:t>二、数据采集、清洗与可视化</w:t>
      </w:r>
    </w:p>
    <w:p w14:paraId="5BF9F2E7">
      <w:pPr>
        <w:spacing w:before="0" w:after="20" w:line="259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8"/>
        </w:rPr>
        <w:t>数据来源为 KITTI Raw Dataset。当前已覆盖 4 个采集日期、37 个驾驶序列，共 18,201 个同步图像—LiDAR 文件；经元数据提取、frame_id 精确匹配、异常样本检测、序列级划分、深度投影检查、统计可视化与 Monodepth2 格式转换后，剔除 11 个异常样本，得到 18,190 个有效样本。数据按驾驶序列整体划分，避免同一场景同时出现在训练和验证/测试中：训练集 14,109 张，验证集 2,369 张，预留测试集 1,712 张。原始图像存在 375×1242、370×1224、374×1238、370×1226 四种尺寸，训练时统一缩放至 192×640。</w:t>
      </w:r>
    </w:p>
    <w:p w14:paraId="311FEC19">
      <w:pPr>
        <w:spacing w:before="0" w:after="20" w:line="259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8"/>
        </w:rPr>
        <w:t>已完成的可视化包括：样本图像网格、各序列样本数量统计、LiDAR 点云点数分布、图像尺寸分布、深度投影效果检查和训练/验证划分统计。需要说明的是，LiDAR 深度图目前主要用于数据质量检查和后续定量评估；当前 Monodepth2 训练仍采用自监督光度重投影损失，不直接依赖人工深度标注。</w:t>
      </w:r>
    </w:p>
    <w:p w14:paraId="7A86D744">
      <w:pPr>
        <w:pStyle w:val="3"/>
        <w:pBdr>
          <w:bottom w:val="single" w:color="6D83A0" w:sz="4" w:space="1"/>
        </w:pBdr>
        <w:spacing w:before="100" w:after="40"/>
        <w:rPr>
          <w:color w:val="auto"/>
        </w:rPr>
      </w:pPr>
      <w:r>
        <w:rPr>
          <w:rFonts w:ascii="Times New Roman" w:hAnsi="Times New Roman" w:eastAsia="Noto Sans CJK SC"/>
          <w:b/>
          <w:color w:val="auto"/>
          <w:sz w:val="20"/>
        </w:rPr>
        <w:t>三、模型设计与基线训练</w:t>
      </w:r>
    </w:p>
    <w:p w14:paraId="30822D67">
      <w:pPr>
        <w:spacing w:before="0" w:after="20" w:line="259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8"/>
        </w:rPr>
        <w:t>基线模型采用 Monodepth2。网络由深度估计网络和位姿估计网络组成：深度网络使用 ResNet18 编码器和多尺度解码器，位姿网络估计相邻帧之间的相机运动。训练时利用当前帧与前后相邻帧构成样本，通过预测深度和相对位姿将相邻帧重投影到目标视角，并以 SSIM+L1 混合光度误差、最小重投影误差、自动掩膜和视差平滑项共同优化。该方案无需人工标注深度，适合课程要求中的 PyTorch 深度学习建模任务。</w:t>
      </w:r>
    </w:p>
    <w:p w14:paraId="4F9FC4D6">
      <w:pPr>
        <w:spacing w:before="0" w:after="20" w:line="259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8"/>
        </w:rPr>
        <w:t>训练环境为 RTX 4060 Laptop 8GB、PyTorch 2.5.1+cu121，输入分辨率 192×640，frame_ids=[0,-1,1]，编码器使用 ImageNet 预训练权重，优化器为 Adam。已完成两轮实验：V1 用于跑通流程，V2 在数据规模、训练轮数和 batch size 上进一步增强。</w:t>
      </w:r>
    </w:p>
    <w:tbl>
      <w:tblPr>
        <w:tblStyle w:val="32"/>
        <w:tblW w:w="0" w:type="auto"/>
        <w:jc w:val="center"/>
        <w:tblBorders>
          <w:top w:val="single" w:color="9AA7B2" w:sz="4" w:space="0"/>
          <w:left w:val="single" w:color="9AA7B2" w:sz="4" w:space="0"/>
          <w:bottom w:val="single" w:color="9AA7B2" w:sz="4" w:space="0"/>
          <w:right w:val="single" w:color="9AA7B2" w:sz="4" w:space="0"/>
          <w:insideH w:val="single" w:color="9AA7B2" w:sz="4" w:space="0"/>
          <w:insideV w:val="single" w:color="9AA7B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3666"/>
        <w:gridCol w:w="3657"/>
      </w:tblGrid>
      <w:tr w14:paraId="739CD8B1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</w:tblPrEx>
        <w:trPr>
          <w:jc w:val="center"/>
        </w:trPr>
        <w:tc>
          <w:tcPr>
            <w:tcW w:w="1304" w:type="dxa"/>
            <w:shd w:val="clear" w:color="auto" w:fill="EEF3F7"/>
            <w:vAlign w:val="center"/>
          </w:tcPr>
          <w:p w14:paraId="6846353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/>
                <w:color w:val="auto"/>
                <w:sz w:val="16"/>
              </w:rPr>
              <w:t>实验</w:t>
            </w:r>
          </w:p>
        </w:tc>
        <w:tc>
          <w:tcPr>
            <w:tcW w:w="3969" w:type="dxa"/>
            <w:shd w:val="clear" w:color="auto" w:fill="EEF3F7"/>
            <w:vAlign w:val="center"/>
          </w:tcPr>
          <w:p w14:paraId="13A025B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/>
                <w:color w:val="auto"/>
                <w:sz w:val="16"/>
              </w:rPr>
              <w:t>主要设置</w:t>
            </w:r>
          </w:p>
        </w:tc>
        <w:tc>
          <w:tcPr>
            <w:tcW w:w="3969" w:type="dxa"/>
            <w:shd w:val="clear" w:color="auto" w:fill="EEF3F7"/>
            <w:vAlign w:val="center"/>
          </w:tcPr>
          <w:p w14:paraId="1E7CAD5C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/>
                <w:color w:val="auto"/>
                <w:sz w:val="16"/>
              </w:rPr>
              <w:t>结果与作用</w:t>
            </w:r>
          </w:p>
        </w:tc>
      </w:tr>
      <w:tr w14:paraId="5E211671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BDDE9D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V1 基线</w:t>
            </w:r>
          </w:p>
        </w:tc>
        <w:tc>
          <w:tcPr>
            <w:tcW w:w="3969" w:type="dxa"/>
            <w:vAlign w:val="center"/>
          </w:tcPr>
          <w:p w14:paraId="72E7B858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20 epochs，batch=6，smoothness=1e-3</w:t>
            </w:r>
          </w:p>
        </w:tc>
        <w:tc>
          <w:tcPr>
            <w:tcW w:w="3969" w:type="dxa"/>
            <w:vAlign w:val="center"/>
          </w:tcPr>
          <w:p w14:paraId="27FD8ED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流程跑通；初步评估 AbsRel≈0.101，证明方案可行。</w:t>
            </w:r>
          </w:p>
        </w:tc>
      </w:tr>
      <w:tr w14:paraId="0DC5D746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09F7AC9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V2 改进</w:t>
            </w:r>
          </w:p>
        </w:tc>
        <w:tc>
          <w:tcPr>
            <w:tcW w:w="3969" w:type="dxa"/>
            <w:vAlign w:val="center"/>
          </w:tcPr>
          <w:p w14:paraId="7140757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40 epochs，batch=8，smoothness=1.5e-3；LR: 1e-4→1e-5→1e-6</w:t>
            </w:r>
          </w:p>
        </w:tc>
        <w:tc>
          <w:tcPr>
            <w:tcW w:w="3969" w:type="dxa"/>
            <w:vAlign w:val="center"/>
          </w:tcPr>
          <w:p w14:paraId="2EDDC3D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Train Loss 0.1461→0.0610（-58.2%）；Val Loss 0.1520→0.0520（-65.8%）。</w:t>
            </w:r>
          </w:p>
        </w:tc>
      </w:tr>
    </w:tbl>
    <w:p w14:paraId="214C37C1">
      <w:pPr>
        <w:spacing w:before="40" w:after="0"/>
        <w:jc w:val="left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687695" cy="203136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71C9">
      <w:pPr>
        <w:spacing w:after="0"/>
        <w:jc w:val="center"/>
        <w:rPr>
          <w:color w:val="auto"/>
        </w:rPr>
      </w:pPr>
      <w:r>
        <w:rPr>
          <w:rFonts w:ascii="Times New Roman" w:hAnsi="Times New Roman" w:eastAsia="Noto Serif CJK SC"/>
          <w:i/>
          <w:color w:val="auto"/>
          <w:sz w:val="15"/>
        </w:rPr>
        <w:t>图1  V2 训练/验证 Loss 曲线。整体呈下降趋势；验证曲线后期存在波动，后续将用全量验证集均值确认最优权重。</w:t>
      </w:r>
    </w:p>
    <w:p w14:paraId="43689633">
      <w:pPr>
        <w:rPr>
          <w:color w:val="auto"/>
        </w:rPr>
      </w:pPr>
      <w:r>
        <w:rPr>
          <w:color w:val="auto"/>
        </w:rPr>
        <w:br w:type="page"/>
      </w:r>
      <w:bookmarkStart w:id="0" w:name="_GoBack"/>
      <w:bookmarkEnd w:id="0"/>
    </w:p>
    <w:p w14:paraId="290BC028">
      <w:pPr>
        <w:pStyle w:val="3"/>
        <w:pBdr>
          <w:bottom w:val="single" w:color="6D83A0" w:sz="4" w:space="1"/>
        </w:pBdr>
        <w:spacing w:before="100" w:after="40"/>
        <w:rPr>
          <w:color w:val="auto"/>
        </w:rPr>
      </w:pPr>
      <w:r>
        <w:rPr>
          <w:rFonts w:ascii="Times New Roman" w:hAnsi="Times New Roman" w:eastAsia="Noto Sans CJK SC"/>
          <w:b/>
          <w:color w:val="auto"/>
          <w:sz w:val="20"/>
        </w:rPr>
        <w:t>四、主要问题与解决方案</w:t>
      </w:r>
    </w:p>
    <w:tbl>
      <w:tblPr>
        <w:tblStyle w:val="32"/>
        <w:tblW w:w="0" w:type="auto"/>
        <w:jc w:val="center"/>
        <w:tblBorders>
          <w:top w:val="single" w:color="9AA7B2" w:sz="4" w:space="0"/>
          <w:left w:val="single" w:color="9AA7B2" w:sz="4" w:space="0"/>
          <w:bottom w:val="single" w:color="9AA7B2" w:sz="4" w:space="0"/>
          <w:right w:val="single" w:color="9AA7B2" w:sz="4" w:space="0"/>
          <w:insideH w:val="single" w:color="9AA7B2" w:sz="4" w:space="0"/>
          <w:insideV w:val="single" w:color="9AA7B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6751"/>
      </w:tblGrid>
      <w:tr w14:paraId="748917C1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EF3F7"/>
            <w:vAlign w:val="center"/>
          </w:tcPr>
          <w:p w14:paraId="152B4320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/>
                <w:color w:val="auto"/>
                <w:sz w:val="16"/>
              </w:rPr>
              <w:t>问题</w:t>
            </w:r>
          </w:p>
        </w:tc>
        <w:tc>
          <w:tcPr>
            <w:tcW w:w="7427" w:type="dxa"/>
            <w:shd w:val="clear" w:color="auto" w:fill="EEF3F7"/>
            <w:vAlign w:val="center"/>
          </w:tcPr>
          <w:p w14:paraId="679C471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/>
                <w:color w:val="auto"/>
                <w:sz w:val="16"/>
              </w:rPr>
              <w:t>解决方案与效果</w:t>
            </w:r>
          </w:p>
        </w:tc>
      </w:tr>
      <w:tr w14:paraId="4C8868B5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9DD270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图像与点云错配</w:t>
            </w:r>
          </w:p>
        </w:tc>
        <w:tc>
          <w:tcPr>
            <w:tcW w:w="7427" w:type="dxa"/>
            <w:vAlign w:val="center"/>
          </w:tcPr>
          <w:p w14:paraId="2DB348B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部分 2011_09_30 序列按文件名排序会错位，已改为按 frame_id 精确匹配，避免训练样本对应错误。</w:t>
            </w:r>
          </w:p>
        </w:tc>
      </w:tr>
      <w:tr w14:paraId="4E8C6E8B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23829BE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多分辨率与首尾帧</w:t>
            </w:r>
          </w:p>
        </w:tc>
        <w:tc>
          <w:tcPr>
            <w:tcW w:w="7427" w:type="dxa"/>
            <w:vAlign w:val="center"/>
          </w:tcPr>
          <w:p w14:paraId="66FF1DE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不同日期相机分辨率不一致，统一缩放到 192×640；序列首尾帧缺少相邻帧，格式转换时自动过滤。</w:t>
            </w:r>
          </w:p>
        </w:tc>
      </w:tr>
      <w:tr w14:paraId="76B18062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F6F23C9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GPU 显存限制</w:t>
            </w:r>
          </w:p>
        </w:tc>
        <w:tc>
          <w:tcPr>
            <w:tcW w:w="7427" w:type="dxa"/>
            <w:vAlign w:val="center"/>
          </w:tcPr>
          <w:p w14:paraId="06E1B68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batch=12 会 OOM，经逐步测试确定 batch=8 为当前设备稳定上限，保证 40 epochs 训练完整完成。</w:t>
            </w:r>
          </w:p>
        </w:tc>
      </w:tr>
      <w:tr w14:paraId="3C10C7EA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19C6075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验证曲线波动</w:t>
            </w:r>
          </w:p>
        </w:tc>
        <w:tc>
          <w:tcPr>
            <w:tcW w:w="7427" w:type="dxa"/>
            <w:vAlign w:val="center"/>
          </w:tcPr>
          <w:p w14:paraId="23A4CD6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当前日志间隔为 250 step，Val Loss 可能受采样 batch 影响；后续对 epoch 30/35/40 权重做全量验证集与测试集评估。</w:t>
            </w:r>
          </w:p>
        </w:tc>
      </w:tr>
      <w:tr w14:paraId="22869306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DF8DAB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报告与代码规范</w:t>
            </w:r>
          </w:p>
        </w:tc>
        <w:tc>
          <w:tcPr>
            <w:tcW w:w="7427" w:type="dxa"/>
            <w:vAlign w:val="center"/>
          </w:tcPr>
          <w:p w14:paraId="7D36BA9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已建立 GitHub 仓库；下一步补齐 README、requirements.txt、运行命令、数据说明和关键结果图，方便验收复现。</w:t>
            </w:r>
          </w:p>
        </w:tc>
      </w:tr>
    </w:tbl>
    <w:p w14:paraId="1A10A060">
      <w:pPr>
        <w:pStyle w:val="3"/>
        <w:pBdr>
          <w:bottom w:val="single" w:color="6D83A0" w:sz="4" w:space="1"/>
        </w:pBdr>
        <w:spacing w:before="100" w:after="40"/>
        <w:rPr>
          <w:color w:val="auto"/>
        </w:rPr>
      </w:pPr>
      <w:r>
        <w:rPr>
          <w:rFonts w:ascii="Times New Roman" w:hAnsi="Times New Roman" w:eastAsia="Noto Sans CJK SC"/>
          <w:b/>
          <w:color w:val="auto"/>
          <w:sz w:val="20"/>
        </w:rPr>
        <w:t>五、课程要求对照与当前进度</w:t>
      </w:r>
    </w:p>
    <w:tbl>
      <w:tblPr>
        <w:tblStyle w:val="32"/>
        <w:tblW w:w="0" w:type="auto"/>
        <w:jc w:val="center"/>
        <w:tblBorders>
          <w:top w:val="single" w:color="9AA7B2" w:sz="4" w:space="0"/>
          <w:left w:val="single" w:color="9AA7B2" w:sz="4" w:space="0"/>
          <w:bottom w:val="single" w:color="9AA7B2" w:sz="4" w:space="0"/>
          <w:right w:val="single" w:color="9AA7B2" w:sz="4" w:space="0"/>
          <w:insideH w:val="single" w:color="9AA7B2" w:sz="4" w:space="0"/>
          <w:insideV w:val="single" w:color="9AA7B2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6453"/>
      </w:tblGrid>
      <w:tr w14:paraId="6F30DF5E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3F7"/>
            <w:vAlign w:val="center"/>
          </w:tcPr>
          <w:p w14:paraId="1F1851F2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/>
                <w:color w:val="auto"/>
                <w:sz w:val="16"/>
              </w:rPr>
              <w:t>任务书要求</w:t>
            </w:r>
          </w:p>
        </w:tc>
        <w:tc>
          <w:tcPr>
            <w:tcW w:w="7087" w:type="dxa"/>
            <w:shd w:val="clear" w:color="auto" w:fill="EEF3F7"/>
            <w:vAlign w:val="center"/>
          </w:tcPr>
          <w:p w14:paraId="2988669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/>
                <w:color w:val="auto"/>
                <w:sz w:val="16"/>
              </w:rPr>
              <w:t>当前完成情况</w:t>
            </w:r>
          </w:p>
        </w:tc>
      </w:tr>
      <w:tr w14:paraId="78862B0D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FA5436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数据采集与清洗</w:t>
            </w:r>
          </w:p>
        </w:tc>
        <w:tc>
          <w:tcPr>
            <w:tcW w:w="7087" w:type="dxa"/>
            <w:vAlign w:val="center"/>
          </w:tcPr>
          <w:p w14:paraId="7C04439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已完成 KITTI 数据下载、异常检测、去错配、统一格式和序列级划分，并保留清洗代码。</w:t>
            </w:r>
          </w:p>
        </w:tc>
      </w:tr>
      <w:tr w14:paraId="0C14012D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5A9A9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数据分析与可视化</w:t>
            </w:r>
          </w:p>
        </w:tc>
        <w:tc>
          <w:tcPr>
            <w:tcW w:w="7087" w:type="dxa"/>
            <w:vAlign w:val="center"/>
          </w:tcPr>
          <w:p w14:paraId="4158913A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已生成样本分布、点云点数、图像尺寸、深度投影和划分统计等可视化结果。</w:t>
            </w:r>
          </w:p>
        </w:tc>
      </w:tr>
      <w:tr w14:paraId="6FF629FE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8898AD3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模型训练与评估</w:t>
            </w:r>
          </w:p>
        </w:tc>
        <w:tc>
          <w:tcPr>
            <w:tcW w:w="7087" w:type="dxa"/>
            <w:vAlign w:val="center"/>
          </w:tcPr>
          <w:p w14:paraId="676DC85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已完成 Monodepth2 V1/V2 两轮训练，保存 train/val loss 日志、曲线和 checkpoint。</w:t>
            </w:r>
          </w:p>
        </w:tc>
      </w:tr>
      <w:tr w14:paraId="6E2AF971">
        <w:tblPrEx>
          <w:tblBorders>
            <w:top w:val="single" w:color="9AA7B2" w:sz="4" w:space="0"/>
            <w:left w:val="single" w:color="9AA7B2" w:sz="4" w:space="0"/>
            <w:bottom w:val="single" w:color="9AA7B2" w:sz="4" w:space="0"/>
            <w:right w:val="single" w:color="9AA7B2" w:sz="4" w:space="0"/>
            <w:insideH w:val="single" w:color="9AA7B2" w:sz="4" w:space="0"/>
            <w:insideV w:val="single" w:color="9AA7B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44CA87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问题分析与汇报</w:t>
            </w:r>
          </w:p>
        </w:tc>
        <w:tc>
          <w:tcPr>
            <w:tcW w:w="7087" w:type="dxa"/>
            <w:vAlign w:val="center"/>
          </w:tcPr>
          <w:p w14:paraId="614DC2DB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Noto Serif CJK SC"/>
                <w:b w:val="0"/>
                <w:color w:val="auto"/>
                <w:sz w:val="16"/>
              </w:rPr>
              <w:t>已整理数据处理问题、训练显存问题和后续模型评估计划，可作为最终报告实验过程材料。</w:t>
            </w:r>
          </w:p>
        </w:tc>
      </w:tr>
    </w:tbl>
    <w:p w14:paraId="45073BB9">
      <w:pPr>
        <w:pStyle w:val="3"/>
        <w:pBdr>
          <w:bottom w:val="single" w:color="6D83A0" w:sz="4" w:space="1"/>
        </w:pBdr>
        <w:spacing w:before="100" w:after="40"/>
        <w:rPr>
          <w:color w:val="auto"/>
        </w:rPr>
      </w:pPr>
      <w:r>
        <w:rPr>
          <w:rFonts w:ascii="Times New Roman" w:hAnsi="Times New Roman" w:eastAsia="Noto Sans CJK SC"/>
          <w:b/>
          <w:color w:val="auto"/>
          <w:sz w:val="20"/>
        </w:rPr>
        <w:t>六、后续计划</w:t>
      </w:r>
    </w:p>
    <w:p w14:paraId="29747A17">
      <w:pPr>
        <w:spacing w:before="0" w:after="20" w:line="259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8"/>
        </w:rPr>
        <w:t>第 11—16 周将围绕“模型效果 + 避障展示 + 对比实验”继续推进：① 对 V2 的 epoch 30/35/40 权重进行全量验证与测试集评估，选定最终 baseline；② 设计避障提示规则，包括近距离阈值、中心/左右 ROI 区域划分和红光警示逻辑；③ 制作单图与视频推理 Demo，展示 RGB 图像、深度热力图和警示叠加效果；④ 引入 Lite-Mono 或不同分辨率/平滑系数作为对比实验，说明精度、速度和显存占用差异；⑤ 整理最终技术报告、PPT 和代码仓库。</w:t>
      </w:r>
    </w:p>
    <w:p w14:paraId="55DA2F26">
      <w:pPr>
        <w:pStyle w:val="3"/>
        <w:pBdr>
          <w:bottom w:val="single" w:color="6D83A0" w:sz="4" w:space="1"/>
        </w:pBdr>
        <w:spacing w:before="100" w:after="40"/>
        <w:rPr>
          <w:color w:val="auto"/>
        </w:rPr>
      </w:pPr>
      <w:r>
        <w:rPr>
          <w:rFonts w:ascii="Times New Roman" w:hAnsi="Times New Roman" w:eastAsia="Noto Sans CJK SC"/>
          <w:b/>
          <w:color w:val="auto"/>
          <w:sz w:val="20"/>
        </w:rPr>
        <w:t>参考文献</w:t>
      </w:r>
    </w:p>
    <w:p w14:paraId="3CA83008">
      <w:pPr>
        <w:spacing w:before="0" w:after="0" w:line="240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6"/>
        </w:rPr>
        <w:t>[1] C. Godard et al., “Digging into Self-Supervised Monocular Depth Estimation,” ICCV, 2019.</w:t>
      </w:r>
    </w:p>
    <w:p w14:paraId="74EE22EA">
      <w:pPr>
        <w:spacing w:before="0" w:after="0" w:line="240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6"/>
        </w:rPr>
        <w:t>[2] A. Geiger et al., “Vision meets Robotics: The KITTI Dataset,” IJRR, 2013.</w:t>
      </w:r>
    </w:p>
    <w:p w14:paraId="07A88A6C">
      <w:pPr>
        <w:spacing w:before="0" w:after="0" w:line="240" w:lineRule="auto"/>
        <w:rPr>
          <w:color w:val="auto"/>
        </w:rPr>
      </w:pPr>
      <w:r>
        <w:rPr>
          <w:rFonts w:ascii="Times New Roman" w:hAnsi="Times New Roman" w:eastAsia="Noto Serif CJK SC"/>
          <w:color w:val="auto"/>
          <w:sz w:val="16"/>
        </w:rPr>
        <w:t>[3] N. Zhang et al., “Lite-Mono: A Lightweight CNN and Transformer Architecture for Self-Supervised Monocular Depth Estimation,” CVPR, 2023.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9279CD"/>
    <w:rsid w:val="252366C0"/>
    <w:rsid w:val="65DF0A5F"/>
    <w:rsid w:val="68F1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" w:line="259" w:lineRule="auto"/>
    </w:pPr>
    <w:rPr>
      <w:rFonts w:ascii="Times New Roman" w:hAnsi="Times New Roman" w:eastAsia="Noto Serif CJK SC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00" w:after="40" w:line="240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40" w:line="24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9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1559</Words>
  <Characters>2304</Characters>
  <Lines>0</Lines>
  <Paragraphs>0</Paragraphs>
  <TotalTime>0</TotalTime>
  <ScaleCrop>false</ScaleCrop>
  <LinksUpToDate>false</LinksUpToDate>
  <CharactersWithSpaces>2477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可豪</cp:lastModifiedBy>
  <dcterms:modified xsi:type="dcterms:W3CDTF">2026-05-10T13:58:43Z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eyJoZGlkIjoiOGYxNjcwODMzOGNiMTE5YTIwNTQ1ZmYxODE2NDM5ZDQiLCJ1c2VySWQiOiI2MTYzMTc1NjEifQ==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B78F5763609747759B7912A4546AC4B3_12</vt:lpwstr>
  </property>
</Properties>
</file>