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单目深度估计避障提示系统-中期进展报告"/>
    <w:p>
      <w:pPr>
        <w:pStyle w:val="Heading1"/>
      </w:pPr>
      <w:r>
        <w:t xml:space="preserve">单目深度估计避障提示系统 — 中期进展报告</w:t>
      </w:r>
    </w:p>
    <w:bookmarkStart w:id="20" w:name="一项目简介"/>
    <w:p>
      <w:pPr>
        <w:pStyle w:val="Heading2"/>
      </w:pPr>
      <w:r>
        <w:t xml:space="preserve">一、项目简介</w:t>
      </w:r>
    </w:p>
    <w:p>
      <w:pPr>
        <w:pStyle w:val="FirstParagraph"/>
      </w:pPr>
      <w:r>
        <w:t xml:space="preserve">本项目基于自监督单目深度估计方法 Monodepth2 [1]，利用 KITTI 车载数据集 [2] 训练模型，从单帧 RGB 图像预测像素级深度图，并在此基础上开发辅助驾驶避障提示功能。自监督方案仅依赖连续视频帧的光度重投影误差即可训练，无需昂贵的深度传感器标注，适合计算资源有限的小型实操项目。</w:t>
      </w:r>
    </w:p>
    <w:bookmarkEnd w:id="20"/>
    <w:bookmarkStart w:id="24" w:name="二数据处理"/>
    <w:p>
      <w:pPr>
        <w:pStyle w:val="Heading2"/>
      </w:pPr>
      <w:r>
        <w:t xml:space="preserve">二、数据处理</w:t>
      </w:r>
    </w:p>
    <w:bookmarkStart w:id="21" w:name="数据来源与规模"/>
    <w:p>
      <w:pPr>
        <w:pStyle w:val="Heading3"/>
      </w:pPr>
      <w:r>
        <w:t xml:space="preserve">2.1 数据来源与规模</w:t>
      </w:r>
    </w:p>
    <w:p>
      <w:pPr>
        <w:pStyle w:val="FirstParagraph"/>
      </w:pPr>
      <w:r>
        <w:t xml:space="preserve">使用 KITTI Raw Dataset 公开数据，从官方 S3 存储桶下载同步标定序列。共覆盖 4 个采集日期、37 个驾驶序列：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序列数</w:t>
            </w:r>
          </w:p>
        </w:tc>
        <w:tc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p>
            <w:pPr>
              <w:pStyle w:val="Compact"/>
              <w:jc w:val="left"/>
            </w:pPr>
            <w:r>
              <w:t xml:space="preserve">样本数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2011_09_26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375×1242</w:t>
            </w:r>
          </w:p>
        </w:tc>
        <w:tc>
          <w:p>
            <w:pPr>
              <w:pStyle w:val="Compact"/>
              <w:jc w:val="left"/>
            </w:pPr>
            <w:r>
              <w:t xml:space="preserve">1473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2011_09_28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370×1224</w:t>
            </w:r>
          </w:p>
        </w:tc>
        <w:tc>
          <w:p>
            <w:pPr>
              <w:pStyle w:val="Compact"/>
              <w:jc w:val="left"/>
            </w:pPr>
            <w:r>
              <w:t xml:space="preserve">1926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2011_09_29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374×1238</w:t>
            </w:r>
          </w:p>
        </w:tc>
        <w:tc>
          <w:p>
            <w:pPr>
              <w:pStyle w:val="Compact"/>
              <w:jc w:val="left"/>
            </w:pPr>
            <w:r>
              <w:t xml:space="preserve">1556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2011_09_30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370×1226</w:t>
            </w:r>
          </w:p>
        </w:tc>
        <w:tc>
          <w:p>
            <w:pPr>
              <w:pStyle w:val="Compact"/>
              <w:jc w:val="left"/>
            </w:pPr>
            <w:r>
              <w:t xml:space="preserve">13246</w:t>
            </w:r>
          </w:p>
        </w:tc>
      </w:tr>
    </w:tbl>
    <w:bookmarkEnd w:id="21"/>
    <w:bookmarkStart w:id="22" w:name="清洗流水线"/>
    <w:p>
      <w:pPr>
        <w:pStyle w:val="Heading3"/>
      </w:pPr>
      <w:r>
        <w:t xml:space="preserve">2.2 清洗流水线</w:t>
      </w:r>
    </w:p>
    <w:p>
      <w:pPr>
        <w:pStyle w:val="FirstParagraph"/>
      </w:pPr>
      <w:r>
        <w:t xml:space="preserve">按 7 步标准化流水线处理，每步对应独立脚本：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元数据提取</w:t>
      </w:r>
      <w:r>
        <w:t xml:space="preserve">（</w:t>
      </w:r>
      <w:r>
        <w:rPr>
          <w:rStyle w:val="VerbatimChar"/>
        </w:rPr>
        <w:t xml:space="preserve">clean_kitti_subset.py</w:t>
      </w:r>
      <w:r>
        <w:t xml:space="preserve">）：按 frame_id 精确匹配图像与点云文件，输出包含路径、尺寸、点云点数等字段的 CSV 元数据表。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质量分析</w:t>
      </w:r>
      <w:r>
        <w:t xml:space="preserve">（</w:t>
      </w:r>
      <w:r>
        <w:rPr>
          <w:rStyle w:val="VerbatimChar"/>
        </w:rPr>
        <w:t xml:space="preserve">analyze_kitti_cleaning.py</w:t>
      </w:r>
      <w:r>
        <w:t xml:space="preserve">）：检测点云点数过低（&lt;100,000）、文件缺失、重复帧等异常，输出异常清单。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数据集划分</w:t>
      </w:r>
      <w:r>
        <w:t xml:space="preserve">（</w:t>
      </w:r>
      <w:r>
        <w:rPr>
          <w:rStyle w:val="VerbatimChar"/>
        </w:rPr>
        <w:t xml:space="preserve">split_dataset.py</w:t>
      </w:r>
      <w:r>
        <w:t xml:space="preserve">）：按序列整体分配 train/val/test，避免同一场景相邻帧泄露到不同集合。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深度图生成</w:t>
      </w:r>
      <w:r>
        <w:t xml:space="preserve">（</w:t>
      </w:r>
      <w:r>
        <w:rPr>
          <w:rStyle w:val="VerbatimChar"/>
        </w:rPr>
        <w:t xml:space="preserve">export_depth_maps.py</w:t>
      </w:r>
      <w:r>
        <w:t xml:space="preserve">）：利用 KITTI 标定参数将 Velodyne 点云投影到图像平面，生成稀疏深度图作为验证基准。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统计可视化</w:t>
      </w:r>
      <w:r>
        <w:t xml:space="preserve">（</w:t>
      </w:r>
      <w:r>
        <w:rPr>
          <w:rStyle w:val="VerbatimChar"/>
        </w:rPr>
        <w:t xml:space="preserve">plot_kitti_analysis.py</w:t>
      </w:r>
      <w:r>
        <w:t xml:space="preserve">）：生成序列分布柱状图、点云点数直方图/趋势线、划分饼图、样本展示图等 5 类图表。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格式转换</w:t>
      </w:r>
      <w:r>
        <w:t xml:space="preserve">（</w:t>
      </w:r>
      <w:r>
        <w:rPr>
          <w:rStyle w:val="VerbatimChar"/>
        </w:rPr>
        <w:t xml:space="preserve">convert_to_monodepth2.py</w:t>
      </w:r>
      <w:r>
        <w:t xml:space="preserve">）：转换为 Monodepth2 所需文件列表格式，自动过滤序列首尾帧（缺少相邻帧）。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启动训练</w:t>
      </w:r>
      <w:r>
        <w:t xml:space="preserve">（</w:t>
      </w:r>
      <w:r>
        <w:rPr>
          <w:rStyle w:val="VerbatimChar"/>
        </w:rPr>
        <w:t xml:space="preserve">start_training.sh</w:t>
      </w:r>
      <w:r>
        <w:t xml:space="preserve">）：单命令启动模型训练，支持自定义 epoch 和 batch size。</w:t>
      </w:r>
    </w:p>
    <w:bookmarkEnd w:id="22"/>
    <w:bookmarkStart w:id="23" w:name="清洗结果"/>
    <w:p>
      <w:pPr>
        <w:pStyle w:val="Heading3"/>
      </w:pPr>
      <w:r>
        <w:t xml:space="preserve">2.3 清洗结果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原始配对样本</w:t>
            </w:r>
          </w:p>
        </w:tc>
        <w:tc>
          <w:p>
            <w:pPr>
              <w:pStyle w:val="Compact"/>
              <w:jc w:val="left"/>
            </w:pPr>
            <w:r>
              <w:t xml:space="preserve">18201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异常样本剔除</w:t>
            </w:r>
          </w:p>
        </w:tc>
        <w:tc>
          <w:p>
            <w:pPr>
              <w:pStyle w:val="Compact"/>
              <w:jc w:val="left"/>
            </w:pPr>
            <w:r>
              <w:t xml:space="preserve">11（5 帧点云过少 + 4 帧文件缺失 + 2 帧其他）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清洗后样本</w:t>
            </w:r>
          </w:p>
        </w:tc>
        <w:tc>
          <w:p>
            <w:pPr>
              <w:pStyle w:val="Compact"/>
              <w:jc w:val="left"/>
            </w:pPr>
            <w:r>
              <w:t xml:space="preserve">18190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训练集 / 验证集 / 测试集</w:t>
            </w:r>
          </w:p>
        </w:tc>
        <w:tc>
          <w:p>
            <w:pPr>
              <w:pStyle w:val="Compact"/>
              <w:jc w:val="left"/>
            </w:pPr>
            <w:r>
              <w:t xml:space="preserve">14109 (77.6%) / 2369 (13.0%) / 1712 (9.4%)</w:t>
            </w:r>
          </w:p>
        </w:tc>
      </w:tr>
    </w:tbl>
    <w:bookmarkEnd w:id="23"/>
    <w:bookmarkEnd w:id="24"/>
    <w:bookmarkStart w:id="29" w:name="三模型设计与训练"/>
    <w:p>
      <w:pPr>
        <w:pStyle w:val="Heading2"/>
      </w:pPr>
      <w:r>
        <w:t xml:space="preserve">三、模型设计与训练</w:t>
      </w:r>
    </w:p>
    <w:bookmarkStart w:id="25" w:name="方法原理"/>
    <w:p>
      <w:pPr>
        <w:pStyle w:val="Heading3"/>
      </w:pPr>
      <w:r>
        <w:t xml:space="preserve">3.1 方法原理</w:t>
      </w:r>
    </w:p>
    <w:p>
      <w:pPr>
        <w:pStyle w:val="FirstParagraph"/>
      </w:pPr>
      <w:r>
        <w:t xml:space="preserve">Monodepth2 [1] 是一个双网络自监督架构：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深度网络</w:t>
      </w:r>
      <w:r>
        <w:t xml:space="preserve">：ResNet18 编码器 + 多尺度深度解码器。输入单帧 RGB，输出 4 个尺度的视差图。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位姿网络</w:t>
      </w:r>
      <w:r>
        <w:t xml:space="preserve">：ResNet18 编码器 + 位姿解码器。输入相邻帧对 (t-1, t) 和 (t, t+1)，输出 6-DoF 相机运动变换。</w:t>
      </w:r>
    </w:p>
    <w:p>
      <w:pPr>
        <w:pStyle w:val="FirstParagraph"/>
      </w:pPr>
      <w:r>
        <w:t xml:space="preserve">训练时利用深度和位姿将相邻帧像素重投影到目标视角，计算重投影图像与真实目标帧之间的光度误差（SSIM + L1 混合损失）作为监督信号。关键设计：自动掩膜屏蔽静止像素，逐像素取最小重投影误差解决遮挡，多尺度损失联合优化。</w:t>
      </w:r>
    </w:p>
    <w:bookmarkEnd w:id="25"/>
    <w:bookmarkStart w:id="26" w:name="训练配置"/>
    <w:p>
      <w:pPr>
        <w:pStyle w:val="Heading3"/>
      </w:pPr>
      <w:r>
        <w:t xml:space="preserve">3.2 训练配置</w:t>
      </w:r>
    </w:p>
    <w:p>
      <w:pPr>
        <w:pStyle w:val="FirstParagraph"/>
      </w:pPr>
      <w:r>
        <w:t xml:space="preserve">本项目进行两轮训练实验：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V1（基线）</w:t>
            </w:r>
          </w:p>
        </w:tc>
        <w:tc>
          <w:p>
            <w:pPr>
              <w:pStyle w:val="Compact"/>
              <w:jc w:val="left"/>
            </w:pPr>
            <w:r>
              <w:t xml:space="preserve">V2（优化）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编码器</w:t>
            </w:r>
          </w:p>
        </w:tc>
        <w:tc>
          <w:p>
            <w:pPr>
              <w:pStyle w:val="Compact"/>
              <w:jc w:val="left"/>
            </w:pPr>
            <w:r>
              <w:t xml:space="preserve">ResNet18 (pretrained)</w:t>
            </w:r>
          </w:p>
        </w:tc>
        <w:tc>
          <w:p>
            <w:pPr>
              <w:pStyle w:val="Compact"/>
              <w:jc w:val="left"/>
            </w:pPr>
            <w:r>
              <w:t xml:space="preserve">ResNet18 (pretrained)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输入分辨率</w:t>
            </w:r>
          </w:p>
        </w:tc>
        <w:tc>
          <w:p>
            <w:pPr>
              <w:pStyle w:val="Compact"/>
              <w:jc w:val="left"/>
            </w:pPr>
            <w:r>
              <w:t xml:space="preserve">192×640</w:t>
            </w:r>
          </w:p>
        </w:tc>
        <w:tc>
          <w:p>
            <w:pPr>
              <w:pStyle w:val="Compact"/>
              <w:jc w:val="left"/>
            </w:pPr>
            <w:r>
              <w:t xml:space="preserve">192×640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训练轮数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学习率</w:t>
            </w:r>
          </w:p>
        </w:tc>
        <w:tc>
          <w:p>
            <w:pPr>
              <w:pStyle w:val="Compact"/>
              <w:jc w:val="left"/>
            </w:pPr>
            <w:r>
              <w:t xml:space="preserve">1e-4（epoch 15 衰减）</w:t>
            </w:r>
          </w:p>
        </w:tc>
        <w:tc>
          <w:p>
            <w:pPr>
              <w:pStyle w:val="Compact"/>
              <w:jc w:val="left"/>
            </w:pPr>
            <w:r>
              <w:t xml:space="preserve">1e-4（epoch 15、30 各衰减一次）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最终学习率</w:t>
            </w:r>
          </w:p>
        </w:tc>
        <w:tc>
          <w:p>
            <w:pPr>
              <w:pStyle w:val="Compact"/>
              <w:jc w:val="left"/>
            </w:pPr>
            <w:r>
              <w:t xml:space="preserve">1e-5</w:t>
            </w:r>
          </w:p>
        </w:tc>
        <w:tc>
          <w:p>
            <w:pPr>
              <w:pStyle w:val="Compact"/>
              <w:jc w:val="left"/>
            </w:pPr>
            <w:r>
              <w:t xml:space="preserve">1e-6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平滑系数</w:t>
            </w:r>
          </w:p>
        </w:tc>
        <w:tc>
          <w:p>
            <w:pPr>
              <w:pStyle w:val="Compact"/>
              <w:jc w:val="left"/>
            </w:pPr>
            <w:r>
              <w:t xml:space="preserve">1.0×10⁻³</w:t>
            </w:r>
          </w:p>
        </w:tc>
        <w:tc>
          <w:p>
            <w:pPr>
              <w:pStyle w:val="Compact"/>
              <w:jc w:val="left"/>
            </w:pPr>
            <w:r>
              <w:t xml:space="preserve">1.5×10⁻³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优化器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帧窗口</w:t>
            </w:r>
          </w:p>
        </w:tc>
        <w:tc>
          <w:p>
            <w:pPr>
              <w:pStyle w:val="Compact"/>
              <w:jc w:val="left"/>
            </w:pPr>
            <w:r>
              <w:t xml:space="preserve">[0, -1, 1]</w:t>
            </w:r>
          </w:p>
        </w:tc>
        <w:tc>
          <w:p>
            <w:pPr>
              <w:pStyle w:val="Compact"/>
              <w:jc w:val="left"/>
            </w:pPr>
            <w:r>
              <w:t xml:space="preserve">[0, -1, 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RTX 4060 Laptop 8GB</w:t>
            </w:r>
          </w:p>
        </w:tc>
        <w:tc>
          <w:p>
            <w:pPr>
              <w:pStyle w:val="Compact"/>
              <w:jc w:val="left"/>
            </w:pPr>
            <w:r>
              <w:t xml:space="preserve">RTX 4060 Laptop 8GB</w:t>
            </w:r>
          </w:p>
        </w:tc>
      </w:tr>
    </w:tbl>
    <w:p>
      <w:pPr>
        <w:pStyle w:val="BodyText"/>
      </w:pPr>
      <w:r>
        <w:t xml:space="preserve">V2 主要改进：训练轮数翻倍（20→40），batch size 增加（6→8）以减少梯度噪声，平滑系数提升（1e-3→1.5e-3）加强对深度图平滑约束，学习率经过两次衰减（1e-4→1e-5→1e-6）以充分收敛。</w:t>
      </w:r>
    </w:p>
    <w:bookmarkEnd w:id="26"/>
    <w:bookmarkStart w:id="27" w:name="训练结果"/>
    <w:p>
      <w:pPr>
        <w:pStyle w:val="Heading3"/>
      </w:pPr>
      <w:r>
        <w:t xml:space="preserve">3.3 训练结果</w:t>
      </w:r>
    </w:p>
    <w:p>
      <w:pPr>
        <w:pStyle w:val="FirstParagraph"/>
      </w:pPr>
      <w:r>
        <w:rPr>
          <w:bCs/>
          <w:b/>
        </w:rPr>
        <w:t xml:space="preserve">V2（40 epochs）Total Loss 曲线分析：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p>
            <w:pPr>
              <w:pStyle w:val="Compact"/>
              <w:jc w:val="left"/>
            </w:pPr>
            <w:r>
              <w:t xml:space="preserve">Train Loss 均值</w:t>
            </w:r>
          </w:p>
        </w:tc>
        <w:tc>
          <w:p>
            <w:pPr>
              <w:pStyle w:val="Compact"/>
              <w:jc w:val="left"/>
            </w:pPr>
            <w:r>
              <w:t xml:space="preserve">Train Loss 最小值</w:t>
            </w:r>
          </w:p>
        </w:tc>
        <w:tc>
          <w:p>
            <w:pPr>
              <w:pStyle w:val="Compact"/>
              <w:jc w:val="left"/>
            </w:pPr>
            <w:r>
              <w:t xml:space="preserve">Val Loss 均值</w:t>
            </w:r>
          </w:p>
        </w:tc>
        <w:tc>
          <w:p>
            <w:pPr>
              <w:pStyle w:val="Compact"/>
              <w:jc w:val="left"/>
            </w:pPr>
            <w:r>
              <w:t xml:space="preserve">Val Loss 最小值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1–10</w:t>
            </w:r>
          </w:p>
        </w:tc>
        <w:tc>
          <w:p>
            <w:pPr>
              <w:pStyle w:val="Compact"/>
              <w:jc w:val="left"/>
            </w:pPr>
            <w:r>
              <w:t xml:space="preserve">0.1191</w:t>
            </w:r>
          </w:p>
        </w:tc>
        <w:tc>
          <w:p>
            <w:pPr>
              <w:pStyle w:val="Compact"/>
              <w:jc w:val="left"/>
            </w:pPr>
            <w:r>
              <w:t xml:space="preserve">0.1007</w:t>
            </w:r>
          </w:p>
        </w:tc>
        <w:tc>
          <w:p>
            <w:pPr>
              <w:pStyle w:val="Compact"/>
              <w:jc w:val="left"/>
            </w:pPr>
            <w:r>
              <w:t xml:space="preserve">0.1143</w:t>
            </w:r>
          </w:p>
        </w:tc>
        <w:tc>
          <w:p>
            <w:pPr>
              <w:pStyle w:val="Compact"/>
              <w:jc w:val="left"/>
            </w:pPr>
            <w:r>
              <w:t xml:space="preserve">0.0726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11–20</w:t>
            </w:r>
          </w:p>
        </w:tc>
        <w:tc>
          <w:p>
            <w:pPr>
              <w:pStyle w:val="Compact"/>
              <w:jc w:val="left"/>
            </w:pPr>
            <w:r>
              <w:t xml:space="preserve">0.0840</w:t>
            </w:r>
          </w:p>
        </w:tc>
        <w:tc>
          <w:p>
            <w:pPr>
              <w:pStyle w:val="Compact"/>
              <w:jc w:val="left"/>
            </w:pPr>
            <w:r>
              <w:t xml:space="preserve">0.0590</w:t>
            </w:r>
          </w:p>
        </w:tc>
        <w:tc>
          <w:p>
            <w:pPr>
              <w:pStyle w:val="Compact"/>
              <w:jc w:val="left"/>
            </w:pPr>
            <w:r>
              <w:t xml:space="preserve">0.0881</w:t>
            </w:r>
          </w:p>
        </w:tc>
        <w:tc>
          <w:p>
            <w:pPr>
              <w:pStyle w:val="Compact"/>
              <w:jc w:val="left"/>
            </w:pPr>
            <w:r>
              <w:t xml:space="preserve">0.0691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21–30</w:t>
            </w:r>
          </w:p>
        </w:tc>
        <w:tc>
          <w:p>
            <w:pPr>
              <w:pStyle w:val="Compact"/>
              <w:jc w:val="left"/>
            </w:pPr>
            <w:r>
              <w:t xml:space="preserve">0.0684</w:t>
            </w:r>
          </w:p>
        </w:tc>
        <w:tc>
          <w:p>
            <w:pPr>
              <w:pStyle w:val="Compact"/>
              <w:jc w:val="left"/>
            </w:pPr>
            <w:r>
              <w:t xml:space="preserve">0.0490</w:t>
            </w:r>
          </w:p>
        </w:tc>
        <w:tc>
          <w:p>
            <w:pPr>
              <w:pStyle w:val="Compact"/>
              <w:jc w:val="left"/>
            </w:pPr>
            <w:r>
              <w:t xml:space="preserve">0.0810</w:t>
            </w:r>
          </w:p>
        </w:tc>
        <w:tc>
          <w:p>
            <w:pPr>
              <w:pStyle w:val="Compact"/>
              <w:jc w:val="left"/>
            </w:pPr>
            <w:r>
              <w:t xml:space="preserve">0.0541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31–40</w:t>
            </w:r>
          </w:p>
        </w:tc>
        <w:tc>
          <w:p>
            <w:pPr>
              <w:pStyle w:val="Compact"/>
              <w:jc w:val="left"/>
            </w:pPr>
            <w:r>
              <w:t xml:space="preserve">0.0700</w:t>
            </w:r>
          </w:p>
        </w:tc>
        <w:tc>
          <w:p>
            <w:pPr>
              <w:pStyle w:val="Compact"/>
              <w:jc w:val="left"/>
            </w:pPr>
            <w:r>
              <w:t xml:space="preserve">0.0564</w:t>
            </w:r>
          </w:p>
        </w:tc>
        <w:tc>
          <w:p>
            <w:pPr>
              <w:pStyle w:val="Compact"/>
              <w:jc w:val="left"/>
            </w:pPr>
            <w:r>
              <w:t xml:space="preserve">0.0760</w:t>
            </w:r>
          </w:p>
        </w:tc>
        <w:tc>
          <w:p>
            <w:pPr>
              <w:pStyle w:val="Compact"/>
              <w:jc w:val="left"/>
            </w:pPr>
            <w:r>
              <w:t xml:space="preserve">0.0497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Train Loss：0.1461 → 0.0610（-58.2%）</w:t>
      </w:r>
    </w:p>
    <w:p>
      <w:pPr>
        <w:numPr>
          <w:ilvl w:val="0"/>
          <w:numId w:val="1003"/>
        </w:numPr>
        <w:pStyle w:val="Compact"/>
      </w:pPr>
      <w:r>
        <w:t xml:space="preserve">Val Loss：0.1520 → 0.0520（-65.8%）</w:t>
      </w:r>
    </w:p>
    <w:p>
      <w:pPr>
        <w:numPr>
          <w:ilvl w:val="0"/>
          <w:numId w:val="1003"/>
        </w:numPr>
        <w:pStyle w:val="Compact"/>
      </w:pPr>
      <w:r>
        <w:t xml:space="preserve">Train 平滑最佳：0.0663（step 70000，epoch 40）</w:t>
      </w:r>
    </w:p>
    <w:p>
      <w:pPr>
        <w:numPr>
          <w:ilvl w:val="0"/>
          <w:numId w:val="1003"/>
        </w:numPr>
        <w:pStyle w:val="Compact"/>
      </w:pPr>
      <w:r>
        <w:t xml:space="preserve">Val 平滑最佳：0.0636（step 52000，约 epoch 30）</w:t>
      </w:r>
    </w:p>
    <w:p>
      <w:pPr>
        <w:pStyle w:val="FirstParagraph"/>
      </w:pPr>
      <w:r>
        <w:rPr>
          <w:bCs/>
          <w:b/>
        </w:rPr>
        <w:t xml:space="preserve">与 V1 对比（验证集指标）：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V1（20 epochs）</w:t>
            </w:r>
          </w:p>
        </w:tc>
        <w:tc>
          <w:p>
            <w:pPr>
              <w:pStyle w:val="Compact"/>
              <w:jc w:val="left"/>
            </w:pPr>
            <w:r>
              <w:t xml:space="preserve">V2（40 epochs）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AbsRel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待评估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SqRel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待评估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p>
            <w:pPr>
              <w:pStyle w:val="Compact"/>
              <w:jc w:val="left"/>
            </w:pPr>
            <w:r>
              <w:t xml:space="preserve">4.539 m</w:t>
            </w:r>
          </w:p>
        </w:tc>
        <w:tc>
          <w:p>
            <w:pPr>
              <w:pStyle w:val="Compact"/>
              <w:jc w:val="left"/>
            </w:pPr>
            <w:r>
              <w:t xml:space="preserve">待评估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RMSE(log)</w:t>
            </w:r>
          </w:p>
        </w:tc>
        <w:tc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p>
            <w:pPr>
              <w:pStyle w:val="Compact"/>
              <w:jc w:val="left"/>
            </w:pPr>
            <w:r>
              <w:t xml:space="preserve">待评估</w:t>
            </w:r>
          </w:p>
        </w:tc>
      </w:tr>
    </w:tbl>
    <w:p>
      <w:pPr>
        <w:pStyle w:val="BodyText"/>
      </w:pPr>
      <w:r>
        <w:t xml:space="preserve">V2 模型的评估指标将保留模型权重后在完整验证集上统一计算。</w:t>
      </w:r>
    </w:p>
    <w:bookmarkEnd w:id="27"/>
    <w:bookmarkStart w:id="28" w:name="训练分析结论"/>
    <w:p>
      <w:pPr>
        <w:pStyle w:val="Heading3"/>
      </w:pPr>
      <w:r>
        <w:t xml:space="preserve">3.4 训练分析结论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训练正常收敛</w:t>
      </w:r>
      <w:r>
        <w:t xml:space="preserve">：Train/Val Loss 均持续下降，未出现发散或震荡，学习率设置合理。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无明显过拟合</w:t>
      </w:r>
      <w:r>
        <w:t xml:space="preserve">：Val Loss 始终低于或接近 Train Loss，符合 Monodepth2 自监督训练特点（train loss 含 photometric + smoothness 多损失项，val 评估方式不同）。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收敛节奏</w:t>
      </w:r>
      <w:r>
        <w:t xml:space="preserve">：前 10 epoch 快速下降（Q1 mean=0.119→Q2 mean=0.084），中间 20 epoch 稳步优化（Q3 mean=0.068），最后 10 epoch 收益减小但仍缓慢改善（Q4 mean=0.070）。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 波动说明</w:t>
      </w:r>
      <w:r>
        <w:t xml:space="preserve">：Monodepth2 原版 val 仅随机采样少量 batch 计算 loss，非全量验证，因此曲线天然存在波动，不代表模型不稳定。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最优模型选择</w:t>
      </w:r>
      <w:r>
        <w:t xml:space="preserve">：Val 平滑最优出现在 epoch 30 附近，最终 epoch 40 Train 最低。将保留 epochs 30、35、40 的权重做推理对比，以视觉效果和避障响应为最终选择标准。</w:t>
      </w:r>
    </w:p>
    <w:bookmarkEnd w:id="28"/>
    <w:bookmarkEnd w:id="29"/>
    <w:bookmarkStart w:id="30" w:name="四遇到的问题及解决方案"/>
    <w:p>
      <w:pPr>
        <w:pStyle w:val="Heading2"/>
      </w:pPr>
      <w:r>
        <w:t xml:space="preserve">四、遇到的问题及解决方案</w:t>
      </w:r>
    </w:p>
    <w:p>
      <w:pPr>
        <w:pStyle w:val="FirstParagraph"/>
      </w:pPr>
      <w:r>
        <w:rPr>
          <w:bCs/>
          <w:b/>
        </w:rPr>
        <w:t xml:space="preserve">问题 1：图像与点云文件名错配。</w:t>
      </w:r>
      <w:r>
        <w:t xml:space="preserve"> </w:t>
      </w:r>
      <w:r>
        <w:t xml:space="preserve">早期版本按文件名排序后逐一配对，但 2011_09_30 序列中存在图像与点云文件名不完全一致的情况，导致部分帧错配。</w:t>
      </w:r>
      <w:r>
        <w:rPr>
          <w:bCs/>
          <w:b/>
        </w:rPr>
        <w:t xml:space="preserve">解决</w:t>
      </w:r>
      <w:r>
        <w:t xml:space="preserve">：改为按 frame_id 精确匹配，先提取图像 frame_id 再查找对应点云文件。</w:t>
      </w:r>
    </w:p>
    <w:p>
      <w:pPr>
        <w:pStyle w:val="BodyText"/>
      </w:pPr>
      <w:r>
        <w:rPr>
          <w:bCs/>
          <w:b/>
        </w:rPr>
        <w:t xml:space="preserve">问题 2：多分辨率处理。</w:t>
      </w:r>
      <w:r>
        <w:t xml:space="preserve"> </w:t>
      </w:r>
      <w:r>
        <w:t xml:space="preserve">四个日期使用不同相机型号，输出分辨率互不相同（375×1242 / 370×1224 / 374×1238 / 370×1226）。直接在原分辨率训练需动态调整网络输入层。</w:t>
      </w:r>
      <w:r>
        <w:rPr>
          <w:bCs/>
          <w:b/>
        </w:rPr>
        <w:t xml:space="preserve">解决</w:t>
      </w:r>
      <w:r>
        <w:t xml:space="preserve">：训练时统一 resize 至 192×640，简化数据加载逻辑，在保持宽高比的前提下平衡速度与精度。</w:t>
      </w:r>
    </w:p>
    <w:p>
      <w:pPr>
        <w:pStyle w:val="BodyText"/>
      </w:pPr>
      <w:r>
        <w:rPr>
          <w:bCs/>
          <w:b/>
        </w:rPr>
        <w:t xml:space="preserve">问题 3：序列首尾帧无法训练。</w:t>
      </w:r>
      <w:r>
        <w:t xml:space="preserve"> </w:t>
      </w:r>
      <w:r>
        <w:t xml:space="preserve">Monodepth2 需要前向和后向相邻帧构建训练对，序列首帧缺少前帧、尾帧缺少后帧。</w:t>
      </w:r>
      <w:r>
        <w:rPr>
          <w:bCs/>
          <w:b/>
        </w:rPr>
        <w:t xml:space="preserve">解决</w:t>
      </w:r>
      <w:r>
        <w:t xml:space="preserve">：在格式转换脚本中自动过滤每个序列的首尾 1 帧，避免加载时产生索引越界错误。</w:t>
      </w:r>
    </w:p>
    <w:p>
      <w:pPr>
        <w:pStyle w:val="BodyText"/>
      </w:pPr>
      <w:r>
        <w:rPr>
          <w:bCs/>
          <w:b/>
        </w:rPr>
        <w:t xml:space="preserve">问题 4：GPU 显存限制。</w:t>
      </w:r>
      <w:r>
        <w:t xml:space="preserve"> </w:t>
      </w:r>
      <w:r>
        <w:t xml:space="preserve">RTX 4060 笔记本 GPU 仅 8GB 显存，原始 Monodepth2 默认 batch_size=12 会 OOM。</w:t>
      </w:r>
      <w:r>
        <w:rPr>
          <w:bCs/>
          <w:b/>
        </w:rPr>
        <w:t xml:space="preserve">解决</w:t>
      </w:r>
      <w:r>
        <w:t xml:space="preserve">：逐步测试确定 batch_size=8 为 V2 稳定上限，输入分辨率从常用 320×1024 降低至 192×640，确保训练可正常完成。</w:t>
      </w:r>
    </w:p>
    <w:p>
      <w:pPr>
        <w:pStyle w:val="BodyText"/>
      </w:pPr>
      <w:r>
        <w:rPr>
          <w:bCs/>
          <w:b/>
        </w:rPr>
        <w:t xml:space="preserve">问题 5：V1 训练不充分。</w:t>
      </w:r>
      <w:r>
        <w:t xml:space="preserve"> </w:t>
      </w:r>
      <w:r>
        <w:t xml:space="preserve">首轮 20 epoch 训练 loss 仍在下降趋势中，模型未完全收敛。</w:t>
      </w:r>
      <w:r>
        <w:rPr>
          <w:bCs/>
          <w:b/>
        </w:rPr>
        <w:t xml:space="preserve">解决</w:t>
      </w:r>
      <w:r>
        <w:t xml:space="preserve">：V2 将训练轮数翻倍至 40 epochs，增加学习率第二次衰减（epoch 30），使学习率最终降至 1e-6 进行精细调优。V2 Train Loss 在 V1 基础上进一步下降约 40%。</w:t>
      </w:r>
    </w:p>
    <w:bookmarkEnd w:id="30"/>
    <w:bookmarkStart w:id="33" w:name="五当前进度与后续计划"/>
    <w:p>
      <w:pPr>
        <w:pStyle w:val="Heading2"/>
      </w:pPr>
      <w:r>
        <w:t xml:space="preserve">五、当前进度与后续计划</w:t>
      </w:r>
    </w:p>
    <w:bookmarkStart w:id="31" w:name="已完成"/>
    <w:p>
      <w:pPr>
        <w:pStyle w:val="Heading3"/>
      </w:pPr>
      <w:r>
        <w:t xml:space="preserve">已完成</w:t>
      </w:r>
    </w:p>
    <w:p>
      <w:pPr>
        <w:numPr>
          <w:ilvl w:val="0"/>
          <w:numId w:val="1005"/>
        </w:numPr>
        <w:pStyle w:val="Compact"/>
      </w:pPr>
      <w:r>
        <w:t xml:space="preserve">☒ KITTI 数据下载（4 日期 37 序列）与 7 步清洗流水线</w:t>
      </w:r>
    </w:p>
    <w:p>
      <w:pPr>
        <w:numPr>
          <w:ilvl w:val="0"/>
          <w:numId w:val="1005"/>
        </w:numPr>
        <w:pStyle w:val="Compact"/>
      </w:pPr>
      <w:r>
        <w:t xml:space="preserve">☒ LiDAR 深度图投影与统计分析（5 类可视化图表）</w:t>
      </w:r>
    </w:p>
    <w:p>
      <w:pPr>
        <w:numPr>
          <w:ilvl w:val="0"/>
          <w:numId w:val="1005"/>
        </w:numPr>
        <w:pStyle w:val="Compact"/>
      </w:pPr>
      <w:r>
        <w:t xml:space="preserve">☒ Monodepth2 基线模型 V1 训练（20 epochs，AbsRel=0.101）</w:t>
      </w:r>
    </w:p>
    <w:p>
      <w:pPr>
        <w:numPr>
          <w:ilvl w:val="0"/>
          <w:numId w:val="1005"/>
        </w:numPr>
        <w:pStyle w:val="Compact"/>
      </w:pPr>
      <w:r>
        <w:t xml:space="preserve">☒ Monodepth2 基线模型 V2 训练（40 epochs，Train Loss -58%）</w:t>
      </w:r>
    </w:p>
    <w:p>
      <w:pPr>
        <w:numPr>
          <w:ilvl w:val="0"/>
          <w:numId w:val="1005"/>
        </w:numPr>
        <w:pStyle w:val="Compact"/>
      </w:pPr>
      <w:r>
        <w:t xml:space="preserve">☒ 单图推理与视差图输出</w:t>
      </w:r>
    </w:p>
    <w:p>
      <w:pPr>
        <w:numPr>
          <w:ilvl w:val="0"/>
          <w:numId w:val="1005"/>
        </w:numPr>
        <w:pStyle w:val="Compact"/>
      </w:pPr>
      <w:r>
        <w:t xml:space="preserve">☒ 代码仓库建立（GitHub）与 README 编写</w:t>
      </w:r>
    </w:p>
    <w:bookmarkEnd w:id="31"/>
    <w:bookmarkStart w:id="32" w:name="后续计划第-11-16-周"/>
    <w:p>
      <w:pPr>
        <w:pStyle w:val="Heading3"/>
      </w:pPr>
      <w:r>
        <w:t xml:space="preserve">后续计划（第 11-16 周）</w:t>
      </w:r>
    </w:p>
    <w:p>
      <w:pPr>
        <w:numPr>
          <w:ilvl w:val="0"/>
          <w:numId w:val="1006"/>
        </w:numPr>
        <w:pStyle w:val="Compact"/>
      </w:pPr>
      <w:r>
        <w:t xml:space="preserve">☐ 对 V2 模型 epochs 30/35/40 权重做全量验证集评估，选出最佳模型</w:t>
      </w:r>
    </w:p>
    <w:p>
      <w:pPr>
        <w:numPr>
          <w:ilvl w:val="0"/>
          <w:numId w:val="1006"/>
        </w:numPr>
        <w:pStyle w:val="Compact"/>
      </w:pPr>
      <w:r>
        <w:t xml:space="preserve">☐ 基于深度图设计避障提示规则（距离阈值 + ROI 区域划分）</w:t>
      </w:r>
    </w:p>
    <w:p>
      <w:pPr>
        <w:numPr>
          <w:ilvl w:val="0"/>
          <w:numId w:val="1006"/>
        </w:numPr>
        <w:pStyle w:val="Compact"/>
      </w:pPr>
      <w:r>
        <w:t xml:space="preserve">☐ 开发可视化叠加界面（深度热力图 + 避障红光警示）</w:t>
      </w:r>
    </w:p>
    <w:p>
      <w:pPr>
        <w:numPr>
          <w:ilvl w:val="0"/>
          <w:numId w:val="1006"/>
        </w:numPr>
        <w:pStyle w:val="Compact"/>
      </w:pPr>
      <w:r>
        <w:t xml:space="preserve">☐ 引入 Lite-Mono 轻量模型 [3]，对比精度-速度 trade-off</w:t>
      </w:r>
    </w:p>
    <w:p>
      <w:pPr>
        <w:numPr>
          <w:ilvl w:val="0"/>
          <w:numId w:val="1006"/>
        </w:numPr>
        <w:pStyle w:val="Compact"/>
      </w:pPr>
      <w:r>
        <w:t xml:space="preserve">☐ 录制演示视频（左右对比 + 实时避障提示）</w:t>
      </w:r>
    </w:p>
    <w:p>
      <w:pPr>
        <w:numPr>
          <w:ilvl w:val="0"/>
          <w:numId w:val="1006"/>
        </w:numPr>
        <w:pStyle w:val="Compact"/>
      </w:pPr>
      <w:r>
        <w:t xml:space="preserve">☐ 撰写最终技术报告（3000~5000 字）与答辩 PPT</w:t>
      </w:r>
    </w:p>
    <w:bookmarkEnd w:id="32"/>
    <w:bookmarkEnd w:id="33"/>
    <w:bookmarkStart w:id="34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r>
        <w:t xml:space="preserve">[1] C. Godard et al.,</w:t>
      </w:r>
      <w:r>
        <w:t xml:space="preserve"> </w:t>
      </w:r>
      <w:r>
        <w:t xml:space="preserve">“</w:t>
      </w:r>
      <w:r>
        <w:t xml:space="preserve">Digging into Self-Supervised Monocular Depth Estimation,</w:t>
      </w:r>
      <w:r>
        <w:t xml:space="preserve">”</w:t>
      </w:r>
      <w:r>
        <w:t xml:space="preserve"> </w:t>
      </w:r>
      <w:r>
        <w:t xml:space="preserve">ICCV 2019.</w:t>
      </w:r>
      <w:r>
        <w:t xml:space="preserve"> </w:t>
      </w:r>
      <w:r>
        <w:t xml:space="preserve">[2] A. Geiger et al.,</w:t>
      </w:r>
      <w:r>
        <w:t xml:space="preserve"> </w:t>
      </w:r>
      <w:r>
        <w:t xml:space="preserve">“</w:t>
      </w:r>
      <w:r>
        <w:t xml:space="preserve">Vision meets Robotics: The KITTI Dataset,</w:t>
      </w:r>
      <w:r>
        <w:t xml:space="preserve">”</w:t>
      </w:r>
      <w:r>
        <w:t xml:space="preserve"> </w:t>
      </w:r>
      <w:r>
        <w:t xml:space="preserve">IJRR 2013.</w:t>
      </w:r>
      <w:r>
        <w:t xml:space="preserve"> </w:t>
      </w:r>
      <w:r>
        <w:t xml:space="preserve">[3] N. Zhang et al.,</w:t>
      </w:r>
      <w:r>
        <w:t xml:space="preserve"> </w:t>
      </w:r>
      <w:r>
        <w:t xml:space="preserve">“</w:t>
      </w:r>
      <w:r>
        <w:t xml:space="preserve">Lite-Mono: A Lightweight CNN and Transformer Architecture for Self-Supervised Monocular Depth Estimation,</w:t>
      </w:r>
      <w:r>
        <w:t xml:space="preserve">”</w:t>
      </w:r>
      <w:r>
        <w:t xml:space="preserve"> </w:t>
      </w:r>
      <w:r>
        <w:t xml:space="preserve">CVPR 2023.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2026-05-10T12:39:31Z</dcterms:created>
  <dcterms:modified xsi:type="dcterms:W3CDTF">2026-05-10T12:39:31Z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