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91B60">
      <w:pPr>
        <w:jc w:val="center"/>
      </w:pPr>
      <w:r>
        <w:rPr>
          <w:b/>
          <w:sz w:val="36"/>
        </w:rPr>
        <w:t>ACC102</w:t>
      </w:r>
    </w:p>
    <w:p w14:paraId="3CCE23A0">
      <w:pPr>
        <w:jc w:val="left"/>
      </w:pPr>
      <w:r>
        <w:rPr>
          <w:sz w:val="32"/>
        </w:rPr>
        <w:t>1. Industry Analysis: Structural Rebalancing
</w:t>
      </w:r>
    </w:p>
    <w:p w14:paraId="1A2E6DEC">
      <w:pPr>
        <w:jc w:val="left"/>
      </w:pPr>
    </w:p>
    <w:p w14:paraId="7EC91690">
      <w:pPr>
        <w:jc w:val="left"/>
      </w:pPr>
      <w:r>
        <w:rPr>
          <w:sz w:val="32"/>
        </w:rPr>
        <w:t>As of May 2026, the Baijiu sector is in a deep adjustment period following the inventory and price distortions of 2025. The industry has shifted from expansion to "stock competition" (存量博弈).
</w:t>
      </w:r>
    </w:p>
    <w:p w14:paraId="374D2ACC">
      <w:pPr>
        <w:jc w:val="left"/>
      </w:pPr>
    </w:p>
    <w:p w14:paraId="47BB924E">
      <w:pPr>
        <w:jc w:val="left"/>
      </w:pPr>
      <w:r>
        <w:rPr>
          <w:sz w:val="32"/>
        </w:rPr>
        <w:t xml:space="preserve">· Market Performance (2025-2026): In 2025, 20 listed Baijiu companies saw total revenue decline by 18.85% YoY and net </w:t>
      </w:r>
      <w:bookmarkStart w:id="0" w:name="_GoBack"/>
      <w:bookmarkEnd w:id="0"/>
      <w:r>
        <w:rPr>
          <w:sz w:val="32"/>
        </w:rPr>
        <w:t>profit drop by 24.35% . Q1 2026 shows narrowing declines (revenue -13.59%, net profit -17.94%), indicating a potential bottoming out . In 2025, only Shanxi Xingjiacun Fenjiu reported dual growth in revenue and net profit, defying the downturn .
</w:t>
      </w:r>
    </w:p>
    <w:p w14:paraId="7A65CEB6">
      <w:pPr>
        <w:jc w:val="left"/>
      </w:pPr>
    </w:p>
    <w:p w14:paraId="78D56DAD">
      <w:pPr>
        <w:jc w:val="left"/>
      </w:pPr>
      <w:r>
        <w:rPr>
          <w:sz w:val="32"/>
        </w:rPr>
        <w:t>· Key Trends:
</w:t>
      </w:r>
    </w:p>
    <w:p w14:paraId="70167532">
      <w:pPr>
        <w:jc w:val="left"/>
      </w:pPr>
    </w:p>
    <w:p w14:paraId="632221B0">
      <w:pPr>
        <w:jc w:val="left"/>
      </w:pPr>
      <w:r>
        <w:rPr>
          <w:sz w:val="32"/>
        </w:rPr>
        <w:t xml:space="preserve"> · Channel Destocking: "Price inversion" remains severe (e.g., Feitian Maotai dropped from ~2300 RMB to ~1580 RMB in 2025) . Wuliangye adjusted revenue recognition to reflect actual sell-through, indirectly acknowledging high channel inventory .
</w:t>
      </w:r>
    </w:p>
    <w:p w14:paraId="2290D604">
      <w:pPr>
        <w:jc w:val="left"/>
      </w:pPr>
    </w:p>
    <w:p w14:paraId="5EDCD4B9">
      <w:pPr>
        <w:jc w:val="left"/>
      </w:pPr>
      <w:r>
        <w:rPr>
          <w:sz w:val="32"/>
        </w:rPr>
        <w:t xml:space="preserve">  · Demand Shift: Traditional business banquets are shrinking, giving way to "joyful" and low-alcohol consumption to attract younger demographics .
</w:t>
      </w:r>
    </w:p>
    <w:p w14:paraId="1EA5F328">
      <w:pPr>
        <w:jc w:val="left"/>
      </w:pPr>
    </w:p>
    <w:p w14:paraId="18A76102">
      <w:pPr>
        <w:jc w:val="left"/>
      </w:pPr>
      <w:r>
        <w:rPr>
          <w:sz w:val="32"/>
        </w:rPr>
        <w:t xml:space="preserve">  · Policy Support: The "15th Five-Year Plan" for the industry targets a shift from volume expansion to value quality, utilizing digital transformation to solve traceability issues .
</w:t>
      </w:r>
    </w:p>
    <w:p w14:paraId="70336580">
      <w:pPr>
        <w:jc w:val="left"/>
      </w:pPr>
    </w:p>
    <w:p w14:paraId="6730016F">
      <w:pPr>
        <w:jc w:val="left"/>
      </w:pPr>
      <w:r>
        <w:rPr>
          <w:sz w:val="36"/>
        </w:rPr>
        <w:t>
</w:t>
      </w:r>
    </w:p>
    <w:p w14:paraId="28CE6AF9">
      <w:pPr>
        <w:jc w:val="left"/>
      </w:pPr>
    </w:p>
    <w:p w14:paraId="1AB363A0">
      <w:pPr>
        <w:jc w:val="left"/>
      </w:pPr>
      <w:r>
        <w:rPr>
          <w:sz w:val="32"/>
        </w:rPr>
        <w:t>2. Competitive Landscape &amp; Tiering
</w:t>
      </w:r>
    </w:p>
    <w:p w14:paraId="65CB7635">
      <w:pPr>
        <w:jc w:val="left"/>
      </w:pPr>
    </w:p>
    <w:p w14:paraId="7268CF70">
      <w:pPr>
        <w:jc w:val="left"/>
      </w:pPr>
      <w:r>
        <w:rPr>
          <w:sz w:val="32"/>
        </w:rPr>
        <w:t>The market is strictly hierarchical with high barriers to entry for Tier 1 and 2.
</w:t>
      </w:r>
    </w:p>
    <w:p w14:paraId="0D9B1154">
      <w:pPr>
        <w:jc w:val="left"/>
      </w:pPr>
    </w:p>
    <w:p w14:paraId="4EE33BFD">
      <w:pPr>
        <w:jc w:val="left"/>
      </w:pPr>
      <w:r>
        <w:rPr>
          <w:sz w:val="32"/>
        </w:rPr>
        <w:t>· Tier 1 (Absolute Leader): Kweichow Moutai (600519.SH).
</w:t>
      </w:r>
    </w:p>
    <w:p w14:paraId="7748E458">
      <w:pPr>
        <w:jc w:val="left"/>
      </w:pPr>
    </w:p>
    <w:p w14:paraId="230E90F8">
      <w:pPr>
        <w:jc w:val="left"/>
      </w:pPr>
      <w:r>
        <w:rPr>
          <w:sz w:val="32"/>
        </w:rPr>
        <w:t>· Tier 2 (National contenders): Wuliangye (000858.SZ), Luzhou Laojiao, and Shanxi Xingjiacun Fenjiu.
</w:t>
      </w:r>
    </w:p>
    <w:p w14:paraId="1C72E9C0">
      <w:pPr>
        <w:jc w:val="left"/>
      </w:pPr>
    </w:p>
    <w:p w14:paraId="4EE99749">
      <w:pPr>
        <w:jc w:val="left"/>
      </w:pPr>
      <w:r>
        <w:rPr>
          <w:sz w:val="32"/>
        </w:rPr>
        <w:t>· Tier 3 (Regional): Yanghe, Gujing, and Yingjia.
</w:t>
      </w:r>
    </w:p>
    <w:p w14:paraId="69DFB460">
      <w:pPr>
        <w:jc w:val="left"/>
      </w:pPr>
    </w:p>
    <w:p w14:paraId="1E2635E3">
      <w:pPr>
        <w:jc w:val="left"/>
      </w:pPr>
      <w:r>
        <w:rPr>
          <w:sz w:val="32"/>
        </w:rPr>
        <w:t>· The "First Exit": Shanghai Stone (ST Rock) was delisted in April 2026 due to poor performance, signaling a purge of weak players .
</w:t>
      </w:r>
    </w:p>
    <w:p w14:paraId="7269056C">
      <w:pPr>
        <w:jc w:val="left"/>
      </w:pPr>
    </w:p>
    <w:p w14:paraId="63AE5BF6">
      <w:pPr>
        <w:jc w:val="left"/>
      </w:pPr>
      <w:r>
        <w:rPr>
          <w:sz w:val="36"/>
        </w:rPr>
        <w:t>
</w:t>
      </w:r>
    </w:p>
    <w:p w14:paraId="0A9E25BB">
      <w:pPr>
        <w:jc w:val="left"/>
      </w:pPr>
    </w:p>
    <w:p w14:paraId="439F4673">
      <w:pPr>
        <w:jc w:val="left"/>
      </w:pPr>
      <w:r>
        <w:rPr>
          <w:sz w:val="32"/>
        </w:rPr>
        <w:t>3. Target &amp; Peer Selection
</w:t>
      </w:r>
    </w:p>
    <w:p w14:paraId="6EEB71EE">
      <w:pPr>
        <w:jc w:val="left"/>
      </w:pPr>
    </w:p>
    <w:p w14:paraId="2772734C">
      <w:pPr>
        <w:jc w:val="left"/>
      </w:pPr>
      <w:r>
        <w:rPr>
          <w:sz w:val="32"/>
        </w:rPr>
        <w:t>· Target Company: Kweichow Moutai (600519.SH).
</w:t>
      </w:r>
    </w:p>
    <w:p w14:paraId="7D1B6ADF">
      <w:pPr>
        <w:jc w:val="left"/>
      </w:pPr>
    </w:p>
    <w:p w14:paraId="02087D4A">
      <w:pPr>
        <w:jc w:val="left"/>
      </w:pPr>
      <w:r>
        <w:rPr>
          <w:sz w:val="32"/>
        </w:rPr>
        <w:t xml:space="preserve">  · Rationale: As the absolute leader, its destocking pace and pricing power dictate the industry cycle. It is the safest proxy for "recovery" bets.
</w:t>
      </w:r>
    </w:p>
    <w:p w14:paraId="46875661">
      <w:pPr>
        <w:jc w:val="left"/>
      </w:pPr>
    </w:p>
    <w:p w14:paraId="2B471834">
      <w:pPr>
        <w:jc w:val="left"/>
      </w:pPr>
      <w:r>
        <w:rPr>
          <w:sz w:val="32"/>
        </w:rPr>
        <w:t>· Peers for Comparison:
</w:t>
      </w:r>
    </w:p>
    <w:p w14:paraId="4A515940">
      <w:pPr>
        <w:jc w:val="left"/>
      </w:pPr>
    </w:p>
    <w:p w14:paraId="46089128">
      <w:pPr>
        <w:jc w:val="left"/>
      </w:pPr>
      <w:r>
        <w:rPr>
          <w:sz w:val="32"/>
        </w:rPr>
        <w:t xml:space="preserve">  1. Wuliangye (000858.SZ): To compare valuation recovery and the impact of channel inventory corrections .
</w:t>
      </w:r>
    </w:p>
    <w:p w14:paraId="73903C67">
      <w:pPr>
        <w:jc w:val="left"/>
      </w:pPr>
    </w:p>
    <w:p w14:paraId="1439C001">
      <w:pPr>
        <w:jc w:val="left"/>
      </w:pPr>
      <w:r>
        <w:rPr>
          <w:sz w:val="32"/>
        </w:rPr>
        <w:t xml:space="preserve">  2. Shanxi Xingjiacun Fenjiu (600809.SH): The 2025 outlier for growth; to analyze successful counter-cyclical strategy .
</w:t>
      </w:r>
    </w:p>
    <w:p w14:paraId="2474E7ED">
      <w:pPr>
        <w:jc w:val="left"/>
      </w:pPr>
    </w:p>
    <w:p w14:paraId="307ABDBE">
      <w:pPr>
        <w:jc w:val="left"/>
      </w:pPr>
      <w:r>
        <w:rPr>
          <w:sz w:val="36"/>
        </w:rPr>
        <w:t>
</w:t>
      </w:r>
    </w:p>
    <w:p w14:paraId="7F3FBC14">
      <w:pPr>
        <w:jc w:val="left"/>
      </w:pPr>
    </w:p>
    <w:p w14:paraId="2FC571A7">
      <w:pPr>
        <w:jc w:val="left"/>
      </w:pPr>
      <w:r>
        <w:rPr>
          <w:sz w:val="32"/>
        </w:rPr>
        <w:t>4. Key Financial Context (2025 Data)
</w:t>
      </w:r>
    </w:p>
    <w:p w14:paraId="40C67C9C">
      <w:pPr>
        <w:jc w:val="left"/>
      </w:pPr>
    </w:p>
    <w:p w14:paraId="7FD39103">
      <w:pPr>
        <w:jc w:val="left"/>
      </w:pPr>
      <w:r>
        <w:rPr>
          <w:sz w:val="32"/>
        </w:rPr>
        <w:t>Data from 2025 Annual Reports 
</w:t>
      </w:r>
    </w:p>
    <w:p w14:paraId="5E9F38BF">
      <w:pPr>
        <w:jc w:val="left"/>
      </w:pPr>
    </w:p>
    <w:p w14:paraId="7C767FCF">
      <w:pPr>
        <w:jc w:val="left"/>
      </w:pPr>
      <w:r>
        <w:rPr>
          <w:sz w:val="32"/>
        </w:rPr>
        <w:t>· Moutai: Revenue 172.05B (-1.2% YoY). First decline in 24 years. Net profit declined 4.53%. Gross margin remains supreme at 91.29%.
</w:t>
      </w:r>
    </w:p>
    <w:p w14:paraId="71027FD3">
      <w:pPr>
        <w:jc w:val="left"/>
      </w:pPr>
    </w:p>
    <w:p w14:paraId="3B73230A">
      <w:pPr>
        <w:jc w:val="left"/>
      </w:pPr>
      <w:r>
        <w:rPr>
          <w:sz w:val="32"/>
        </w:rPr>
        <w:t>· Wuliangye: Revenue 40.53B (-55% due to restatement). Highlighted massive channel check.
</w:t>
      </w:r>
    </w:p>
    <w:p w14:paraId="3291F514">
      <w:pPr>
        <w:jc w:val="left"/>
      </w:pPr>
    </w:p>
    <w:p w14:paraId="7D948BD0">
      <w:pPr>
        <w:jc w:val="left"/>
      </w:pPr>
      <w:r>
        <w:rPr>
          <w:sz w:val="32"/>
        </w:rPr>
        <w:t>· Fenjiu: Revenue 38.72B (+7.52%). Unique positive performance.
</w:t>
      </w:r>
    </w:p>
    <w:p w14:paraId="256BB903">
      <w:pPr>
        <w:jc w:val="left"/>
      </w:pPr>
    </w:p>
    <w:p w14:paraId="2EA5DA2A">
      <w:pPr>
        <w:jc w:val="left"/>
      </w:pPr>
      <w:r>
        <w:rPr>
          <w:sz w:val="36"/>
        </w:rPr>
        <w:t>
</w:t>
      </w:r>
    </w:p>
    <w:p w14:paraId="64D4D380">
      <w:pPr>
        <w:jc w:val="left"/>
      </w:pPr>
    </w:p>
    <w:p w14:paraId="27DEF51D">
      <w:pPr>
        <w:jc w:val="left"/>
      </w:pPr>
      <w:r>
        <w:rPr>
          <w:sz w:val="32"/>
        </w:rPr>
        <w:t>5. AI Agent Requirements
</w:t>
      </w:r>
    </w:p>
    <w:p w14:paraId="74987F96">
      <w:pPr>
        <w:jc w:val="left"/>
      </w:pPr>
    </w:p>
    <w:p w14:paraId="3DC5F6DF">
      <w:pPr>
        <w:jc w:val="left"/>
      </w:pPr>
      <w:r>
        <w:rPr>
          <w:sz w:val="32"/>
        </w:rPr>
        <w:t>Based on the current environment, the analysis points for the AI Agent should focus on:
</w:t>
      </w:r>
    </w:p>
    <w:p w14:paraId="1FC8FAB0">
      <w:pPr>
        <w:jc w:val="left"/>
      </w:pPr>
    </w:p>
    <w:p w14:paraId="7148CCDA">
      <w:pPr>
        <w:jc w:val="left"/>
      </w:pPr>
      <w:r>
        <w:rPr>
          <w:sz w:val="32"/>
        </w:rPr>
        <w:t>1. Revenue Quality vs. Channel Check: Agent must distinguish between "sales to distributors" (shipment) vs. "sales to customers" (sell-through).
</w:t>
      </w:r>
    </w:p>
    <w:p w14:paraId="406AA2E8">
      <w:pPr>
        <w:jc w:val="left"/>
      </w:pPr>
    </w:p>
    <w:p w14:paraId="2A764B5D">
      <w:pPr>
        <w:jc w:val="left"/>
      </w:pPr>
      <w:r>
        <w:rPr>
          <w:sz w:val="32"/>
        </w:rPr>
        <w:t>2. Scenario Analysis: Model must simulate Price/Volume trade-offs (e.g., if Moutai cuts price by 10%, does volume increase enough to offset?).
</w:t>
      </w:r>
    </w:p>
    <w:p w14:paraId="6282AFD6">
      <w:pPr>
        <w:jc w:val="left"/>
      </w:pPr>
    </w:p>
    <w:p w14:paraId="3E920AD5">
      <w:pPr>
        <w:jc w:val="left"/>
      </w:pPr>
      <w:r>
        <w:rPr>
          <w:sz w:val="32"/>
        </w:rPr>
        <w:t>3. Policy/BAIT Integration: Monitor "15th Five-Year Plan" catalysts versus short-term financial risk (cash flow pressure) .
</w:t>
      </w:r>
    </w:p>
    <w:p w14:paraId="2A2E52F4">
      <w:pPr>
        <w:jc w:val="left"/>
      </w:pPr>
    </w:p>
    <w:p w14:paraId="35ACDF45">
      <w:pPr>
        <w:jc w:val="left"/>
      </w:pPr>
      <w:r>
        <w:rPr>
          <w:sz w:val="36"/>
        </w:rPr>
        <w:t>
</w:t>
      </w:r>
    </w:p>
    <w:p w14:paraId="3B66BE55">
      <w:pPr>
        <w:jc w:val="left"/>
      </w:pPr>
    </w:p>
    <w:p w14:paraId="5F1515D7">
      <w:pPr>
        <w:jc w:val="left"/>
      </w:pPr>
      <w:r>
        <w:rPr>
          <w:sz w:val="32"/>
        </w:rPr>
        <w:t>References
</w:t>
      </w:r>
    </w:p>
    <w:p w14:paraId="31707245">
      <w:pPr>
        <w:jc w:val="left"/>
      </w:pPr>
    </w:p>
    <w:p w14:paraId="22C1AFB1">
      <w:pPr>
        <w:jc w:val="left"/>
      </w:pPr>
      <w:r>
        <w:rPr>
          <w:sz w:val="36"/>
        </w:rPr>
        <w:t>
</w:t>
      </w:r>
    </w:p>
    <w:p w14:paraId="30836E93">
      <w:pPr>
        <w:jc w:val="left"/>
      </w:pPr>
    </w:p>
    <w:p w14:paraId="5C0606CD">
      <w:pPr>
        <w:jc w:val="left"/>
      </w:pPr>
      <w:r>
        <w:rPr>
          <w:sz w:val="32"/>
        </w:rPr>
        <w:t>1. EastMoney. (2025, Dec 29). Price decline &amp; inventory backlog: Baijiu industry faces difficult year. 
</w:t>
      </w:r>
    </w:p>
    <w:p w14:paraId="0A6625EC">
      <w:pPr>
        <w:jc w:val="left"/>
      </w:pPr>
    </w:p>
    <w:p w14:paraId="399F41D2">
      <w:pPr>
        <w:jc w:val="left"/>
      </w:pPr>
      <w:r>
        <w:rPr>
          <w:sz w:val="32"/>
        </w:rPr>
        <w:t>2. China Finance Information. (2026, May 21). Baijiu deep adjustment: "Fully转向C" breaks the deadlock. 
</w:t>
      </w:r>
    </w:p>
    <w:p w14:paraId="0AD6F1E4">
      <w:pPr>
        <w:jc w:val="left"/>
      </w:pPr>
    </w:p>
    <w:p w14:paraId="6BFB84BE">
      <w:pPr>
        <w:jc w:val="left"/>
      </w:pPr>
      <w:r>
        <w:rPr>
          <w:sz w:val="32"/>
        </w:rPr>
        <w:t>3. 163.com. (2026, May 20). Full 2025 Baijiu listed company rankings: The rise and fall of the era.
</w:t>
      </w:r>
    </w:p>
    <w:p w14:paraId="062FB35E">
      <w:pPr>
        <w:jc w:val="left"/>
      </w:pPr>
    </w:p>
    <w:p w14:paraId="4E59E3A5">
      <w:pPr>
        <w:jc w:val="left"/>
      </w:pPr>
      <w:r>
        <w:rPr>
          <w:sz w:val="32"/>
        </w:rPr>
        <w:t>4. 21Jingji. (2025, Nov 8). Full scan of two major Baijiu cycles: Balance sheet resilience.
</w:t>
      </w:r>
    </w:p>
    <w:p w14:paraId="592225B5">
      <w:pPr>
        <w:jc w:val="left"/>
      </w:pPr>
    </w:p>
    <w:p w14:paraId="60101AAE">
      <w:pPr>
        <w:jc w:val="left"/>
      </w:pPr>
      <w:r>
        <w:rPr>
          <w:sz w:val="32"/>
        </w:rPr>
        <w:t>5. Sohu (CAI). (2026, May 22). Decoding the "15th Five-Year Plan" for the Baijiu industry.
</w:t>
      </w:r>
    </w:p>
    <w:p w14:paraId="381A1C35">
      <w:pPr>
        <w:jc w:val="left"/>
      </w:pPr>
    </w:p>
    <w:p w14:paraId="1317927E">
      <w:pPr>
        <w:jc w:val="left"/>
      </w:pPr>
      <w:r>
        <w:rPr>
          <w:sz w:val="32"/>
        </w:rPr>
        <w:t>6. Economic Reference News. (2025, Dec 2). Baijiu industry promotes digital intelligence amid overall performance pressure.
</w:t>
      </w:r>
    </w:p>
    <w:p w14:paraId="55CD68EA">
      <w:pPr>
        <w:jc w:val="left"/>
      </w:pPr>
    </w:p>
    <w:p w14:paraId="7D6BC640">
      <w:pPr>
        <w:jc w:val="left"/>
      </w:pPr>
      <w:r>
        <w:rPr>
          <w:sz w:val="32"/>
        </w:rPr>
        <w:t>7. Sohu (Securities). (2026, May 22). Institutions: Baijiu bottom is in, leading enterprises accelerate clearance.
</w:t>
      </w:r>
    </w:p>
    <w:p w14:paraId="15513D3E">
      <w:pPr>
        <w:jc w:val="left"/>
      </w:pPr>
    </w:p>
    <w:p w14:paraId="16309424">
      <w:pPr>
        <w:jc w:val="left"/>
      </w:pPr>
      <w:r>
        <w:rPr>
          <w:sz w:val="32"/>
        </w:rPr>
        <w:t>8. 10jqka. (2025, Q3). Industry Comparison: Baijiu Category (600519.SH).
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3B3A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584</Words>
  <Characters>3288</Characters>
  <TotalTime>3</TotalTime>
  <ScaleCrop>false</ScaleCrop>
  <LinksUpToDate>false</LinksUpToDate>
  <CharactersWithSpaces>3830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2026-05-23T08:23:00Z</dcterms:created>
  <dc:creator>Apache POI</dc:creator>
  <cp:lastModifiedBy>周子涵</cp:lastModifiedBy>
  <dcterms:modified xsi:type="dcterms:W3CDTF">2026-05-23T08:37:15Z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A6AD5973A5AC45EE9FC1386CBFAD9B9A_13</vt:lpwstr>
  </property>
</Properties>
</file>