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48C65">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This document lays out the core assumptions and rationale behind the two-stage DCF valuation of Guizhou Maotai. The model follows standard financial valuation practices, and all assumptions are grounded in the company’s historical data, industry research reports, and basic financial theory, with no unfounded guesswork</w:t>
      </w:r>
    </w:p>
    <w:p w14:paraId="7AAC5305">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Basic Valuation Parameters</w:t>
      </w:r>
    </w:p>
    <w:p w14:paraId="0AA1012D">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Valuation base date: December 31, 2024</w:t>
      </w:r>
    </w:p>
    <w:p w14:paraId="31408337">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Two-stage model adopted:</w:t>
      </w:r>
    </w:p>
    <w:p w14:paraId="54AE0BB7">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- 2025E–2029E: Forecast growth period (5 years)</w:t>
      </w:r>
    </w:p>
    <w:p w14:paraId="7FE088FA">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- 2030E onwards: Perpetual stable period</w:t>
      </w:r>
    </w:p>
    <w:p w14:paraId="4EA3B1FA">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Total shares: 1.256 billion</w:t>
      </w:r>
    </w:p>
    <w:p w14:paraId="2063F44D">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Interest-bearing liabilities: 0</w:t>
      </w:r>
    </w:p>
    <w:p w14:paraId="0B296338">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Excess cash: 59.296 billion RMB</w:t>
      </w:r>
    </w:p>
    <w:p w14:paraId="68C2400B">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All data are from the 2024 annual report.</w:t>
      </w:r>
    </w:p>
    <w:p w14:paraId="04D86D70">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Growth Assumptions</w:t>
      </w:r>
    </w:p>
    <w:p w14:paraId="3D486BCF">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Revenue growth rate in forecast period: 8%</w:t>
      </w:r>
    </w:p>
    <w:p w14:paraId="3BEEFA04">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As the leading high-end liquor brand in China, Maotai has historically benefited from both volume growth and price increases.</w:t>
      </w:r>
      <w:r>
        <w:rPr>
          <w:rFonts w:hint="eastAsia" w:ascii="Segoe UI Emoji" w:hAnsi="Segoe UI Emoji" w:eastAsia="Segoe UI Emoji" w:cs="Segoe UI Emoji"/>
          <w:i w:val="0"/>
          <w:iCs w:val="0"/>
          <w:caps w:val="0"/>
          <w:spacing w:val="0"/>
          <w:sz w:val="16"/>
          <w:szCs w:val="16"/>
        </w:rPr>
        <w:t>However, growth slows as its base expands. Combined with industry reports and historical growth, a conservative and stable rate of 8% is adopted.</w:t>
      </w:r>
    </w:p>
    <w:p w14:paraId="3E2908CF">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Perpetual growth rate: 2.5%</w:t>
      </w:r>
    </w:p>
    <w:p w14:paraId="42155075">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Corresponds to China’s long-term GDP growth rate and applies to mature consumer companies. It is lower than the discount rate, meeting the mathematical requirements of the perpetual model and avoiding valuation bubbles.</w:t>
      </w:r>
    </w:p>
    <w:p w14:paraId="6890874C">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Profitability &amp; Cash Flow Assumptions</w:t>
      </w:r>
    </w:p>
    <w:p w14:paraId="1740E100">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 Net operating profit after tax margin: 52.3%</w:t>
      </w:r>
    </w:p>
    <w:p w14:paraId="6CD57A36">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Using the actual 2024 figure. M</w:t>
      </w:r>
      <w:r>
        <w:rPr>
          <w:rFonts w:hint="eastAsia" w:ascii="Segoe UI Emoji" w:hAnsi="Segoe UI Emoji" w:eastAsia="宋体" w:cs="Segoe UI Emoji"/>
          <w:i w:val="0"/>
          <w:iCs w:val="0"/>
          <w:caps w:val="0"/>
          <w:spacing w:val="0"/>
          <w:sz w:val="16"/>
          <w:szCs w:val="16"/>
          <w:lang w:val="en-US" w:eastAsia="zh-CN"/>
        </w:rPr>
        <w:t>ao</w:t>
      </w:r>
      <w:r>
        <w:rPr>
          <w:rFonts w:hint="eastAsia" w:ascii="Segoe UI Emoji" w:hAnsi="Segoe UI Emoji" w:eastAsia="Segoe UI Emoji" w:cs="Segoe UI Emoji"/>
          <w:i w:val="0"/>
          <w:iCs w:val="0"/>
          <w:caps w:val="0"/>
          <w:spacing w:val="0"/>
          <w:sz w:val="16"/>
          <w:szCs w:val="16"/>
        </w:rPr>
        <w:t>tai’s profitability is stable with gross margin over 90%, and profit margins fluctuate minimally in its mature stage.</w:t>
      </w:r>
    </w:p>
    <w:p w14:paraId="41D9BBB5">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Depreciation and amortization rate: 7%</w:t>
      </w:r>
    </w:p>
    <w:p w14:paraId="4FC12202">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Based on the historical average. The company has no large-scale expansion, and its depreciation policy is stable.</w:t>
      </w:r>
    </w:p>
    <w:p w14:paraId="413AED06">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-Capital expenditure as % of revenue: 2.5%</w:t>
      </w:r>
    </w:p>
    <w:p w14:paraId="1A7D1B0D">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M</w:t>
      </w:r>
      <w:r>
        <w:rPr>
          <w:rFonts w:hint="eastAsia" w:ascii="Segoe UI Emoji" w:hAnsi="Segoe UI Emoji" w:eastAsia="宋体" w:cs="Segoe UI Emoji"/>
          <w:i w:val="0"/>
          <w:iCs w:val="0"/>
          <w:caps w:val="0"/>
          <w:spacing w:val="0"/>
          <w:sz w:val="16"/>
          <w:szCs w:val="16"/>
          <w:lang w:val="en-US" w:eastAsia="zh-CN"/>
        </w:rPr>
        <w:t>ao</w:t>
      </w:r>
      <w:r>
        <w:rPr>
          <w:rFonts w:hint="eastAsia" w:ascii="Segoe UI Emoji" w:hAnsi="Segoe UI Emoji" w:eastAsia="Segoe UI Emoji" w:cs="Segoe UI Emoji"/>
          <w:i w:val="0"/>
          <w:iCs w:val="0"/>
          <w:caps w:val="0"/>
          <w:spacing w:val="0"/>
          <w:sz w:val="16"/>
          <w:szCs w:val="16"/>
        </w:rPr>
        <w:t>tai is in a mature stage with low capital investment, historically within 2%–3%.</w:t>
      </w:r>
    </w:p>
    <w:p w14:paraId="6E20CE36">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-Working capital turnover: Maintain 2024 level</w:t>
      </w:r>
    </w:p>
    <w:p w14:paraId="7951BAEC">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M</w:t>
      </w:r>
      <w:r>
        <w:rPr>
          <w:rFonts w:hint="eastAsia" w:ascii="Segoe UI Emoji" w:hAnsi="Segoe UI Emoji" w:eastAsia="宋体" w:cs="Segoe UI Emoji"/>
          <w:i w:val="0"/>
          <w:iCs w:val="0"/>
          <w:caps w:val="0"/>
          <w:spacing w:val="0"/>
          <w:sz w:val="16"/>
          <w:szCs w:val="16"/>
          <w:lang w:val="en-US" w:eastAsia="zh-CN"/>
        </w:rPr>
        <w:t>ao</w:t>
      </w:r>
      <w:r>
        <w:rPr>
          <w:rFonts w:hint="eastAsia" w:ascii="Segoe UI Emoji" w:hAnsi="Segoe UI Emoji" w:eastAsia="Segoe UI Emoji" w:cs="Segoe UI Emoji"/>
          <w:i w:val="0"/>
          <w:iCs w:val="0"/>
          <w:caps w:val="0"/>
          <w:spacing w:val="0"/>
          <w:sz w:val="16"/>
          <w:szCs w:val="16"/>
        </w:rPr>
        <w:t>tai uses advance payments, with strong channel control and stable working capital management.</w:t>
      </w:r>
    </w:p>
    <w:p w14:paraId="27FD801F">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Discount Rate Assumption</w:t>
      </w:r>
    </w:p>
    <w:p w14:paraId="4C082275">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 WACC: 8.5%</w:t>
      </w:r>
    </w:p>
    <w:p w14:paraId="4D6ED638">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rPr>
        <w:t>The liquor industry has stable cash flow and low risk. M</w:t>
      </w:r>
      <w:r>
        <w:rPr>
          <w:rFonts w:hint="eastAsia" w:ascii="Segoe UI Emoji" w:hAnsi="Segoe UI Emoji" w:eastAsia="宋体" w:cs="Segoe UI Emoji"/>
          <w:i w:val="0"/>
          <w:iCs w:val="0"/>
          <w:caps w:val="0"/>
          <w:spacing w:val="0"/>
          <w:sz w:val="16"/>
          <w:szCs w:val="16"/>
          <w:lang w:val="en-US" w:eastAsia="zh-CN"/>
        </w:rPr>
        <w:t>ao</w:t>
      </w:r>
      <w:r>
        <w:rPr>
          <w:rFonts w:hint="eastAsia" w:ascii="Segoe UI Emoji" w:hAnsi="Segoe UI Emoji" w:eastAsia="Segoe UI Emoji" w:cs="Segoe UI Emoji"/>
          <w:i w:val="0"/>
          <w:iCs w:val="0"/>
          <w:caps w:val="0"/>
          <w:spacing w:val="0"/>
          <w:sz w:val="16"/>
          <w:szCs w:val="16"/>
        </w:rPr>
        <w:t>tai is debt-free and operates steadily, so its discount rate is below the market average, consistent with common practice for leading consumer companies.</w:t>
      </w:r>
    </w:p>
    <w:p w14:paraId="7C755CC9">
      <w:pPr>
        <w:rPr>
          <w:rFonts w:hint="eastAsia" w:ascii="Segoe UI Emoji" w:hAnsi="Segoe UI Emoji" w:eastAsia="Segoe UI Emoji" w:cs="Segoe UI Emoji"/>
          <w:i w:val="0"/>
          <w:iCs w:val="0"/>
          <w:caps w:val="0"/>
          <w:spacing w:val="0"/>
          <w:sz w:val="16"/>
          <w:szCs w:val="16"/>
        </w:rPr>
      </w:pPr>
      <w:r>
        <w:rPr>
          <w:rFonts w:hint="eastAsia" w:ascii="Segoe UI Emoji" w:hAnsi="Segoe UI Emoji" w:eastAsia="Segoe UI Emoji" w:cs="Segoe UI Emoji"/>
          <w:i w:val="0"/>
          <w:iCs w:val="0"/>
          <w:caps w:val="0"/>
          <w:spacing w:val="0"/>
          <w:sz w:val="16"/>
          <w:szCs w:val="16"/>
          <w:lang w:val="en-US" w:eastAsia="zh-CN"/>
        </w:rPr>
        <w:t>Overall, all assumptions are supported by data and theory, making the model rigorous and reasonable. The final intrinsic value per share comes out to 1557 RMB, which appears robust and reliable.</w:t>
      </w:r>
    </w:p>
    <w:p w14:paraId="5909D6C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F26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2026-05-16T06:59:03Z</dcterms:created>
  <dc:creator>asus</dc:creator>
  <cp:lastModifiedBy>野狼</cp:lastModifiedBy>
  <dcterms:modified xsi:type="dcterms:W3CDTF">2026-05-16T07:07:28Z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eyJoZGlkIjoiNWMxMTg0MzIzNzcwZjE2MGVlN2IzN2UwMzgzYTc2ZTgiLCJ1c2VySWQiOiIxMDUxNzY3Njk3In0=</vt:lpwstr>
  </property>
  <property fmtid="{D5CDD505-2E9C-101B-9397-08002B2CF9AE}" pid="4" name="ICV">
    <vt:lpwstr>1ECDB515167449099C023B1996AD801B_12</vt:lpwstr>
  </property>
</Properties>
</file>