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对问题的深入理解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什么是拖网作业、围网作业以及流刺网作业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拖网作业：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eastAsia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拖网捕捞（trawling）用渔船拖曳囊袋形网具，迫使捕捞对象进入网内的捕捞作业方式。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当曳纲放出预定长度后，渔船按预定的拖向和拖速拖网前进。曳纲放出的长度一般为水深的3～5倍。拖网速度一般为每小时3～5海里。每3小时左右起网一次。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>从上面信息可以看出渔船的速度、以及停止航行时间、行驶方向都可以提供判断作业方式的信息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>围网作业：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用一种长带形或一囊两翼的袋形网具捕鱼的作业。网具上缘系有浮子，下缘挂有网坠。作业时，网具在水中垂直展开近似圆形围壁，包围密集鱼群，迫使鱼群进入网具的取鱼部或囊网而后收网捞鱼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>流刺网作业：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SimSun" w:hAnsi="SimSun" w:cs="SimSun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刺网捕捞中最重要的一种作业方式。由渔船系带刺网网列的一端，船和网列一起随风、流迎着鱼类运动方向漂移，使鱼刺入网目（见图）。作业一般都在夜间进行，可根据鱼类活动的水层深度变化，随时调整网具在上、中、底层的位置。这种方式不仅广泛应用于世界各国内陆水域、沿海和近海，而且用于远洋作业、鱼群的试捕侦察以及</w:t>
      </w:r>
      <w:r>
        <w:rPr>
          <w:rFonts w:hint="eastAsia" w:ascii="SimSun" w:hAnsi="SimSun" w:eastAsia="SimSun" w:cs="SimSun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SimSun" w:hAnsi="SimSun" w:eastAsia="SimSun" w:cs="SimSun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"https://baike.baidu.com/item/%E6%B8%94%E4%B8%9A%E8%B5%84%E6%BA%90%E8%B0%83%E6%9F%A5/5657803" \t "/home/kh/Documents\\x/_blank" </w:instrText>
      </w:r>
      <w:r>
        <w:rPr>
          <w:rFonts w:hint="eastAsia" w:ascii="SimSun" w:hAnsi="SimSun" w:eastAsia="SimSun" w:cs="SimSun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SimSun" w:hAnsi="SimSun" w:eastAsia="SimSun" w:cs="SimSun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渔业资源调查</w:t>
      </w:r>
      <w:r>
        <w:rPr>
          <w:rFonts w:hint="eastAsia" w:ascii="SimSun" w:hAnsi="SimSun" w:eastAsia="SimSun" w:cs="SimSun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FF5E8C"/>
    <w:multiLevelType w:val="singleLevel"/>
    <w:tmpl w:val="E7FF5E8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B7FB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kh</cp:lastModifiedBy>
  <dcterms:modified xsi:type="dcterms:W3CDTF">2020-01-14T15:16:02Z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