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对问题的深入理解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什么是拖网作业、围网作业以及流刺网作业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拖网作业：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拖网捕捞（trawling）用渔船拖曳囊袋形网具，迫使捕捞对象进入网内的捕捞作业方式。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当曳纲放出预定长度后，渔船按预定的拖向和拖速拖网前进。曳纲放出的长度一般为水深的3～5倍。拖网速度一般为每小时3～5海里。每3小时左右起网一次。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从上面信息可以看出渔船的速度、以及停止航行时间、行驶方向都可以提供判断作业方式的信息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围网作业：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用一种长带形或一囊两翼的袋形网具捕鱼的作业。网具上缘系有浮子，下缘挂有网坠。作业时，网具在水中垂直展开近似圆形围壁，包围密集鱼群，迫使鱼群进入网具的取鱼部或囊网而后收网捞鱼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流刺网作业：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SimSun" w:hAnsi="SimSun" w:cs="SimSun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刺网捕捞中最重要的一种作业方式。由渔船系带刺网网列的一端，船和网列一起随风、流迎着鱼类运动方向漂移，使鱼刺入网目（见图）。作业一般都在夜间进行，可根据鱼类活动的水层深度变化，随时调整网具在上、中、底层的位置。这种方式不仅广泛应用于世界各国内陆水域、沿海和近海，而且用于远洋作业、鱼群的试捕侦察以及</w:t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"https://baike.baidu.com/item/%E6%B8%94%E4%B8%9A%E8%B5%84%E6%BA%90%E8%B0%83%E6%9F%A5/5657803" \t "/home/kh/Documents\\x/_blank" </w:instrText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eastAsia" w:ascii="SimSun" w:hAnsi="SimSun" w:eastAsia="SimSun" w:cs="SimSun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渔业资源调查</w:t>
      </w:r>
      <w:r>
        <w:rPr>
          <w:rFonts w:hint="eastAsia" w:ascii="SimSun" w:hAnsi="SimSun" w:eastAsia="SimSun" w:cs="SimSun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 xml:space="preserve">     shipId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 xml:space="preserve">type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刺网      1017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围网      1621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  <w:t>拖网      4361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FF5E8C"/>
    <w:multiLevelType w:val="singleLevel"/>
    <w:tmpl w:val="E7FF5E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B7FB25D"/>
    <w:rsid w:val="FF79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kh</cp:lastModifiedBy>
  <dcterms:modified xsi:type="dcterms:W3CDTF">2020-01-14T16:41:13Z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