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pBdr>
          <w:left w:val="nil"/>
          <w:right w:val="nil"/>
          <w:top w:val="nil"/>
          <w:bottom w:val="nil"/>
          <w:between w:val="nil"/>
        </w:pBdr>
        <w:shd w:val="clear" w:color="auto" w:fill="auto"/>
        <w:spacing w:before="120" w:after="120" w:lineRule="auto" w:line="276"/>
        <w:jc w:val="center"/>
        <w:rPr>
          <w:rFonts w:ascii="Google Sans Text" w:cs="Google Sans Text" w:eastAsia="Google Sans Text" w:hAnsi="Google Sans Text"/>
          <w:b/>
          <w:color w:val="1f1f1f"/>
          <w:sz w:val="48"/>
          <w:szCs w:val="48"/>
        </w:rPr>
      </w:pPr>
      <w:r>
        <w:rPr>
          <w:rFonts w:ascii="Google Sans Text" w:cs="Google Sans Text" w:eastAsia="Google Sans Text" w:hAnsi="Google Sans Text"/>
          <w:b/>
          <w:color w:val="1f1f1f"/>
          <w:sz w:val="48"/>
          <w:szCs w:val="48"/>
        </w:rPr>
        <w:t>​"Kerangka Regulasi Fintech Syariah: Menyeimbangkan Inovasi dan Perlindungan Konsumen di Era Pasca-Pandemi"</w:t>
      </w:r>
    </w:p>
    <w:p>
      <w:pPr>
        <w:pStyle w:val="style0"/>
        <w:widowControl w:val="false"/>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(A Critical Analysis of the PT DSI Fraud Case)</w:t>
      </w:r>
    </w:p>
    <w:p>
      <w:pPr>
        <w:pStyle w:val="style0"/>
        <w:widowControl w:val="false"/>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Oleh: Dr. Bahori Ahoen, ME., MH.</w:t>
      </w:r>
    </w:p>
    <w:p>
      <w:pPr>
        <w:pStyle w:val="style0"/>
        <w:widowControl w:val="false"/>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i/>
          <w:color w:val="1f1f1f"/>
          <w:sz w:val="21"/>
          <w:szCs w:val="21"/>
        </w:rPr>
      </w:pPr>
      <w:r>
        <w:rPr>
          <w:rFonts w:ascii="Google Sans Text" w:cs="Google Sans Text" w:eastAsia="Google Sans Text" w:hAnsi="Google Sans Text"/>
          <w:i/>
          <w:color w:val="1f1f1f"/>
          <w:sz w:val="21"/>
          <w:szCs w:val="21"/>
        </w:rPr>
        <w:t>Dosen Hukum Ekonomi Syariah, Universitas Tazkia</w:t>
      </w:r>
    </w:p>
    <w:p>
      <w:pPr>
        <w:pStyle w:val="style0"/>
        <w:widowControl w:val="false"/>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i/>
          <w:color w:val="1f1f1f"/>
          <w:sz w:val="21"/>
          <w:szCs w:val="21"/>
        </w:rPr>
      </w:pPr>
    </w:p>
    <w:p>
      <w:pPr>
        <w:pStyle w:val="style0"/>
        <w:widowControl w:val="false"/>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b/>
          <w:color w:val="1f1f1f"/>
          <w:sz w:val="28"/>
          <w:szCs w:val="28"/>
        </w:rPr>
      </w:pPr>
      <w:r>
        <w:rPr>
          <w:rFonts w:ascii="Google Sans Text" w:cs="Google Sans Text" w:eastAsia="Google Sans Text" w:hAnsi="Google Sans Text"/>
          <w:b/>
          <w:color w:val="1f1f1f"/>
          <w:sz w:val="28"/>
          <w:szCs w:val="28"/>
        </w:rPr>
        <w:t>ABSTRAK</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 xml:space="preserve">Latar Belakang: Era pasca-pandemi memicu lonjakan digitalisasi keuangan syariah di Indonesia, namun akselerasi ini menghadirkan paradoks perlindungan konsumen yang akut. Skandal mega-fraud PT DSI </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pada awal 2026, yang merugikan 15.000 investor dengan total Rp2,4 triliun, menyingkap keruntuhan fundamental dalam tata kelola Peer-to-Peer (P2P) Lending Syariah.</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Tujuan &amp; Masalah: Penelitian ini bertujuan membongkar ilusi keamanan di balik fenomena "The Halal Halo Effect", di mana sentimen agama dieksploitasi oleh penyelenggara untuk melancarkan skema Ponzi dan rekayasa proyek fiktif. Regulasi eksisting (POJK No. 10/2022) dikritisi karena menyisakan celah yurisdiksi yang mengizinkan platform menguasai rekening penampung dan absennya kewajiban pendaftaran jaminan secara legal.</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Metodologi: Melalui pendekatan kualitatif dengan desain studi kasus instrumental, penelitian ini melakukan otopsi hukum berdasarkan data primer penyidikan Bareskrim Polri dan laporan PVML OJK (Februari 2026), serta triangulasi dengan prinsip Maqasid Sharia (Hifz al-Mal).</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Temuan &amp; Solusi (Novelty): Temuan utama menegaskan bahwa pengawasan administratif dan tata kelola berbasis trust (kepercayaan personal) telah gagal total. Sebagai solusi sistemik, penelitian ini menggagas arsitektur keamanan Zero Trust melalui penerapan Integrated Collateral Management System (ICMS) dengan mekanisme "Triple-Lock": (1) Pemindahan otoritas rekening kepada Wali Amanat (Independent Trustee), (2) Penguncian agunan secara otomatis via Hak Tanggungan Digital yang terintegrasi dengan otoritas pertanahan, dan (3) Eksekusi pencairan dana berbasis rekam jejak fisik menggunakan Smart Contract.</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Kesimpulan: Penelitian ini menyimpulkan bahwa untuk memulihkan kepercayaan pada ekonomi digital Islam, integritas syariah tidak boleh sekadar bersandar pada janji moralitas pengelola, melainkan harus dipaksa dan dikunci oleh kedaulatan teknologi serta presisi hukum yang tidak dapat dimanipulasi.</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Kata Kunci: Fintech Syariah, Perlindungan Konsumen, Skema Ponzi, Wali Amanat, Hak Tanggungan Digital, Integrated Collateral Management System (ICMS).</w:t>
      </w:r>
    </w:p>
    <w:p>
      <w:pPr>
        <w:pStyle w:val="style0"/>
        <w:widowControl w:val="false"/>
        <w:pBdr>
          <w:left w:val="nil"/>
          <w:right w:val="nil"/>
          <w:top w:val="nil"/>
          <w:bottom w:val="nil"/>
          <w:between w:val="nil"/>
        </w:pBdr>
        <w:shd w:val="clear" w:color="auto" w:fill="auto"/>
        <w:spacing w:after="240" w:lineRule="auto" w:line="276"/>
        <w:jc w:val="center"/>
        <w:rPr>
          <w:rFonts w:ascii="Google Sans Text" w:cs="Google Sans Text" w:eastAsia="Google Sans Text" w:hAnsi="Google Sans Text"/>
          <w:i/>
          <w:color w:val="1f1f1f"/>
          <w:sz w:val="21"/>
          <w:szCs w:val="21"/>
        </w:rPr>
      </w:pPr>
    </w:p>
    <w:p>
      <w:pPr>
        <w:pStyle w:val="style0"/>
        <w:widowControl w:val="false"/>
        <w:pBdr>
          <w:left w:val="nil"/>
          <w:right w:val="nil"/>
          <w:top w:val="nil"/>
          <w:bottom w:val="nil"/>
          <w:between w:val="nil"/>
        </w:pBdr>
        <w:shd w:val="clear" w:color="auto" w:fill="auto"/>
        <w:spacing w:before="120" w:after="120" w:lineRule="auto" w:line="276"/>
        <w:rPr>
          <w:rFonts w:ascii="Google Sans Text" w:cs="Google Sans Text" w:eastAsia="Google Sans Text" w:hAnsi="Google Sans Text"/>
          <w:i/>
          <w:color w:val="1f1f1f"/>
          <w:sz w:val="21"/>
          <w:szCs w:val="21"/>
        </w:rPr>
      </w:pPr>
    </w:p>
    <w:p>
      <w:pPr>
        <w:pStyle w:val="style0"/>
        <w:widowControl w:val="false"/>
        <w:pBdr>
          <w:left w:val="nil"/>
          <w:right w:val="nil"/>
          <w:top w:val="nil"/>
          <w:bottom w:val="nil"/>
          <w:between w:val="nil"/>
        </w:pBdr>
        <w:shd w:val="clear" w:color="auto" w:fill="auto"/>
        <w:spacing w:before="120" w:after="120" w:lineRule="auto" w:line="276"/>
        <w:rPr>
          <w:rFonts w:ascii="Google Sans Text" w:cs="Google Sans Text" w:eastAsia="Google Sans Text" w:hAnsi="Google Sans Text"/>
          <w:b/>
          <w:color w:val="1f1f1f"/>
          <w:sz w:val="28"/>
          <w:szCs w:val="28"/>
        </w:rPr>
      </w:pPr>
      <w:r>
        <w:rPr>
          <w:rFonts w:ascii="Google Sans Text" w:cs="Google Sans Text" w:eastAsia="Google Sans Text" w:hAnsi="Google Sans Text"/>
          <w:b/>
          <w:color w:val="1f1f1f"/>
          <w:sz w:val="28"/>
          <w:szCs w:val="28"/>
        </w:rPr>
        <w:t>BAB 1: PENDAHULUAN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1.1. Latar Belakang Masalah</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 xml:space="preserve">Pasca-pandemi COVID-19, lanskap ekonomi digital di Indonesia mengalami transformasi struktural yang belum pernah terjadi sebelumnya. Penetrasi internet yang mencapai lebih dari 77% populasi telah mendorong adopsi layanan keuangan berbasis teknologi atau </w:t>
      </w:r>
      <w:r>
        <w:rPr>
          <w:rFonts w:ascii="Google Sans Text" w:cs="Google Sans Text" w:eastAsia="Google Sans Text" w:hAnsi="Google Sans Text"/>
          <w:i/>
          <w:color w:val="1f1f1f"/>
          <w:sz w:val="21"/>
          <w:szCs w:val="21"/>
        </w:rPr>
        <w:t>Financial Technology</w:t>
      </w:r>
      <w:r>
        <w:rPr>
          <w:rFonts w:ascii="Google Sans Text" w:cs="Google Sans Text" w:eastAsia="Google Sans Text" w:hAnsi="Google Sans Text"/>
          <w:color w:val="1f1f1f"/>
          <w:sz w:val="21"/>
          <w:szCs w:val="21"/>
        </w:rPr>
        <w:t xml:space="preserve"> (Fintech). Di tengah pertumbuhan ini, Fintech </w:t>
      </w:r>
      <w:r>
        <w:rPr>
          <w:rFonts w:ascii="Google Sans Text" w:cs="Google Sans Text" w:eastAsia="Google Sans Text" w:hAnsi="Google Sans Text"/>
          <w:i/>
          <w:color w:val="1f1f1f"/>
          <w:sz w:val="21"/>
          <w:szCs w:val="21"/>
        </w:rPr>
        <w:t>Peer-to-Peer</w:t>
      </w:r>
      <w:r>
        <w:rPr>
          <w:rFonts w:ascii="Google Sans Text" w:cs="Google Sans Text" w:eastAsia="Google Sans Text" w:hAnsi="Google Sans Text"/>
          <w:color w:val="1f1f1f"/>
          <w:sz w:val="21"/>
          <w:szCs w:val="21"/>
        </w:rPr>
        <w:t xml:space="preserve"> (P2P) Lending Syariah muncul sebagai instrumen inklusi keuangan yang menjanjikan, dengan janji memberikan akses pembiayaan yang etis, transparan, dan bebas riba.</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Namun, di balik narasi keberkahan dan inovasi tersebut, muncul kerentanan sistemik yang sangat mengkhawatirkan. Kasus PT DSI yang memuncak pada awal tahun 2026 menjadi bukti nyata betapa rapuhnya perlindungan konsumen dalam ekosistem fintech syariah saat ini. Dengan estimasi kerugian mencapai Rp2,4 triliun dan melibatkan lebih dari 15.000 investor (</w:t>
      </w:r>
      <w:r>
        <w:rPr>
          <w:rFonts w:ascii="Google Sans Text" w:cs="Google Sans Text" w:eastAsia="Google Sans Text" w:hAnsi="Google Sans Text"/>
          <w:i/>
          <w:color w:val="1f1f1f"/>
          <w:sz w:val="21"/>
          <w:szCs w:val="21"/>
        </w:rPr>
        <w:t>lender</w:t>
      </w:r>
      <w:r>
        <w:rPr>
          <w:rFonts w:ascii="Google Sans Text" w:cs="Google Sans Text" w:eastAsia="Google Sans Text" w:hAnsi="Google Sans Text"/>
          <w:color w:val="1f1f1f"/>
          <w:sz w:val="21"/>
          <w:szCs w:val="21"/>
        </w:rPr>
        <w:t xml:space="preserve">), kasus </w:t>
      </w:r>
      <w:r>
        <w:rPr>
          <w:rFonts w:cs="Google Sans Text" w:eastAsia="Google Sans Text" w:hAnsi="Google Sans Text"/>
          <w:color w:val="1f1f1f"/>
          <w:sz w:val="21"/>
          <w:szCs w:val="21"/>
          <w:lang w:val="en-US"/>
        </w:rPr>
        <w:t>PT.DSI</w:t>
      </w:r>
      <w:r>
        <w:rPr>
          <w:rFonts w:ascii="Google Sans Text" w:cs="Google Sans Text" w:eastAsia="Google Sans Text" w:hAnsi="Google Sans Text"/>
          <w:color w:val="1f1f1f"/>
          <w:sz w:val="21"/>
          <w:szCs w:val="21"/>
        </w:rPr>
        <w:t xml:space="preserve"> bukan lagi sekadar risiko bisnis biasa (</w:t>
      </w:r>
      <w:r>
        <w:rPr>
          <w:rFonts w:ascii="Google Sans Text" w:cs="Google Sans Text" w:eastAsia="Google Sans Text" w:hAnsi="Google Sans Text"/>
          <w:i/>
          <w:color w:val="1f1f1f"/>
          <w:sz w:val="21"/>
          <w:szCs w:val="21"/>
        </w:rPr>
        <w:t>business risk</w:t>
      </w:r>
      <w:r>
        <w:rPr>
          <w:rFonts w:ascii="Google Sans Text" w:cs="Google Sans Text" w:eastAsia="Google Sans Text" w:hAnsi="Google Sans Text"/>
          <w:color w:val="1f1f1f"/>
          <w:sz w:val="21"/>
          <w:szCs w:val="21"/>
        </w:rPr>
        <w:t>), melainkan sebuah tindakan kriminal terencana (</w:t>
      </w:r>
      <w:r>
        <w:rPr>
          <w:rFonts w:ascii="Google Sans Text" w:cs="Google Sans Text" w:eastAsia="Google Sans Text" w:hAnsi="Google Sans Text"/>
          <w:i/>
          <w:color w:val="1f1f1f"/>
          <w:sz w:val="21"/>
          <w:szCs w:val="21"/>
        </w:rPr>
        <w:t>systemic fraud</w:t>
      </w:r>
      <w:r>
        <w:rPr>
          <w:rFonts w:ascii="Google Sans Text" w:cs="Google Sans Text" w:eastAsia="Google Sans Text" w:hAnsi="Google Sans Text"/>
          <w:color w:val="1f1f1f"/>
          <w:sz w:val="21"/>
          <w:szCs w:val="21"/>
        </w:rPr>
        <w:t>) yang menggunakan label syariah sebagai instrumen manipulasi.</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1.2. Rumusan Masalah</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Kegagalan PT.DSI mengungkap adanya "lubang" besar dalam POJK No. 10/2022. Mengapa sebuah perusahaan yang telah mengantongi izin operasional resmi dari OJK dan diawasi oleh Dewan Pengawas Syariah (DPS) dapat menjalankan skema Ponzi selama bertahun-tahun tanpa terdeteksi? Bagaimana mekanisme pengamanan dana nasabah yang seharusnya diterapkan agar kejadian serupa tidak terulang kembali?</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1.3. Tujuan Penelitian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 xml:space="preserve">Penelitian ini bertujuan untuk melakukan otopsi hukum terhadap kasus PT.DSI, mengidentifikasi kelemahan dalam pengawasan regulasi, dan menawarkan model baru pengamanan dana nasabah melalui integrasi </w:t>
      </w:r>
      <w:r>
        <w:rPr>
          <w:rFonts w:ascii="Google Sans Text" w:cs="Google Sans Text" w:eastAsia="Google Sans Text" w:hAnsi="Google Sans Text"/>
          <w:b/>
          <w:color w:val="1f1f1f"/>
          <w:sz w:val="21"/>
          <w:szCs w:val="21"/>
        </w:rPr>
        <w:t>Lembaga Wali Amanat</w:t>
      </w:r>
      <w:r>
        <w:rPr>
          <w:rFonts w:ascii="Google Sans Text" w:cs="Google Sans Text" w:eastAsia="Google Sans Text" w:hAnsi="Google Sans Text"/>
          <w:color w:val="1f1f1f"/>
          <w:sz w:val="21"/>
          <w:szCs w:val="21"/>
        </w:rPr>
        <w:t xml:space="preserve"> dan sistem </w:t>
      </w:r>
      <w:r>
        <w:rPr>
          <w:rFonts w:ascii="Google Sans Text" w:cs="Google Sans Text" w:eastAsia="Google Sans Text" w:hAnsi="Google Sans Text"/>
          <w:b/>
          <w:color w:val="1f1f1f"/>
          <w:sz w:val="21"/>
          <w:szCs w:val="21"/>
        </w:rPr>
        <w:t>Hak Tanggungan Digital</w:t>
      </w:r>
      <w:r>
        <w:rPr>
          <w:rFonts w:ascii="Google Sans Text" w:cs="Google Sans Text" w:eastAsia="Google Sans Text" w:hAnsi="Google Sans Text"/>
          <w:color w:val="1f1f1f"/>
          <w:sz w:val="21"/>
          <w:szCs w:val="21"/>
        </w:rPr>
        <w:t>.</w:t>
      </w:r>
    </w:p>
    <w:p>
      <w:pPr>
        <w:pStyle w:val="style0"/>
        <w:widowControl w:val="false"/>
        <w:pBdr>
          <w:left w:val="nil"/>
          <w:right w:val="nil"/>
          <w:top w:val="nil"/>
          <w:bottom w:val="nil"/>
          <w:between w:val="nil"/>
        </w:pBdr>
        <w:shd w:val="clear" w:color="auto" w:fill="auto"/>
        <w:spacing w:before="120" w:after="120" w:lineRule="auto" w:line="276"/>
        <w:rPr>
          <w:rFonts w:ascii="Google Sans Text" w:cs="Google Sans Text" w:eastAsia="Google Sans Text" w:hAnsi="Google Sans Text"/>
          <w:b/>
          <w:color w:val="1f1f1f"/>
          <w:sz w:val="28"/>
          <w:szCs w:val="28"/>
        </w:rPr>
      </w:pPr>
      <w:r>
        <w:rPr/>
        <w:pict>
          <v:rect id="1026"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color w:val="1f1f1f"/>
          <w:sz w:val="28"/>
          <w:szCs w:val="28"/>
        </w:rPr>
        <w:t>BAB 2: TINJAUAN PUSTAKA DAN PRINSIP HUKUM SYARIAH</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2.1. Maqasid Sharia dan Perlindungan Harta (Hifz al-Mal)</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Dalam filsafat hukum Islam, salah satu tujuan utama syariat adalah perlindungan terhadap harta benda (</w:t>
      </w:r>
      <w:r>
        <w:rPr>
          <w:rFonts w:ascii="Google Sans Text" w:cs="Google Sans Text" w:eastAsia="Google Sans Text" w:hAnsi="Google Sans Text"/>
          <w:i/>
          <w:color w:val="1f1f1f"/>
          <w:sz w:val="21"/>
          <w:szCs w:val="21"/>
        </w:rPr>
        <w:t>Hifz al-Mal</w:t>
      </w:r>
      <w:r>
        <w:rPr>
          <w:rFonts w:ascii="Google Sans Text" w:cs="Google Sans Text" w:eastAsia="Google Sans Text" w:hAnsi="Google Sans Text"/>
          <w:color w:val="1f1f1f"/>
          <w:sz w:val="21"/>
          <w:szCs w:val="21"/>
        </w:rPr>
        <w:t xml:space="preserve">). Setiap transaksi keuangan wajib memenuhi rukun dan syarat yang menjamin keadilan bagi kedua belah pihak. Kasus PT.DSI, yang diduga menggunakan proyek fiktif, secara terang-terangan melanggar prinsip </w:t>
      </w:r>
      <w:r>
        <w:rPr>
          <w:rFonts w:ascii="Google Sans Text" w:cs="Google Sans Text" w:eastAsia="Google Sans Text" w:hAnsi="Google Sans Text"/>
          <w:i/>
          <w:color w:val="1f1f1f"/>
          <w:sz w:val="21"/>
          <w:szCs w:val="21"/>
        </w:rPr>
        <w:t>Antaradin</w:t>
      </w:r>
      <w:r>
        <w:rPr>
          <w:rFonts w:ascii="Google Sans Text" w:cs="Google Sans Text" w:eastAsia="Google Sans Text" w:hAnsi="Google Sans Text"/>
          <w:color w:val="1f1f1f"/>
          <w:sz w:val="21"/>
          <w:szCs w:val="21"/>
        </w:rPr>
        <w:t xml:space="preserve"> (kerelaan berbasis informasi yang benar) dan terjebak dalam praktik </w:t>
      </w:r>
      <w:r>
        <w:rPr>
          <w:rFonts w:ascii="Google Sans Text" w:cs="Google Sans Text" w:eastAsia="Google Sans Text" w:hAnsi="Google Sans Text"/>
          <w:i/>
          <w:color w:val="1f1f1f"/>
          <w:sz w:val="21"/>
          <w:szCs w:val="21"/>
        </w:rPr>
        <w:t>Tadlis</w:t>
      </w:r>
      <w:r>
        <w:rPr>
          <w:rFonts w:ascii="Google Sans Text" w:cs="Google Sans Text" w:eastAsia="Google Sans Text" w:hAnsi="Google Sans Text"/>
          <w:color w:val="1f1f1f"/>
          <w:sz w:val="21"/>
          <w:szCs w:val="21"/>
        </w:rPr>
        <w:t xml:space="preserve"> (penipuan) serta </w:t>
      </w:r>
      <w:r>
        <w:rPr>
          <w:rFonts w:ascii="Google Sans Text" w:cs="Google Sans Text" w:eastAsia="Google Sans Text" w:hAnsi="Google Sans Text"/>
          <w:i/>
          <w:color w:val="1f1f1f"/>
          <w:sz w:val="21"/>
          <w:szCs w:val="21"/>
        </w:rPr>
        <w:t>Gharar</w:t>
      </w:r>
      <w:r>
        <w:rPr>
          <w:rFonts w:ascii="Google Sans Text" w:cs="Google Sans Text" w:eastAsia="Google Sans Text" w:hAnsi="Google Sans Text"/>
          <w:color w:val="1f1f1f"/>
          <w:sz w:val="21"/>
          <w:szCs w:val="21"/>
        </w:rPr>
        <w:t xml:space="preserve"> (ketidakpastian yang berlebihan).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2.2. Fenomena "The Halal Halo Effect"</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 xml:space="preserve">Penelitian ini memperkenalkan analisis psikologi ekonomi yang disebut </w:t>
      </w:r>
      <w:r>
        <w:rPr>
          <w:rFonts w:ascii="Google Sans Text" w:cs="Google Sans Text" w:eastAsia="Google Sans Text" w:hAnsi="Google Sans Text"/>
          <w:i/>
          <w:color w:val="1f1f1f"/>
          <w:sz w:val="21"/>
          <w:szCs w:val="21"/>
        </w:rPr>
        <w:t>The Halal Halo Effect</w:t>
      </w:r>
      <w:r>
        <w:rPr>
          <w:rFonts w:ascii="Google Sans Text" w:cs="Google Sans Text" w:eastAsia="Google Sans Text" w:hAnsi="Google Sans Text"/>
          <w:color w:val="1f1f1f"/>
          <w:sz w:val="21"/>
          <w:szCs w:val="21"/>
        </w:rPr>
        <w:t xml:space="preserve">. Dalam konteks fintech syariah di Indonesia, label "Halal" atau "Syariah" sering kali memberikan rasa aman palsu kepada investor. Investor cenderung mengabaikan langkah-langkah </w:t>
      </w:r>
      <w:r>
        <w:rPr>
          <w:rFonts w:ascii="Google Sans Text" w:cs="Google Sans Text" w:eastAsia="Google Sans Text" w:hAnsi="Google Sans Text"/>
          <w:i/>
          <w:color w:val="1f1f1f"/>
          <w:sz w:val="21"/>
          <w:szCs w:val="21"/>
        </w:rPr>
        <w:t>due diligence</w:t>
      </w:r>
      <w:r>
        <w:rPr>
          <w:rFonts w:ascii="Google Sans Text" w:cs="Google Sans Text" w:eastAsia="Google Sans Text" w:hAnsi="Google Sans Text"/>
          <w:color w:val="1f1f1f"/>
          <w:sz w:val="21"/>
          <w:szCs w:val="21"/>
        </w:rPr>
        <w:t xml:space="preserve"> yang ketat karena percaya bahwa Dewan Pengawas Syariah telah melakukan pengawasan yang memadai. Celah psikologis inilah yang dieksploitasi oleh entitas seperti PT.DSI untuk menarik dana masyarakat dalam skala masif.</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2.3. Landasan Hukum Fintech P2P Syariah di Indonesia</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 xml:space="preserve">Regulasi utama yang mengatur sektor ini adalah POJK No. 10/POJK.05/2022 dan Fatwa DSN-MUI No. 117/2018. Secara teoretis, akad yang digunakan adalah </w:t>
      </w:r>
      <w:r>
        <w:rPr>
          <w:rFonts w:ascii="Google Sans Text" w:cs="Google Sans Text" w:eastAsia="Google Sans Text" w:hAnsi="Google Sans Text"/>
          <w:i/>
          <w:color w:val="1f1f1f"/>
          <w:sz w:val="21"/>
          <w:szCs w:val="21"/>
        </w:rPr>
        <w:t>Wakalah bi al-Ujrah</w:t>
      </w:r>
      <w:r>
        <w:rPr>
          <w:rFonts w:ascii="Google Sans Text" w:cs="Google Sans Text" w:eastAsia="Google Sans Text" w:hAnsi="Google Sans Text"/>
          <w:color w:val="1f1f1f"/>
          <w:sz w:val="21"/>
          <w:szCs w:val="21"/>
        </w:rPr>
        <w:t xml:space="preserve">, di mana platform bertindak sebagai wakil dari </w:t>
      </w:r>
      <w:r>
        <w:rPr>
          <w:rFonts w:ascii="Google Sans Text" w:cs="Google Sans Text" w:eastAsia="Google Sans Text" w:hAnsi="Google Sans Text"/>
          <w:i/>
          <w:color w:val="1f1f1f"/>
          <w:sz w:val="21"/>
          <w:szCs w:val="21"/>
        </w:rPr>
        <w:t>lender</w:t>
      </w:r>
      <w:r>
        <w:rPr>
          <w:rFonts w:ascii="Google Sans Text" w:cs="Google Sans Text" w:eastAsia="Google Sans Text" w:hAnsi="Google Sans Text"/>
          <w:color w:val="1f1f1f"/>
          <w:sz w:val="21"/>
          <w:szCs w:val="21"/>
        </w:rPr>
        <w:t xml:space="preserve">. Namun, secara yuridis, terdapat kekosongan aturan mengenai kewajiban pendaftaran jaminan aset riil secara langsung atas nama </w:t>
      </w:r>
      <w:r>
        <w:rPr>
          <w:rFonts w:ascii="Google Sans Text" w:cs="Google Sans Text" w:eastAsia="Google Sans Text" w:hAnsi="Google Sans Text"/>
          <w:i/>
          <w:color w:val="1f1f1f"/>
          <w:sz w:val="21"/>
          <w:szCs w:val="21"/>
        </w:rPr>
        <w:t>lender</w:t>
      </w:r>
      <w:r>
        <w:rPr>
          <w:rFonts w:ascii="Google Sans Text" w:cs="Google Sans Text" w:eastAsia="Google Sans Text" w:hAnsi="Google Sans Text"/>
          <w:color w:val="1f1f1f"/>
          <w:sz w:val="21"/>
          <w:szCs w:val="21"/>
        </w:rPr>
        <w:t>, yang menyebabkan posisi tawar nasabah menjadi sangat lemah saat terjadi gagal bayar.</w:t>
      </w:r>
    </w:p>
    <w:p>
      <w:pPr>
        <w:pStyle w:val="style0"/>
        <w:widowControl w:val="false"/>
        <w:pBdr>
          <w:left w:val="nil"/>
          <w:right w:val="nil"/>
          <w:top w:val="nil"/>
          <w:bottom w:val="nil"/>
          <w:between w:val="nil"/>
        </w:pBdr>
        <w:shd w:val="clear" w:color="auto" w:fill="auto"/>
        <w:spacing w:before="120" w:after="120" w:lineRule="auto" w:line="276"/>
        <w:rPr>
          <w:rFonts w:ascii="Google Sans Text" w:cs="Google Sans Text" w:eastAsia="Google Sans Text" w:hAnsi="Google Sans Text"/>
          <w:b/>
          <w:color w:val="1f1f1f"/>
          <w:sz w:val="28"/>
          <w:szCs w:val="28"/>
        </w:rPr>
      </w:pPr>
      <w:r>
        <w:rPr/>
        <w:pict>
          <v:rect id="1027"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color w:val="1f1f1f"/>
          <w:sz w:val="28"/>
          <w:szCs w:val="28"/>
        </w:rPr>
        <w:t>BAB 3: METODOLOGI PENELITIAN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3.1. Pendekatan Penelitian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 xml:space="preserve">Penelitian ini menggunakan pendekatan kualitatif dengan desain </w:t>
      </w:r>
      <w:r>
        <w:rPr>
          <w:rFonts w:ascii="Google Sans Text" w:cs="Google Sans Text" w:eastAsia="Google Sans Text" w:hAnsi="Google Sans Text"/>
          <w:b/>
          <w:color w:val="1f1f1f"/>
          <w:sz w:val="21"/>
          <w:szCs w:val="21"/>
        </w:rPr>
        <w:t>Studi Kasus Instrumental</w:t>
      </w:r>
      <w:r>
        <w:rPr>
          <w:rFonts w:ascii="Google Sans Text" w:cs="Google Sans Text" w:eastAsia="Google Sans Text" w:hAnsi="Google Sans Text"/>
          <w:color w:val="1f1f1f"/>
          <w:sz w:val="21"/>
          <w:szCs w:val="21"/>
        </w:rPr>
        <w:t>. Pendekatan ini dipilih karena peneliti ingin mendalami fenomena kegagalan sistemik pada satu kasus spesifik (PT DSI) untuk menarik kesimpulan yang lebih luas bagi perbaikan regulasi fintech syariah nasional.</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3.2. Sumber Data</w:t>
      </w:r>
    </w:p>
    <w:p>
      <w:pPr>
        <w:pStyle w:val="style0"/>
        <w:widowControl w:val="false"/>
        <w:numPr>
          <w:ilvl w:val="0"/>
          <w:numId w:val="1"/>
        </w:numPr>
        <w:pBdr>
          <w:left w:val="nil"/>
          <w:right w:val="nil"/>
          <w:top w:val="nil"/>
          <w:bottom w:val="nil"/>
          <w:between w:val="nil"/>
        </w:pBdr>
        <w:shd w:val="clear" w:color="auto" w:fill="auto"/>
        <w:spacing w:after="0" w:lineRule="auto" w:line="276"/>
        <w:ind w:left="465" w:hanging="360"/>
        <w:jc w:val="both"/>
        <w:rPr/>
      </w:pPr>
      <w:r>
        <w:rPr>
          <w:rFonts w:ascii="Google Sans Text" w:cs="Google Sans Text" w:eastAsia="Google Sans Text" w:hAnsi="Google Sans Text"/>
          <w:b/>
          <w:color w:val="1f1f1f"/>
          <w:sz w:val="21"/>
          <w:szCs w:val="21"/>
        </w:rPr>
        <w:t>Data Primer:</w:t>
      </w:r>
      <w:r>
        <w:rPr>
          <w:rFonts w:ascii="Google Sans Text" w:cs="Google Sans Text" w:eastAsia="Google Sans Text" w:hAnsi="Google Sans Text"/>
          <w:color w:val="1f1f1f"/>
          <w:sz w:val="21"/>
          <w:szCs w:val="21"/>
        </w:rPr>
        <w:t xml:space="preserve"> Berasal dari dokumen resmi penyidikan Bareskrim Polri tertanggal 14 Februari 2026 mengenai penahanan direksi PT.DSI, laporan hasil pengawasan PVML OJK, serta siaran pers PPATK terkait pemblokiran 63 rekening terafiliasi.</w:t>
      </w:r>
    </w:p>
    <w:p>
      <w:pPr>
        <w:pStyle w:val="style0"/>
        <w:widowControl w:val="false"/>
        <w:numPr>
          <w:ilvl w:val="0"/>
          <w:numId w:val="1"/>
        </w:numPr>
        <w:pBdr>
          <w:left w:val="nil"/>
          <w:right w:val="nil"/>
          <w:top w:val="nil"/>
          <w:bottom w:val="nil"/>
          <w:between w:val="nil"/>
        </w:pBdr>
        <w:shd w:val="clear" w:color="auto" w:fill="auto"/>
        <w:spacing w:before="0" w:after="120" w:lineRule="auto" w:line="276"/>
        <w:ind w:left="465" w:hanging="360"/>
        <w:jc w:val="both"/>
        <w:rPr/>
      </w:pPr>
      <w:r>
        <w:rPr>
          <w:rFonts w:ascii="Google Sans Text" w:cs="Google Sans Text" w:eastAsia="Google Sans Text" w:hAnsi="Google Sans Text"/>
          <w:b/>
          <w:color w:val="1f1f1f"/>
          <w:sz w:val="21"/>
          <w:szCs w:val="21"/>
        </w:rPr>
        <w:t>Data Sekunder:</w:t>
      </w:r>
      <w:r>
        <w:rPr>
          <w:rFonts w:ascii="Google Sans Text" w:cs="Google Sans Text" w:eastAsia="Google Sans Text" w:hAnsi="Google Sans Text"/>
          <w:color w:val="1f1f1f"/>
          <w:sz w:val="21"/>
          <w:szCs w:val="21"/>
        </w:rPr>
        <w:t xml:space="preserve"> Literatur jurnal ilmiah, peraturan perundang-undangan (UU ITE, UU Transfer Dana, UU Perbankan Syariah), dan pemberitaan media ekonomi terpercaya (CNBC Indonesia, Kompas, Bisnis Indonesia).</w:t>
      </w:r>
    </w:p>
    <w:p>
      <w:pPr>
        <w:pStyle w:val="style0"/>
        <w:widowControl w:val="false"/>
        <w:pBdr>
          <w:left w:val="nil"/>
          <w:right w:val="nil"/>
          <w:top w:val="nil"/>
          <w:bottom w:val="nil"/>
          <w:between w:val="nil"/>
        </w:pBdr>
        <w:shd w:val="clear" w:color="auto" w:fill="auto"/>
        <w:spacing w:before="240"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3.3. Teknik Analisis Data</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8"/>
          <w:szCs w:val="28"/>
        </w:rPr>
      </w:pPr>
      <w:r>
        <w:rPr>
          <w:rFonts w:ascii="Google Sans Text" w:cs="Google Sans Text" w:eastAsia="Google Sans Text" w:hAnsi="Google Sans Text"/>
          <w:color w:val="1f1f1f"/>
          <w:sz w:val="21"/>
          <w:szCs w:val="21"/>
        </w:rPr>
        <w:t xml:space="preserve">Peneliti menggunakan metode </w:t>
      </w:r>
      <w:r>
        <w:rPr>
          <w:rFonts w:ascii="Google Sans Text" w:cs="Google Sans Text" w:eastAsia="Google Sans Text" w:hAnsi="Google Sans Text"/>
          <w:b/>
          <w:color w:val="1f1f1f"/>
          <w:sz w:val="21"/>
          <w:szCs w:val="21"/>
        </w:rPr>
        <w:t>Analisis Isi (Content Analysis)</w:t>
      </w:r>
      <w:r>
        <w:rPr>
          <w:rFonts w:ascii="Google Sans Text" w:cs="Google Sans Text" w:eastAsia="Google Sans Text" w:hAnsi="Google Sans Text"/>
          <w:color w:val="1f1f1f"/>
          <w:sz w:val="21"/>
          <w:szCs w:val="21"/>
        </w:rPr>
        <w:t xml:space="preserve"> terhadap kontrak digital dan laporan keuangan PT.DSI yang tersedia untuk umum, kemudian melakukan triangulasi dengan pendapat pakar hukum ekonomi syariah dan praktisi fintech.</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8"/>
          <w:szCs w:val="28"/>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8"/>
          <w:szCs w:val="28"/>
        </w:rPr>
      </w:pPr>
      <w:r>
        <w:rPr>
          <w:rFonts w:ascii="Google Sans Text" w:cs="Google Sans Text" w:eastAsia="Google Sans Text" w:hAnsi="Google Sans Text"/>
          <w:b/>
          <w:color w:val="1f1f1f"/>
          <w:sz w:val="28"/>
          <w:szCs w:val="28"/>
        </w:rPr>
        <w:t>BAB 4: ANATOMI FRAUD PT DSI</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4.1. Kronologi dan Eskalasi Krisis</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Kasus PT DSI tidak terjadi secara tiba-tiba, melainkan merupakan akumulasi dari kegagalan tata kelola yang tersembunyi selama bertahun-tahun. Sejak tahun 2021 hingga 2025, PT.DSI berhasil menghimpun dana masyarakat sebesar Rp7,4 triliun dengan narasi pembiayaan properti syariah yang aman dan bebas riba. Namun, pada Oktober 2025, OJK mulai mencium ketidakberesan dan menjatuhkan sanksi Pembatasan Kegiatan Usaha (PKU). Puncaknya, pada Februari 2026, Bareskrim Polri menetapkan status penyidikan dan menahan Direktur Utama (TA) serta Komisaris (ARL) atas dugaan tindak pidana penipuan dan TPPU.</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4.2. Mekanisme Skema Ponzi dan Rekayasa Proyek</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 xml:space="preserve">Berdasarkan temuan penyidik, PT DSI menjalankan praktik "gali lubang tutup lubang" yang sangat sistematis. Dana dari </w:t>
      </w:r>
      <w:r>
        <w:rPr>
          <w:rFonts w:ascii="Google Sans Text" w:cs="Google Sans Text" w:eastAsia="Google Sans Text" w:hAnsi="Google Sans Text"/>
          <w:i/>
          <w:color w:val="1f1f1f"/>
          <w:sz w:val="21"/>
          <w:szCs w:val="21"/>
        </w:rPr>
        <w:t>lender</w:t>
      </w:r>
      <w:r>
        <w:rPr>
          <w:rFonts w:ascii="Google Sans Text" w:cs="Google Sans Text" w:eastAsia="Google Sans Text" w:hAnsi="Google Sans Text"/>
          <w:color w:val="1f1f1f"/>
          <w:sz w:val="21"/>
          <w:szCs w:val="21"/>
        </w:rPr>
        <w:t xml:space="preserve"> baru tidak digunakan untuk membiayai proyek properti yang nyata, melainkan untuk membayar imbal hasil bagi </w:t>
      </w:r>
      <w:r>
        <w:rPr>
          <w:rFonts w:ascii="Google Sans Text" w:cs="Google Sans Text" w:eastAsia="Google Sans Text" w:hAnsi="Google Sans Text"/>
          <w:i/>
          <w:color w:val="1f1f1f"/>
          <w:sz w:val="21"/>
          <w:szCs w:val="21"/>
        </w:rPr>
        <w:t>lender</w:t>
      </w:r>
      <w:r>
        <w:rPr>
          <w:rFonts w:ascii="Google Sans Text" w:cs="Google Sans Text" w:eastAsia="Google Sans Text" w:hAnsi="Google Sans Text"/>
          <w:color w:val="1f1f1f"/>
          <w:sz w:val="21"/>
          <w:szCs w:val="21"/>
        </w:rPr>
        <w:t xml:space="preserve"> lama.</w:t>
      </w:r>
    </w:p>
    <w:p>
      <w:pPr>
        <w:pStyle w:val="style0"/>
        <w:widowControl w:val="false"/>
        <w:numPr>
          <w:ilvl w:val="0"/>
          <w:numId w:val="2"/>
        </w:numPr>
        <w:pBdr>
          <w:left w:val="nil"/>
          <w:right w:val="nil"/>
          <w:top w:val="nil"/>
          <w:bottom w:val="nil"/>
          <w:between w:val="nil"/>
        </w:pBdr>
        <w:shd w:val="clear" w:color="auto" w:fill="auto"/>
        <w:spacing w:after="0" w:lineRule="auto" w:line="276"/>
        <w:ind w:left="465" w:hanging="360"/>
        <w:jc w:val="both"/>
        <w:rPr/>
      </w:pPr>
      <w:r>
        <w:rPr>
          <w:rFonts w:ascii="Google Sans Text" w:cs="Google Sans Text" w:eastAsia="Google Sans Text" w:hAnsi="Google Sans Text"/>
          <w:b/>
          <w:color w:val="1f1f1f"/>
          <w:sz w:val="21"/>
          <w:szCs w:val="21"/>
        </w:rPr>
        <w:t>Proyek Fiktif:</w:t>
      </w:r>
      <w:r>
        <w:rPr>
          <w:rFonts w:ascii="Google Sans Text" w:cs="Google Sans Text" w:eastAsia="Google Sans Text" w:hAnsi="Google Sans Text"/>
          <w:color w:val="1f1f1f"/>
          <w:sz w:val="21"/>
          <w:szCs w:val="21"/>
        </w:rPr>
        <w:t xml:space="preserve"> Peneliti menemukan bahwa PT.DSI melakukan duplikasi data proyek. Sebuah perumahan yang sudah selesai dibangun 100% tetap dipasangkan di aplikasi sebagai proyek baru untuk menarik dana.</w:t>
      </w:r>
    </w:p>
    <w:p>
      <w:pPr>
        <w:pStyle w:val="style0"/>
        <w:widowControl w:val="false"/>
        <w:numPr>
          <w:ilvl w:val="0"/>
          <w:numId w:val="2"/>
        </w:numPr>
        <w:pBdr>
          <w:left w:val="nil"/>
          <w:right w:val="nil"/>
          <w:top w:val="nil"/>
          <w:bottom w:val="nil"/>
          <w:between w:val="nil"/>
        </w:pBdr>
        <w:shd w:val="clear" w:color="auto" w:fill="auto"/>
        <w:spacing w:before="0" w:after="120" w:lineRule="auto" w:line="276"/>
        <w:ind w:left="465" w:hanging="360"/>
        <w:jc w:val="both"/>
        <w:rPr/>
      </w:pPr>
      <w:r>
        <w:rPr>
          <w:rFonts w:ascii="Google Sans Text" w:cs="Google Sans Text" w:eastAsia="Google Sans Text" w:hAnsi="Google Sans Text"/>
          <w:b/>
          <w:color w:val="1f1f1f"/>
          <w:sz w:val="21"/>
          <w:szCs w:val="21"/>
        </w:rPr>
        <w:t>Penyalahgunaan Data:</w:t>
      </w:r>
      <w:r>
        <w:rPr>
          <w:rFonts w:ascii="Google Sans Text" w:cs="Google Sans Text" w:eastAsia="Google Sans Text" w:hAnsi="Google Sans Text"/>
          <w:color w:val="1f1f1f"/>
          <w:sz w:val="21"/>
          <w:szCs w:val="21"/>
        </w:rPr>
        <w:t xml:space="preserve"> Inisial nasabah peminjam (</w:t>
      </w:r>
      <w:r>
        <w:rPr>
          <w:rFonts w:ascii="Google Sans Text" w:cs="Google Sans Text" w:eastAsia="Google Sans Text" w:hAnsi="Google Sans Text"/>
          <w:i/>
          <w:color w:val="1f1f1f"/>
          <w:sz w:val="21"/>
          <w:szCs w:val="21"/>
        </w:rPr>
        <w:t>borrower</w:t>
      </w:r>
      <w:r>
        <w:rPr>
          <w:rFonts w:ascii="Google Sans Text" w:cs="Google Sans Text" w:eastAsia="Google Sans Text" w:hAnsi="Google Sans Text"/>
          <w:color w:val="1f1f1f"/>
          <w:sz w:val="21"/>
          <w:szCs w:val="21"/>
        </w:rPr>
        <w:t xml:space="preserve">) digunakan tanpa izin untuk membuka slot pendanaan baru. Secara hukum syariah, ini merupakan pelanggaran berat terhadap prinsip </w:t>
      </w:r>
      <w:r>
        <w:rPr>
          <w:rFonts w:ascii="Google Sans Text" w:cs="Google Sans Text" w:eastAsia="Google Sans Text" w:hAnsi="Google Sans Text"/>
          <w:i/>
          <w:color w:val="1f1f1f"/>
          <w:sz w:val="21"/>
          <w:szCs w:val="21"/>
        </w:rPr>
        <w:t>Amanah</w:t>
      </w:r>
      <w:r>
        <w:rPr>
          <w:rFonts w:ascii="Google Sans Text" w:cs="Google Sans Text" w:eastAsia="Google Sans Text" w:hAnsi="Google Sans Text"/>
          <w:color w:val="1f1f1f"/>
          <w:sz w:val="21"/>
          <w:szCs w:val="21"/>
        </w:rPr>
        <w:t xml:space="preserve"> dan keabsahan akad </w:t>
      </w:r>
      <w:r>
        <w:rPr>
          <w:rFonts w:ascii="Google Sans Text" w:cs="Google Sans Text" w:eastAsia="Google Sans Text" w:hAnsi="Google Sans Text"/>
          <w:i/>
          <w:color w:val="1f1f1f"/>
          <w:sz w:val="21"/>
          <w:szCs w:val="21"/>
        </w:rPr>
        <w:t>Wakalah</w:t>
      </w:r>
      <w:r>
        <w:rPr>
          <w:rFonts w:ascii="Google Sans Text" w:cs="Google Sans Text" w:eastAsia="Google Sans Text" w:hAnsi="Google Sans Text"/>
          <w:color w:val="1f1f1f"/>
          <w:sz w:val="21"/>
          <w:szCs w:val="21"/>
        </w:rPr>
        <w:t>.</w:t>
      </w:r>
    </w:p>
    <w:p>
      <w:pPr>
        <w:pStyle w:val="style0"/>
        <w:widowControl w:val="false"/>
        <w:pBdr>
          <w:left w:val="nil"/>
          <w:right w:val="nil"/>
          <w:top w:val="nil"/>
          <w:bottom w:val="nil"/>
          <w:between w:val="nil"/>
        </w:pBdr>
        <w:shd w:val="clear" w:color="auto" w:fill="auto"/>
        <w:spacing w:before="240"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4.3. Pelanggaran Aspek Perlindungan Konsumen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 xml:space="preserve">Secara yuridis, PT.DSI melanggar Pasal 28 ayat (1) UU ITE terkait penyebaran informasi palsu yang merugikan konsumen. Dalam ekosistem fintech, kepercayaan dibangun atas dasar transparansi data. Namun, PT.DSI melakukan </w:t>
      </w:r>
      <w:r>
        <w:rPr>
          <w:rFonts w:ascii="Google Sans Text" w:cs="Google Sans Text" w:eastAsia="Google Sans Text" w:hAnsi="Google Sans Text"/>
          <w:i/>
          <w:color w:val="1f1f1f"/>
          <w:sz w:val="21"/>
          <w:szCs w:val="21"/>
        </w:rPr>
        <w:t>digital window dressing</w:t>
      </w:r>
      <w:r>
        <w:rPr>
          <w:rFonts w:ascii="Google Sans Text" w:cs="Google Sans Text" w:eastAsia="Google Sans Text" w:hAnsi="Google Sans Text"/>
          <w:color w:val="1f1f1f"/>
          <w:sz w:val="21"/>
          <w:szCs w:val="21"/>
        </w:rPr>
        <w:t>, di mana dasbor aplikasi menunjukkan progres fisik (geotagging palsu) untuk meyakinkan investor bahwa dana mereka aman, padahal aset jaminan yang dijanjikan tidak pernah diikat secara hukum melalui Hak Tanggungan.</w:t>
      </w:r>
    </w:p>
    <w:p>
      <w:pPr>
        <w:pStyle w:val="style0"/>
        <w:widowControl w:val="false"/>
        <w:pBdr>
          <w:left w:val="nil"/>
          <w:right w:val="nil"/>
          <w:top w:val="nil"/>
          <w:bottom w:val="nil"/>
          <w:between w:val="nil"/>
        </w:pBdr>
        <w:shd w:val="clear" w:color="auto" w:fill="auto"/>
        <w:spacing w:before="120" w:after="120" w:lineRule="auto" w:line="276"/>
        <w:rPr>
          <w:rFonts w:ascii="Google Sans Text" w:cs="Google Sans Text" w:eastAsia="Google Sans Text" w:hAnsi="Google Sans Text"/>
          <w:b/>
          <w:color w:val="1f1f1f"/>
          <w:sz w:val="28"/>
          <w:szCs w:val="28"/>
        </w:rPr>
      </w:pPr>
      <w:r>
        <w:rPr/>
        <w:pict>
          <v:rect id="1028"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color w:val="1f1f1f"/>
          <w:sz w:val="28"/>
          <w:szCs w:val="28"/>
        </w:rPr>
        <w:t>BAB 5: MODEL SOLUSI INTEGRATED COLLATERAL MANAGEMENT SYSTEM (ICMS)</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5.1. Paradigma Baru: Zero Trust Architecture</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 xml:space="preserve">Peneliti menawarkan model </w:t>
      </w:r>
      <w:r>
        <w:rPr>
          <w:rFonts w:ascii="Google Sans Text" w:cs="Google Sans Text" w:eastAsia="Google Sans Text" w:hAnsi="Google Sans Text"/>
          <w:b/>
          <w:color w:val="1f1f1f"/>
          <w:sz w:val="21"/>
          <w:szCs w:val="21"/>
        </w:rPr>
        <w:t>ICMS</w:t>
      </w:r>
      <w:r>
        <w:rPr>
          <w:rFonts w:ascii="Google Sans Text" w:cs="Google Sans Text" w:eastAsia="Google Sans Text" w:hAnsi="Google Sans Text"/>
          <w:color w:val="1f1f1f"/>
          <w:sz w:val="21"/>
          <w:szCs w:val="21"/>
        </w:rPr>
        <w:t xml:space="preserve"> sebagai antitesis dari sistem yang ada saat ini. Prinsip utamanya adalah: </w:t>
      </w:r>
      <w:r>
        <w:rPr>
          <w:rFonts w:ascii="Google Sans Text" w:cs="Google Sans Text" w:eastAsia="Google Sans Text" w:hAnsi="Google Sans Text"/>
          <w:i/>
          <w:color w:val="1f1f1f"/>
          <w:sz w:val="21"/>
          <w:szCs w:val="21"/>
        </w:rPr>
        <w:t>Don't trust, verify</w:t>
      </w:r>
      <w:r>
        <w:rPr>
          <w:rFonts w:ascii="Google Sans Text" w:cs="Google Sans Text" w:eastAsia="Google Sans Text" w:hAnsi="Google Sans Text"/>
          <w:color w:val="1f1f1f"/>
          <w:sz w:val="21"/>
          <w:szCs w:val="21"/>
        </w:rPr>
        <w:t>. Keamanan dana nasabah tidak boleh lagi bergantung pada kejujuran manusia (Direksi), melainkan pada integritas kode pemrograman dan kedaulatan hukum aset.</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5.2. Peran Strategis Wali Amanat (Independent Trustee)</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Langkah revolusioner pertama adalah penghapusan kontrol fintech terhadap rekening penampung.</w:t>
      </w:r>
    </w:p>
    <w:p>
      <w:pPr>
        <w:pStyle w:val="style0"/>
        <w:widowControl w:val="false"/>
        <w:numPr>
          <w:ilvl w:val="0"/>
          <w:numId w:val="3"/>
        </w:numPr>
        <w:pBdr>
          <w:left w:val="nil"/>
          <w:right w:val="nil"/>
          <w:top w:val="nil"/>
          <w:bottom w:val="nil"/>
          <w:between w:val="nil"/>
        </w:pBdr>
        <w:shd w:val="clear" w:color="auto" w:fill="auto"/>
        <w:spacing w:after="0" w:lineRule="auto" w:line="276"/>
        <w:ind w:left="465" w:hanging="360"/>
        <w:jc w:val="both"/>
        <w:rPr/>
      </w:pPr>
      <w:r>
        <w:rPr>
          <w:rFonts w:ascii="Google Sans Text" w:cs="Google Sans Text" w:eastAsia="Google Sans Text" w:hAnsi="Google Sans Text"/>
          <w:b/>
          <w:color w:val="1f1f1f"/>
          <w:sz w:val="21"/>
          <w:szCs w:val="21"/>
        </w:rPr>
        <w:t>Mekanisme:</w:t>
      </w:r>
      <w:r>
        <w:rPr>
          <w:rFonts w:ascii="Google Sans Text" w:cs="Google Sans Text" w:eastAsia="Google Sans Text" w:hAnsi="Google Sans Text"/>
          <w:color w:val="1f1f1f"/>
          <w:sz w:val="21"/>
          <w:szCs w:val="21"/>
        </w:rPr>
        <w:t xml:space="preserve"> Seluruh dana </w:t>
      </w:r>
      <w:r>
        <w:rPr>
          <w:rFonts w:ascii="Google Sans Text" w:cs="Google Sans Text" w:eastAsia="Google Sans Text" w:hAnsi="Google Sans Text"/>
          <w:i/>
          <w:color w:val="1f1f1f"/>
          <w:sz w:val="21"/>
          <w:szCs w:val="21"/>
        </w:rPr>
        <w:t>lender</w:t>
      </w:r>
      <w:r>
        <w:rPr>
          <w:rFonts w:ascii="Google Sans Text" w:cs="Google Sans Text" w:eastAsia="Google Sans Text" w:hAnsi="Google Sans Text"/>
          <w:color w:val="1f1f1f"/>
          <w:sz w:val="21"/>
          <w:szCs w:val="21"/>
        </w:rPr>
        <w:t xml:space="preserve"> wajib masuk ke </w:t>
      </w:r>
      <w:r>
        <w:rPr>
          <w:rFonts w:ascii="Google Sans Text" w:cs="Google Sans Text" w:eastAsia="Google Sans Text" w:hAnsi="Google Sans Text"/>
          <w:b/>
          <w:color w:val="1f1f1f"/>
          <w:sz w:val="21"/>
          <w:szCs w:val="21"/>
        </w:rPr>
        <w:t>Rekening Wali Amanat</w:t>
      </w:r>
      <w:r>
        <w:rPr>
          <w:rFonts w:ascii="Google Sans Text" w:cs="Google Sans Text" w:eastAsia="Google Sans Text" w:hAnsi="Google Sans Text"/>
          <w:color w:val="1f1f1f"/>
          <w:sz w:val="21"/>
          <w:szCs w:val="21"/>
        </w:rPr>
        <w:t xml:space="preserve"> di Bank Syariah pihak ketiga.</w:t>
      </w:r>
    </w:p>
    <w:p>
      <w:pPr>
        <w:pStyle w:val="style0"/>
        <w:widowControl w:val="false"/>
        <w:numPr>
          <w:ilvl w:val="0"/>
          <w:numId w:val="3"/>
        </w:numPr>
        <w:pBdr>
          <w:left w:val="nil"/>
          <w:right w:val="nil"/>
          <w:top w:val="nil"/>
          <w:bottom w:val="nil"/>
          <w:between w:val="nil"/>
        </w:pBdr>
        <w:shd w:val="clear" w:color="auto" w:fill="auto"/>
        <w:spacing w:before="0" w:after="120" w:lineRule="auto" w:line="276"/>
        <w:ind w:left="465" w:hanging="360"/>
        <w:jc w:val="both"/>
        <w:rPr/>
      </w:pPr>
      <w:r>
        <w:rPr>
          <w:rFonts w:ascii="Google Sans Text" w:cs="Google Sans Text" w:eastAsia="Google Sans Text" w:hAnsi="Google Sans Text"/>
          <w:b/>
          <w:color w:val="1f1f1f"/>
          <w:sz w:val="21"/>
          <w:szCs w:val="21"/>
        </w:rPr>
        <w:t>Otoritas:</w:t>
      </w:r>
      <w:r>
        <w:rPr>
          <w:rFonts w:ascii="Google Sans Text" w:cs="Google Sans Text" w:eastAsia="Google Sans Text" w:hAnsi="Google Sans Text"/>
          <w:color w:val="1f1f1f"/>
          <w:sz w:val="21"/>
          <w:szCs w:val="21"/>
        </w:rPr>
        <w:t xml:space="preserve"> Fintech hanya bertindak sebagai </w:t>
      </w:r>
      <w:r>
        <w:rPr>
          <w:rFonts w:ascii="Google Sans Text" w:cs="Google Sans Text" w:eastAsia="Google Sans Text" w:hAnsi="Google Sans Text"/>
          <w:i/>
          <w:color w:val="1f1f1f"/>
          <w:sz w:val="21"/>
          <w:szCs w:val="21"/>
        </w:rPr>
        <w:t>marketplace</w:t>
      </w:r>
      <w:r>
        <w:rPr>
          <w:rFonts w:ascii="Google Sans Text" w:cs="Google Sans Text" w:eastAsia="Google Sans Text" w:hAnsi="Google Sans Text"/>
          <w:color w:val="1f1f1f"/>
          <w:sz w:val="21"/>
          <w:szCs w:val="21"/>
        </w:rPr>
        <w:t>. Penarikan atau pencairan dana hanya bisa dilakukan oleh Bank Syariah setelah ada bukti verifikasi fisik proyek. Ini memastikan dana tidak bisa disalahgunakan untuk operasional perusahaan atau kepentingan pribadi pengurus fintech.</w:t>
      </w:r>
    </w:p>
    <w:p>
      <w:pPr>
        <w:pStyle w:val="style0"/>
        <w:widowControl w:val="false"/>
        <w:pBdr>
          <w:left w:val="nil"/>
          <w:right w:val="nil"/>
          <w:top w:val="nil"/>
          <w:bottom w:val="nil"/>
          <w:between w:val="nil"/>
        </w:pBdr>
        <w:shd w:val="clear" w:color="auto" w:fill="auto"/>
        <w:spacing w:before="240" w:after="12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5.3. Digital Hak Tanggungan: Pengamanan Aset Terintegrasi</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Masalah utama PT.DSI adalah jaminan yang "bodong". Dalam sistem ICMS, setiap pendanaan wajib disertai jaminan aset riil yang terdaftar secara digital.</w:t>
      </w:r>
    </w:p>
    <w:p>
      <w:pPr>
        <w:pStyle w:val="style0"/>
        <w:widowControl w:val="false"/>
        <w:numPr>
          <w:ilvl w:val="0"/>
          <w:numId w:val="4"/>
        </w:numPr>
        <w:pBdr>
          <w:left w:val="nil"/>
          <w:right w:val="nil"/>
          <w:top w:val="nil"/>
          <w:bottom w:val="nil"/>
          <w:between w:val="nil"/>
        </w:pBdr>
        <w:shd w:val="clear" w:color="auto" w:fill="auto"/>
        <w:spacing w:after="0" w:lineRule="auto" w:line="276"/>
        <w:ind w:left="465" w:hanging="360"/>
        <w:jc w:val="both"/>
        <w:rPr/>
      </w:pPr>
      <w:r>
        <w:rPr>
          <w:rFonts w:ascii="Google Sans Text" w:cs="Google Sans Text" w:eastAsia="Google Sans Text" w:hAnsi="Google Sans Text"/>
          <w:b/>
          <w:color w:val="1f1f1f"/>
          <w:sz w:val="21"/>
          <w:szCs w:val="21"/>
        </w:rPr>
        <w:t>Sistem Bloking Otomatis:</w:t>
      </w:r>
      <w:r>
        <w:rPr>
          <w:rFonts w:ascii="Google Sans Text" w:cs="Google Sans Text" w:eastAsia="Google Sans Text" w:hAnsi="Google Sans Text"/>
          <w:color w:val="1f1f1f"/>
          <w:sz w:val="21"/>
          <w:szCs w:val="21"/>
        </w:rPr>
        <w:t xml:space="preserve"> Sistem ICMS terintegrasi dengan database Kementerian ATR/BPN. Begitu pendanaan tercapai 100%, sistem secara otomatis menerbitkan pendaftaran Hak Tanggungan elektronik.</w:t>
      </w:r>
    </w:p>
    <w:p>
      <w:pPr>
        <w:pStyle w:val="style0"/>
        <w:widowControl w:val="false"/>
        <w:numPr>
          <w:ilvl w:val="0"/>
          <w:numId w:val="4"/>
        </w:numPr>
        <w:pBdr>
          <w:left w:val="nil"/>
          <w:right w:val="nil"/>
          <w:top w:val="nil"/>
          <w:bottom w:val="nil"/>
          <w:between w:val="nil"/>
        </w:pBdr>
        <w:shd w:val="clear" w:color="auto" w:fill="auto"/>
        <w:spacing w:before="0" w:after="120" w:lineRule="auto" w:line="276"/>
        <w:ind w:left="465" w:hanging="360"/>
        <w:jc w:val="both"/>
        <w:rPr/>
      </w:pPr>
      <w:r>
        <w:rPr>
          <w:rFonts w:ascii="Google Sans Text" w:cs="Google Sans Text" w:eastAsia="Google Sans Text" w:hAnsi="Google Sans Text"/>
          <w:b/>
          <w:color w:val="1f1f1f"/>
          <w:sz w:val="21"/>
          <w:szCs w:val="21"/>
        </w:rPr>
        <w:t>Kepastian Hukum:</w:t>
      </w:r>
      <w:r>
        <w:rPr>
          <w:rFonts w:ascii="Google Sans Text" w:cs="Google Sans Text" w:eastAsia="Google Sans Text" w:hAnsi="Google Sans Text"/>
          <w:color w:val="1f1f1f"/>
          <w:sz w:val="21"/>
          <w:szCs w:val="21"/>
        </w:rPr>
        <w:t xml:space="preserve"> Dengan adanya Hak Tanggungan atas nama wadah perwakilan </w:t>
      </w:r>
      <w:r>
        <w:rPr>
          <w:rFonts w:ascii="Google Sans Text" w:cs="Google Sans Text" w:eastAsia="Google Sans Text" w:hAnsi="Google Sans Text"/>
          <w:i/>
          <w:color w:val="1f1f1f"/>
          <w:sz w:val="21"/>
          <w:szCs w:val="21"/>
        </w:rPr>
        <w:t>lender</w:t>
      </w:r>
      <w:r>
        <w:rPr>
          <w:rFonts w:ascii="Google Sans Text" w:cs="Google Sans Text" w:eastAsia="Google Sans Text" w:hAnsi="Google Sans Text"/>
          <w:color w:val="1f1f1f"/>
          <w:sz w:val="21"/>
          <w:szCs w:val="21"/>
        </w:rPr>
        <w:t>, aset jaminan tidak bisa dijual atau diagunkan kembali secara sepihak oleh pengembang atau direksi fintech.</w:t>
      </w:r>
    </w:p>
    <w:p>
      <w:pPr>
        <w:pStyle w:val="style0"/>
        <w:widowControl w:val="false"/>
        <w:pBdr>
          <w:left w:val="nil"/>
          <w:right w:val="nil"/>
          <w:top w:val="nil"/>
          <w:bottom w:val="nil"/>
          <w:between w:val="nil"/>
        </w:pBdr>
        <w:shd w:val="clear" w:color="auto" w:fill="auto"/>
        <w:spacing w:before="240" w:after="12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5.4. Smart Contract Milestone-Based Disbursement</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 xml:space="preserve">Pencairan dana dilakukan secara bertahap menggunakan teknologi </w:t>
      </w:r>
      <w:r>
        <w:rPr>
          <w:rFonts w:ascii="Google Sans Text" w:cs="Google Sans Text" w:eastAsia="Google Sans Text" w:hAnsi="Google Sans Text"/>
          <w:i/>
          <w:color w:val="1f1f1f"/>
          <w:sz w:val="21"/>
          <w:szCs w:val="21"/>
        </w:rPr>
        <w:t>Blockchain</w:t>
      </w:r>
      <w:r>
        <w:rPr>
          <w:rFonts w:ascii="Google Sans Text" w:cs="Google Sans Text" w:eastAsia="Google Sans Text" w:hAnsi="Google Sans Text"/>
          <w:color w:val="1f1f1f"/>
          <w:sz w:val="21"/>
          <w:szCs w:val="21"/>
        </w:rPr>
        <w:t>.</w:t>
      </w:r>
    </w:p>
    <w:p>
      <w:pPr>
        <w:pStyle w:val="style0"/>
        <w:widowControl w:val="false"/>
        <w:numPr>
          <w:ilvl w:val="0"/>
          <w:numId w:val="5"/>
        </w:numPr>
        <w:pBdr>
          <w:left w:val="nil"/>
          <w:right w:val="nil"/>
          <w:top w:val="nil"/>
          <w:bottom w:val="nil"/>
          <w:between w:val="nil"/>
        </w:pBdr>
        <w:shd w:val="clear" w:color="auto" w:fill="auto"/>
        <w:spacing w:after="0" w:lineRule="auto" w:line="276"/>
        <w:ind w:left="465" w:hanging="360"/>
        <w:jc w:val="both"/>
        <w:rPr/>
      </w:pPr>
      <w:r>
        <w:rPr>
          <w:rFonts w:ascii="Google Sans Text" w:cs="Google Sans Text" w:eastAsia="Google Sans Text" w:hAnsi="Google Sans Text"/>
          <w:b/>
          <w:color w:val="1f1f1f"/>
          <w:sz w:val="21"/>
          <w:szCs w:val="21"/>
        </w:rPr>
        <w:t>Pemicu (Trigger):</w:t>
      </w:r>
      <w:r>
        <w:rPr>
          <w:rFonts w:ascii="Google Sans Text" w:cs="Google Sans Text" w:eastAsia="Google Sans Text" w:hAnsi="Google Sans Text"/>
          <w:color w:val="1f1f1f"/>
          <w:sz w:val="21"/>
          <w:szCs w:val="21"/>
        </w:rPr>
        <w:t xml:space="preserve"> Dana hanya cair (misal 20% untuk fondasi) jika surveyor independen mengunggah bukti fisik yang tervalidasi ke sistem.</w:t>
      </w:r>
    </w:p>
    <w:p>
      <w:pPr>
        <w:pStyle w:val="style0"/>
        <w:widowControl w:val="false"/>
        <w:numPr>
          <w:ilvl w:val="0"/>
          <w:numId w:val="5"/>
        </w:numPr>
        <w:pBdr>
          <w:left w:val="nil"/>
          <w:right w:val="nil"/>
          <w:top w:val="nil"/>
          <w:bottom w:val="nil"/>
          <w:between w:val="nil"/>
        </w:pBdr>
        <w:shd w:val="clear" w:color="auto" w:fill="auto"/>
        <w:spacing w:before="0" w:after="120" w:lineRule="auto" w:line="276"/>
        <w:ind w:left="465" w:hanging="360"/>
        <w:jc w:val="both"/>
        <w:rPr/>
      </w:pPr>
      <w:r>
        <w:rPr>
          <w:rFonts w:ascii="Google Sans Text" w:cs="Google Sans Text" w:eastAsia="Google Sans Text" w:hAnsi="Google Sans Text"/>
          <w:b/>
          <w:color w:val="1f1f1f"/>
          <w:sz w:val="21"/>
          <w:szCs w:val="21"/>
        </w:rPr>
        <w:t>Keamanan:</w:t>
      </w:r>
      <w:r>
        <w:rPr>
          <w:rFonts w:ascii="Google Sans Text" w:cs="Google Sans Text" w:eastAsia="Google Sans Text" w:hAnsi="Google Sans Text"/>
          <w:color w:val="1f1f1f"/>
          <w:sz w:val="21"/>
          <w:szCs w:val="21"/>
        </w:rPr>
        <w:t xml:space="preserve"> Jika proyek mangkrak, sisa dana yang belum cair masih aman di dalam Rekening Wali Amanat dan dapat segera dikembalikan kepada nasabah secara proporsional.</w:t>
      </w:r>
    </w:p>
    <w:p>
      <w:pPr>
        <w:pStyle w:val="style0"/>
        <w:widowControl w:val="false"/>
        <w:pBdr>
          <w:left w:val="nil"/>
          <w:right w:val="nil"/>
          <w:top w:val="nil"/>
          <w:bottom w:val="nil"/>
          <w:between w:val="nil"/>
        </w:pBdr>
        <w:shd w:val="clear" w:color="auto" w:fill="auto"/>
        <w:spacing w:before="240"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5.5. Lembaga Penjaminan dan Dana Proteksi Investor</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8"/>
          <w:szCs w:val="28"/>
        </w:rPr>
      </w:pPr>
      <w:r>
        <w:rPr>
          <w:rFonts w:ascii="Google Sans Text" w:cs="Google Sans Text" w:eastAsia="Google Sans Text" w:hAnsi="Google Sans Text"/>
          <w:color w:val="1f1f1f"/>
          <w:sz w:val="21"/>
          <w:szCs w:val="21"/>
        </w:rPr>
        <w:t xml:space="preserve">Sebagai lapisan pengamanan terakhir, peneliti mengusulkan pembentukan </w:t>
      </w:r>
      <w:r>
        <w:rPr>
          <w:rFonts w:ascii="Google Sans Text" w:cs="Google Sans Text" w:eastAsia="Google Sans Text" w:hAnsi="Google Sans Text"/>
          <w:b/>
          <w:color w:val="1f1f1f"/>
          <w:sz w:val="21"/>
          <w:szCs w:val="21"/>
        </w:rPr>
        <w:t>Lembaga Penjamin Fintech Syariah</w:t>
      </w:r>
      <w:r>
        <w:rPr>
          <w:rFonts w:ascii="Google Sans Text" w:cs="Google Sans Text" w:eastAsia="Google Sans Text" w:hAnsi="Google Sans Text"/>
          <w:color w:val="1f1f1f"/>
          <w:sz w:val="21"/>
          <w:szCs w:val="21"/>
        </w:rPr>
        <w:t>. Setiap transaksi dipotong sekian persen untuk Dana Proteksi yang dikelola secara independen. Jika terjadi kegagalan sistemik, lembaga ini memberikan ganti rugi awal kepada nasabah, sembari menunggu proses likuidasi aset jaminan (Hak Tanggungan) yang memakan waktu.</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8"/>
          <w:szCs w:val="28"/>
        </w:rPr>
      </w:pP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8"/>
          <w:szCs w:val="28"/>
        </w:rPr>
      </w:pPr>
      <w:r>
        <w:rPr>
          <w:rFonts w:ascii="Google Sans Text" w:cs="Google Sans Text" w:eastAsia="Google Sans Text" w:hAnsi="Google Sans Text"/>
          <w:b/>
          <w:color w:val="1f1f1f"/>
          <w:sz w:val="28"/>
          <w:szCs w:val="28"/>
        </w:rPr>
        <w:t>BAB 6: ANALISIS KOMPARATIF REGULASI INTERNASIONAL</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6.1. Benchmarking: Model Malaysia dan Inggris</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 xml:space="preserve">Untuk memperkuat argumen hukum, penelitian ini membandingkan posisi Indonesia dengan yurisdiksi yang memiliki ekosistem fintech lebih matang. Di </w:t>
      </w:r>
      <w:r>
        <w:rPr>
          <w:rFonts w:ascii="Google Sans Text" w:cs="Google Sans Text" w:eastAsia="Google Sans Text" w:hAnsi="Google Sans Text"/>
          <w:b/>
          <w:color w:val="1f1f1f"/>
          <w:sz w:val="21"/>
          <w:szCs w:val="21"/>
        </w:rPr>
        <w:t>Malaysia</w:t>
      </w:r>
      <w:r>
        <w:rPr>
          <w:rFonts w:ascii="Google Sans Text" w:cs="Google Sans Text" w:eastAsia="Google Sans Text" w:hAnsi="Google Sans Text"/>
          <w:color w:val="1f1f1f"/>
          <w:sz w:val="21"/>
          <w:szCs w:val="21"/>
        </w:rPr>
        <w:t xml:space="preserve">, </w:t>
      </w:r>
      <w:r>
        <w:rPr>
          <w:rFonts w:ascii="Google Sans Text" w:cs="Google Sans Text" w:eastAsia="Google Sans Text" w:hAnsi="Google Sans Text"/>
          <w:i/>
          <w:color w:val="1f1f1f"/>
          <w:sz w:val="21"/>
          <w:szCs w:val="21"/>
        </w:rPr>
        <w:t>Securities Commission</w:t>
      </w:r>
      <w:r>
        <w:rPr>
          <w:rFonts w:ascii="Google Sans Text" w:cs="Google Sans Text" w:eastAsia="Google Sans Text" w:hAnsi="Google Sans Text"/>
          <w:color w:val="1f1f1f"/>
          <w:sz w:val="21"/>
          <w:szCs w:val="21"/>
        </w:rPr>
        <w:t xml:space="preserve"> (SC) telah lama mewajibkan penggunaan entitas </w:t>
      </w:r>
      <w:r>
        <w:rPr>
          <w:rFonts w:ascii="Google Sans Text" w:cs="Google Sans Text" w:eastAsia="Google Sans Text" w:hAnsi="Google Sans Text"/>
          <w:i/>
          <w:color w:val="1f1f1f"/>
          <w:sz w:val="21"/>
          <w:szCs w:val="21"/>
        </w:rPr>
        <w:t>Trustee</w:t>
      </w:r>
      <w:r>
        <w:rPr>
          <w:rFonts w:ascii="Google Sans Text" w:cs="Google Sans Text" w:eastAsia="Google Sans Text" w:hAnsi="Google Sans Text"/>
          <w:color w:val="1f1f1f"/>
          <w:sz w:val="21"/>
          <w:szCs w:val="21"/>
        </w:rPr>
        <w:t xml:space="preserve"> (Wali Amanat) berlisensi untuk memegang dana investor. Hal ini kontras dengan kasus PT.DSI di mana penyelenggara memiliki kontrol penuh atas rekening </w:t>
      </w:r>
      <w:r>
        <w:rPr>
          <w:rFonts w:ascii="Google Sans Text" w:cs="Google Sans Text" w:eastAsia="Google Sans Text" w:hAnsi="Google Sans Text"/>
          <w:i/>
          <w:color w:val="1f1f1f"/>
          <w:sz w:val="21"/>
          <w:szCs w:val="21"/>
        </w:rPr>
        <w:t>escrow</w:t>
      </w:r>
      <w:r>
        <w:rPr>
          <w:rFonts w:ascii="Google Sans Text" w:cs="Google Sans Text" w:eastAsia="Google Sans Text" w:hAnsi="Google Sans Text"/>
          <w:color w:val="1f1f1f"/>
          <w:sz w:val="21"/>
          <w:szCs w:val="21"/>
        </w:rPr>
        <w:t>.</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 xml:space="preserve">Di </w:t>
      </w:r>
      <w:r>
        <w:rPr>
          <w:rFonts w:ascii="Google Sans Text" w:cs="Google Sans Text" w:eastAsia="Google Sans Text" w:hAnsi="Google Sans Text"/>
          <w:b/>
          <w:color w:val="1f1f1f"/>
          <w:sz w:val="21"/>
          <w:szCs w:val="21"/>
        </w:rPr>
        <w:t>Inggris</w:t>
      </w:r>
      <w:r>
        <w:rPr>
          <w:rFonts w:ascii="Google Sans Text" w:cs="Google Sans Text" w:eastAsia="Google Sans Text" w:hAnsi="Google Sans Text"/>
          <w:color w:val="1f1f1f"/>
          <w:sz w:val="21"/>
          <w:szCs w:val="21"/>
        </w:rPr>
        <w:t xml:space="preserve">, </w:t>
      </w:r>
      <w:r>
        <w:rPr>
          <w:rFonts w:ascii="Google Sans Text" w:cs="Google Sans Text" w:eastAsia="Google Sans Text" w:hAnsi="Google Sans Text"/>
          <w:i/>
          <w:color w:val="1f1f1f"/>
          <w:sz w:val="21"/>
          <w:szCs w:val="21"/>
        </w:rPr>
        <w:t>Financial Conduct Authority</w:t>
      </w:r>
      <w:r>
        <w:rPr>
          <w:rFonts w:ascii="Google Sans Text" w:cs="Google Sans Text" w:eastAsia="Google Sans Text" w:hAnsi="Google Sans Text"/>
          <w:color w:val="1f1f1f"/>
          <w:sz w:val="21"/>
          <w:szCs w:val="21"/>
        </w:rPr>
        <w:t xml:space="preserve"> (FCA) menerapkan aturan </w:t>
      </w:r>
      <w:r>
        <w:rPr>
          <w:rFonts w:ascii="Google Sans Text" w:cs="Google Sans Text" w:eastAsia="Google Sans Text" w:hAnsi="Google Sans Text"/>
          <w:i/>
          <w:color w:val="1f1f1f"/>
          <w:sz w:val="21"/>
          <w:szCs w:val="21"/>
        </w:rPr>
        <w:t>Client Assets Sourcebook</w:t>
      </w:r>
      <w:r>
        <w:rPr>
          <w:rFonts w:ascii="Google Sans Text" w:cs="Google Sans Text" w:eastAsia="Google Sans Text" w:hAnsi="Google Sans Text"/>
          <w:color w:val="1f1f1f"/>
          <w:sz w:val="21"/>
          <w:szCs w:val="21"/>
        </w:rPr>
        <w:t xml:space="preserve"> (CASS) yang sangat ketat. Dana nasabah dianggap sebagai </w:t>
      </w:r>
      <w:r>
        <w:rPr>
          <w:rFonts w:ascii="Google Sans Text" w:cs="Google Sans Text" w:eastAsia="Google Sans Text" w:hAnsi="Google Sans Text"/>
          <w:i/>
          <w:color w:val="1f1f1f"/>
          <w:sz w:val="21"/>
          <w:szCs w:val="21"/>
        </w:rPr>
        <w:t>Statutory Trust</w:t>
      </w:r>
      <w:r>
        <w:rPr>
          <w:rFonts w:ascii="Google Sans Text" w:cs="Google Sans Text" w:eastAsia="Google Sans Text" w:hAnsi="Google Sans Text"/>
          <w:color w:val="1f1f1f"/>
          <w:sz w:val="21"/>
          <w:szCs w:val="21"/>
        </w:rPr>
        <w:t xml:space="preserve">, yang berarti dana tersebut secara hukum terpisah dari kekayaan perusahaan. Jika prinsip ini diterapkan di Indonesia, maka ketika PT DSI dinyatakan pailit atau terbukti </w:t>
      </w:r>
      <w:r>
        <w:rPr>
          <w:rFonts w:ascii="Google Sans Text" w:cs="Google Sans Text" w:eastAsia="Google Sans Text" w:hAnsi="Google Sans Text"/>
          <w:i/>
          <w:color w:val="1f1f1f"/>
          <w:sz w:val="21"/>
          <w:szCs w:val="21"/>
        </w:rPr>
        <w:t>fraud</w:t>
      </w:r>
      <w:r>
        <w:rPr>
          <w:rFonts w:ascii="Google Sans Text" w:cs="Google Sans Text" w:eastAsia="Google Sans Text" w:hAnsi="Google Sans Text"/>
          <w:color w:val="1f1f1f"/>
          <w:sz w:val="21"/>
          <w:szCs w:val="21"/>
        </w:rPr>
        <w:t xml:space="preserve">, dana nasabah tidak akan masuk ke dalam budel pailit yang diperebutkan oleh kreditor lain, melainkan langsung kembali ke tangan </w:t>
      </w:r>
      <w:r>
        <w:rPr>
          <w:rFonts w:ascii="Google Sans Text" w:cs="Google Sans Text" w:eastAsia="Google Sans Text" w:hAnsi="Google Sans Text"/>
          <w:i/>
          <w:color w:val="1f1f1f"/>
          <w:sz w:val="21"/>
          <w:szCs w:val="21"/>
        </w:rPr>
        <w:t>lender</w:t>
      </w:r>
      <w:r>
        <w:rPr>
          <w:rFonts w:ascii="Google Sans Text" w:cs="Google Sans Text" w:eastAsia="Google Sans Text" w:hAnsi="Google Sans Text"/>
          <w:color w:val="1f1f1f"/>
          <w:sz w:val="21"/>
          <w:szCs w:val="21"/>
        </w:rPr>
        <w:t>.</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6.2. Analisis RegTech dan Pengawasan Syariah Digital</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 xml:space="preserve">Uni Emirat Arab (UEA) mulai mengadopsi </w:t>
      </w:r>
      <w:r>
        <w:rPr>
          <w:rFonts w:ascii="Google Sans Text" w:cs="Google Sans Text" w:eastAsia="Google Sans Text" w:hAnsi="Google Sans Text"/>
          <w:i/>
          <w:color w:val="1f1f1f"/>
          <w:sz w:val="21"/>
          <w:szCs w:val="21"/>
        </w:rPr>
        <w:t>Regulatory Technology</w:t>
      </w:r>
      <w:r>
        <w:rPr>
          <w:rFonts w:ascii="Google Sans Text" w:cs="Google Sans Text" w:eastAsia="Google Sans Text" w:hAnsi="Google Sans Text"/>
          <w:color w:val="1f1f1f"/>
          <w:sz w:val="21"/>
          <w:szCs w:val="21"/>
        </w:rPr>
        <w:t xml:space="preserve"> (RegTech) untuk pengawasan syariah. Peneliti berargumen bahwa kegagalan Dewan Pengawas Syariah (DPS) dalam kasus PT.DSI disebabkan oleh metode pengawasan yang masih bersifat manual dan administratif. Transformasi menuju audit syariah digital yang mampu mendeteksi aliran dana tidak wajar secara </w:t>
      </w:r>
      <w:r>
        <w:rPr>
          <w:rFonts w:ascii="Google Sans Text" w:cs="Google Sans Text" w:eastAsia="Google Sans Text" w:hAnsi="Google Sans Text"/>
          <w:i/>
          <w:color w:val="1f1f1f"/>
          <w:sz w:val="21"/>
          <w:szCs w:val="21"/>
        </w:rPr>
        <w:t>real-time</w:t>
      </w:r>
      <w:r>
        <w:rPr>
          <w:rFonts w:ascii="Google Sans Text" w:cs="Google Sans Text" w:eastAsia="Google Sans Text" w:hAnsi="Google Sans Text"/>
          <w:color w:val="1f1f1f"/>
          <w:sz w:val="21"/>
          <w:szCs w:val="21"/>
        </w:rPr>
        <w:t xml:space="preserve"> adalah sebuah keharusan untuk menjaga marwah institusi syariah di Asia Pasifik.</w:t>
      </w:r>
    </w:p>
    <w:p>
      <w:pPr>
        <w:pStyle w:val="style0"/>
        <w:widowControl w:val="false"/>
        <w:pBdr>
          <w:left w:val="nil"/>
          <w:right w:val="nil"/>
          <w:top w:val="nil"/>
          <w:bottom w:val="nil"/>
          <w:between w:val="nil"/>
        </w:pBdr>
        <w:shd w:val="clear" w:color="auto" w:fill="auto"/>
        <w:spacing w:before="120" w:after="120" w:lineRule="auto" w:line="276"/>
        <w:rPr>
          <w:rFonts w:ascii="Google Sans Text" w:cs="Google Sans Text" w:eastAsia="Google Sans Text" w:hAnsi="Google Sans Text"/>
          <w:b/>
          <w:color w:val="1f1f1f"/>
          <w:sz w:val="28"/>
          <w:szCs w:val="28"/>
        </w:rPr>
      </w:pPr>
      <w:r>
        <w:rPr/>
        <w:pict>
          <v:rect id="1029" fillcolor="#a0a0a0" stroked="f" style="margin-left:0.0pt;margin-top:0.0pt;width:0.0pt;height:1.5pt;mso-wrap-distance-left:0.0pt;mso-wrap-distance-right:0.0pt;visibility:visible;" o:hr="t" o:hralign="center" o:hrstd="t">
            <v:stroke on="f"/>
            <v:fill/>
          </v:rect>
        </w:pict>
      </w:r>
    </w:p>
    <w:p>
      <w:pPr>
        <w:pStyle w:val="style0"/>
        <w:widowControl w:val="false"/>
        <w:pBdr>
          <w:left w:val="nil"/>
          <w:right w:val="nil"/>
          <w:top w:val="nil"/>
          <w:bottom w:val="nil"/>
          <w:between w:val="nil"/>
        </w:pBdr>
        <w:shd w:val="clear" w:color="auto" w:fill="auto"/>
        <w:spacing w:before="120" w:after="120" w:lineRule="auto" w:line="276"/>
        <w:rPr>
          <w:rFonts w:ascii="Google Sans Text" w:cs="Google Sans Text" w:eastAsia="Google Sans Text" w:hAnsi="Google Sans Text"/>
          <w:b/>
          <w:color w:val="1f1f1f"/>
          <w:sz w:val="28"/>
          <w:szCs w:val="28"/>
        </w:rPr>
      </w:pPr>
    </w:p>
    <w:p>
      <w:pPr>
        <w:pStyle w:val="style0"/>
        <w:widowControl w:val="false"/>
        <w:pBdr>
          <w:left w:val="nil"/>
          <w:right w:val="nil"/>
          <w:top w:val="nil"/>
          <w:bottom w:val="nil"/>
          <w:between w:val="nil"/>
        </w:pBdr>
        <w:shd w:val="clear" w:color="auto" w:fill="auto"/>
        <w:spacing w:before="120" w:after="120" w:lineRule="auto" w:line="276"/>
        <w:rPr>
          <w:rFonts w:ascii="Google Sans Text" w:cs="Google Sans Text" w:eastAsia="Google Sans Text" w:hAnsi="Google Sans Text"/>
          <w:b/>
          <w:color w:val="1f1f1f"/>
          <w:sz w:val="28"/>
          <w:szCs w:val="28"/>
        </w:rPr>
      </w:pPr>
      <w:r>
        <w:rPr>
          <w:rFonts w:ascii="Google Sans Text" w:cs="Google Sans Text" w:eastAsia="Google Sans Text" w:hAnsi="Google Sans Text"/>
          <w:b/>
          <w:color w:val="1f1f1f"/>
          <w:sz w:val="28"/>
          <w:szCs w:val="28"/>
        </w:rPr>
        <w:t>BAB 7: KESIMPULAN DAN REKOMENDASI KEBIJAKAN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7.1. Kesimpulan</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r>
        <w:rPr>
          <w:rFonts w:ascii="Google Sans Text" w:cs="Google Sans Text" w:eastAsia="Google Sans Text" w:hAnsi="Google Sans Text"/>
          <w:color w:val="1f1f1f"/>
          <w:sz w:val="21"/>
          <w:szCs w:val="21"/>
        </w:rPr>
        <w:t>Penelitian ini menegaskan bahwa skandal PT DSI adalah hasil dari pertemuan antara celah regulasi (</w:t>
      </w:r>
      <w:r>
        <w:rPr>
          <w:rFonts w:ascii="Google Sans Text" w:cs="Google Sans Text" w:eastAsia="Google Sans Text" w:hAnsi="Google Sans Text"/>
          <w:i/>
          <w:color w:val="1f1f1f"/>
          <w:sz w:val="21"/>
          <w:szCs w:val="21"/>
        </w:rPr>
        <w:t>regulatory loophole</w:t>
      </w:r>
      <w:r>
        <w:rPr>
          <w:rFonts w:ascii="Google Sans Text" w:cs="Google Sans Text" w:eastAsia="Google Sans Text" w:hAnsi="Google Sans Text"/>
          <w:color w:val="1f1f1f"/>
          <w:sz w:val="21"/>
          <w:szCs w:val="21"/>
        </w:rPr>
        <w:t xml:space="preserve">), lemahnya pengawasan sistemik, dan eksploitasi sentimen agama. Model bisnis fintech yang hanya mengandalkan "kepercayaan" tanpa dukungan jaminan hukum yang kuat adalah cacat secara fundamental. Pengamanan dana nasabah melalui sistem </w:t>
      </w:r>
      <w:r>
        <w:rPr>
          <w:rFonts w:ascii="Google Sans Text" w:cs="Google Sans Text" w:eastAsia="Google Sans Text" w:hAnsi="Google Sans Text"/>
          <w:b/>
          <w:color w:val="1f1f1f"/>
          <w:sz w:val="21"/>
          <w:szCs w:val="21"/>
        </w:rPr>
        <w:t>ICMS</w:t>
      </w:r>
      <w:r>
        <w:rPr>
          <w:rFonts w:ascii="Google Sans Text" w:cs="Google Sans Text" w:eastAsia="Google Sans Text" w:hAnsi="Google Sans Text"/>
          <w:color w:val="1f1f1f"/>
          <w:sz w:val="21"/>
          <w:szCs w:val="21"/>
        </w:rPr>
        <w:t xml:space="preserve"> yang mengintegrasikan </w:t>
      </w:r>
      <w:r>
        <w:rPr>
          <w:rFonts w:ascii="Google Sans Text" w:cs="Google Sans Text" w:eastAsia="Google Sans Text" w:hAnsi="Google Sans Text"/>
          <w:b/>
          <w:color w:val="1f1f1f"/>
          <w:sz w:val="21"/>
          <w:szCs w:val="21"/>
        </w:rPr>
        <w:t>Wali Amanat</w:t>
      </w:r>
      <w:r>
        <w:rPr>
          <w:rFonts w:ascii="Google Sans Text" w:cs="Google Sans Text" w:eastAsia="Google Sans Text" w:hAnsi="Google Sans Text"/>
          <w:color w:val="1f1f1f"/>
          <w:sz w:val="21"/>
          <w:szCs w:val="21"/>
        </w:rPr>
        <w:t xml:space="preserve"> dan </w:t>
      </w:r>
      <w:r>
        <w:rPr>
          <w:rFonts w:ascii="Google Sans Text" w:cs="Google Sans Text" w:eastAsia="Google Sans Text" w:hAnsi="Google Sans Text"/>
          <w:b/>
          <w:color w:val="1f1f1f"/>
          <w:sz w:val="21"/>
          <w:szCs w:val="21"/>
        </w:rPr>
        <w:t>Hak Tanggungan Digital</w:t>
      </w:r>
      <w:r>
        <w:rPr>
          <w:rFonts w:ascii="Google Sans Text" w:cs="Google Sans Text" w:eastAsia="Google Sans Text" w:hAnsi="Google Sans Text"/>
          <w:color w:val="1f1f1f"/>
          <w:sz w:val="21"/>
          <w:szCs w:val="21"/>
        </w:rPr>
        <w:t xml:space="preserve"> bukan lagi pilihan, melainkan syarat mutlak bagi keberlanjutan ekonomi syariah digital.</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7.2. Saran Komprehensif (The Perfectionist Approach)</w:t>
      </w:r>
    </w:p>
    <w:p>
      <w:pPr>
        <w:pStyle w:val="style0"/>
        <w:widowControl w:val="false"/>
        <w:numPr>
          <w:ilvl w:val="0"/>
          <w:numId w:val="6"/>
        </w:numPr>
        <w:pBdr>
          <w:left w:val="nil"/>
          <w:right w:val="nil"/>
          <w:top w:val="nil"/>
          <w:bottom w:val="nil"/>
          <w:between w:val="nil"/>
        </w:pBdr>
        <w:shd w:val="clear" w:color="auto" w:fill="auto"/>
        <w:spacing w:after="0" w:lineRule="auto" w:line="276"/>
        <w:ind w:left="480" w:hanging="360"/>
        <w:jc w:val="both"/>
        <w:rPr/>
      </w:pPr>
      <w:r>
        <w:rPr>
          <w:rFonts w:ascii="Google Sans Text" w:cs="Google Sans Text" w:eastAsia="Google Sans Text" w:hAnsi="Google Sans Text"/>
          <w:b/>
          <w:color w:val="1f1f1f"/>
          <w:sz w:val="21"/>
          <w:szCs w:val="21"/>
        </w:rPr>
        <w:t>Mandat Legislatif:</w:t>
      </w:r>
      <w:r>
        <w:rPr>
          <w:rFonts w:ascii="Google Sans Text" w:cs="Google Sans Text" w:eastAsia="Google Sans Text" w:hAnsi="Google Sans Text"/>
          <w:color w:val="1f1f1f"/>
          <w:sz w:val="21"/>
          <w:szCs w:val="21"/>
        </w:rPr>
        <w:t xml:space="preserve"> Pemerintah melalui OJK harus segera merevisi POJK 10/2022 untuk mewajibkan skema </w:t>
      </w:r>
      <w:r>
        <w:rPr>
          <w:rFonts w:ascii="Google Sans Text" w:cs="Google Sans Text" w:eastAsia="Google Sans Text" w:hAnsi="Google Sans Text"/>
          <w:i/>
          <w:color w:val="1f1f1f"/>
          <w:sz w:val="21"/>
          <w:szCs w:val="21"/>
        </w:rPr>
        <w:t>Trustee</w:t>
      </w:r>
      <w:r>
        <w:rPr>
          <w:rFonts w:ascii="Google Sans Text" w:cs="Google Sans Text" w:eastAsia="Google Sans Text" w:hAnsi="Google Sans Text"/>
          <w:color w:val="1f1f1f"/>
          <w:sz w:val="21"/>
          <w:szCs w:val="21"/>
        </w:rPr>
        <w:t xml:space="preserve"> (Wali Amanat) dan pendaftaran jaminan aset riil secara otomatis.</w:t>
      </w:r>
    </w:p>
    <w:p>
      <w:pPr>
        <w:pStyle w:val="style0"/>
        <w:widowControl w:val="false"/>
        <w:numPr>
          <w:ilvl w:val="0"/>
          <w:numId w:val="6"/>
        </w:numPr>
        <w:pBdr>
          <w:left w:val="nil"/>
          <w:right w:val="nil"/>
          <w:top w:val="nil"/>
          <w:bottom w:val="nil"/>
          <w:between w:val="nil"/>
        </w:pBdr>
        <w:shd w:val="clear" w:color="auto" w:fill="auto"/>
        <w:spacing w:before="0" w:after="0" w:lineRule="auto" w:line="276"/>
        <w:ind w:left="480" w:hanging="360"/>
        <w:jc w:val="both"/>
        <w:rPr/>
      </w:pPr>
      <w:r>
        <w:rPr>
          <w:rFonts w:ascii="Google Sans Text" w:cs="Google Sans Text" w:eastAsia="Google Sans Text" w:hAnsi="Google Sans Text"/>
          <w:b/>
          <w:color w:val="1f1f1f"/>
          <w:sz w:val="21"/>
          <w:szCs w:val="21"/>
        </w:rPr>
        <w:t>Integrasi Inter-Kementerian:</w:t>
      </w:r>
      <w:r>
        <w:rPr>
          <w:rFonts w:ascii="Google Sans Text" w:cs="Google Sans Text" w:eastAsia="Google Sans Text" w:hAnsi="Google Sans Text"/>
          <w:color w:val="1f1f1f"/>
          <w:sz w:val="21"/>
          <w:szCs w:val="21"/>
        </w:rPr>
        <w:t xml:space="preserve"> Diperlukan kerjasama antara OJK, Kementerian ATR/BPN, dan Kemenkumham untuk menciptakan protokol </w:t>
      </w:r>
      <w:r>
        <w:rPr>
          <w:rFonts w:ascii="Google Sans Text" w:cs="Google Sans Text" w:eastAsia="Google Sans Text" w:hAnsi="Google Sans Text"/>
          <w:i/>
          <w:color w:val="1f1f1f"/>
          <w:sz w:val="21"/>
          <w:szCs w:val="21"/>
        </w:rPr>
        <w:t>Digital Collateral</w:t>
      </w:r>
      <w:r>
        <w:rPr>
          <w:rFonts w:ascii="Google Sans Text" w:cs="Google Sans Text" w:eastAsia="Google Sans Text" w:hAnsi="Google Sans Text"/>
          <w:color w:val="1f1f1f"/>
          <w:sz w:val="21"/>
          <w:szCs w:val="21"/>
        </w:rPr>
        <w:t xml:space="preserve"> yang tidak bisa ditembus oleh manipulasi internal fintech.</w:t>
      </w:r>
    </w:p>
    <w:p>
      <w:pPr>
        <w:pStyle w:val="style0"/>
        <w:widowControl w:val="false"/>
        <w:numPr>
          <w:ilvl w:val="0"/>
          <w:numId w:val="6"/>
        </w:numPr>
        <w:pBdr>
          <w:left w:val="nil"/>
          <w:right w:val="nil"/>
          <w:top w:val="nil"/>
          <w:bottom w:val="nil"/>
          <w:between w:val="nil"/>
        </w:pBdr>
        <w:shd w:val="clear" w:color="auto" w:fill="auto"/>
        <w:spacing w:before="0" w:after="120" w:lineRule="auto" w:line="276"/>
        <w:ind w:left="480" w:hanging="360"/>
        <w:jc w:val="both"/>
        <w:rPr/>
      </w:pPr>
      <w:r>
        <w:rPr>
          <w:rFonts w:ascii="Google Sans Text" w:cs="Google Sans Text" w:eastAsia="Google Sans Text" w:hAnsi="Google Sans Text"/>
          <w:b/>
          <w:color w:val="1f1f1f"/>
          <w:sz w:val="21"/>
          <w:szCs w:val="21"/>
        </w:rPr>
        <w:t>Lembaga Penjamin Utama:</w:t>
      </w:r>
      <w:r>
        <w:rPr>
          <w:rFonts w:ascii="Google Sans Text" w:cs="Google Sans Text" w:eastAsia="Google Sans Text" w:hAnsi="Google Sans Text"/>
          <w:color w:val="1f1f1f"/>
          <w:sz w:val="21"/>
          <w:szCs w:val="21"/>
        </w:rPr>
        <w:t xml:space="preserve"> Membentuk lembaga penjamin khusus fintech syariah yang didanai melalui kontribusi bersama (</w:t>
      </w:r>
      <w:r>
        <w:rPr>
          <w:rFonts w:ascii="Google Sans Text" w:cs="Google Sans Text" w:eastAsia="Google Sans Text" w:hAnsi="Google Sans Text"/>
          <w:i/>
          <w:color w:val="1f1f1f"/>
          <w:sz w:val="21"/>
          <w:szCs w:val="21"/>
        </w:rPr>
        <w:t>Tabarru</w:t>
      </w:r>
      <w:r>
        <w:rPr>
          <w:rFonts w:ascii="Google Sans Text" w:cs="Google Sans Text" w:eastAsia="Google Sans Text" w:hAnsi="Google Sans Text"/>
          <w:color w:val="1f1f1f"/>
          <w:sz w:val="21"/>
          <w:szCs w:val="21"/>
        </w:rPr>
        <w:t xml:space="preserve">) para penyelenggara untuk memitigasi risiko </w:t>
      </w:r>
      <w:r>
        <w:rPr>
          <w:rFonts w:ascii="Google Sans Text" w:cs="Google Sans Text" w:eastAsia="Google Sans Text" w:hAnsi="Google Sans Text"/>
          <w:i/>
          <w:color w:val="1f1f1f"/>
          <w:sz w:val="21"/>
          <w:szCs w:val="21"/>
        </w:rPr>
        <w:t>systemic fraud</w:t>
      </w:r>
      <w:r>
        <w:rPr>
          <w:rFonts w:ascii="Google Sans Text" w:cs="Google Sans Text" w:eastAsia="Google Sans Text" w:hAnsi="Google Sans Text"/>
          <w:color w:val="1f1f1f"/>
          <w:sz w:val="21"/>
          <w:szCs w:val="21"/>
        </w:rPr>
        <w:t>.</w:t>
      </w:r>
    </w:p>
    <w:p>
      <w:pPr>
        <w:pStyle w:val="style0"/>
        <w:widowControl w:val="false"/>
        <w:pBdr>
          <w:left w:val="nil"/>
          <w:right w:val="nil"/>
          <w:top w:val="nil"/>
          <w:bottom w:val="nil"/>
          <w:between w:val="nil"/>
        </w:pBdr>
        <w:shd w:val="clear" w:color="auto" w:fill="auto"/>
        <w:spacing w:before="120" w:after="120" w:lineRule="auto" w:line="276"/>
        <w:rPr>
          <w:rFonts w:ascii="Google Sans Text" w:cs="Google Sans Text" w:eastAsia="Google Sans Text" w:hAnsi="Google Sans Text"/>
          <w:b/>
          <w:color w:val="1f1f1f"/>
          <w:sz w:val="28"/>
          <w:szCs w:val="28"/>
        </w:rPr>
      </w:pPr>
      <w:r>
        <w:rPr/>
        <w:pict>
          <v:rect id="1030" fillcolor="#a0a0a0" stroked="f" style="margin-left:0.0pt;margin-top:0.0pt;width:0.0pt;height:1.5pt;mso-wrap-distance-left:0.0pt;mso-wrap-distance-right:0.0pt;visibility:visible;" o:hr="t" o:hralign="center" o:hrstd="t">
            <v:stroke on="f"/>
            <v:fill/>
          </v:rect>
        </w:pict>
      </w:r>
      <w:r>
        <w:rPr>
          <w:rFonts w:ascii="Google Sans Text" w:cs="Google Sans Text" w:eastAsia="Google Sans Text" w:hAnsi="Google Sans Text"/>
          <w:b/>
          <w:color w:val="1f1f1f"/>
          <w:sz w:val="28"/>
          <w:szCs w:val="28"/>
        </w:rPr>
        <w:t>DAFTAR PUSTAKA (COMPREHENSIVE BIBLIOGRAPHY)</w:t>
      </w:r>
    </w:p>
    <w:p>
      <w:pPr>
        <w:pStyle w:val="style0"/>
        <w:widowControl w:val="false"/>
        <w:pBdr>
          <w:left w:val="nil"/>
          <w:right w:val="nil"/>
          <w:top w:val="nil"/>
          <w:bottom w:val="nil"/>
          <w:between w:val="nil"/>
        </w:pBdr>
        <w:shd w:val="clear" w:color="auto" w:fill="auto"/>
        <w:spacing w:after="12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Dokumen Regulasi &amp; Hukum:</w:t>
      </w:r>
    </w:p>
    <w:p>
      <w:pPr>
        <w:pStyle w:val="style0"/>
        <w:widowControl w:val="false"/>
        <w:numPr>
          <w:ilvl w:val="0"/>
          <w:numId w:val="3"/>
        </w:numPr>
        <w:pBdr>
          <w:left w:val="nil"/>
          <w:right w:val="nil"/>
          <w:top w:val="nil"/>
          <w:bottom w:val="nil"/>
          <w:between w:val="nil"/>
        </w:pBdr>
        <w:shd w:val="clear" w:color="auto" w:fill="auto"/>
        <w:spacing w:after="0" w:lineRule="auto" w:line="276"/>
        <w:ind w:left="465" w:hanging="360"/>
        <w:jc w:val="both"/>
        <w:rPr/>
      </w:pPr>
      <w:r>
        <w:rPr>
          <w:rFonts w:ascii="Google Sans Text" w:cs="Google Sans Text" w:eastAsia="Google Sans Text" w:hAnsi="Google Sans Text"/>
          <w:b/>
          <w:color w:val="1f1f1f"/>
          <w:sz w:val="21"/>
          <w:szCs w:val="21"/>
        </w:rPr>
        <w:t>Bareskrim Polri.</w:t>
      </w:r>
      <w:r>
        <w:rPr>
          <w:rFonts w:ascii="Google Sans Text" w:cs="Google Sans Text" w:eastAsia="Google Sans Text" w:hAnsi="Google Sans Text"/>
          <w:color w:val="1f1f1f"/>
          <w:sz w:val="21"/>
          <w:szCs w:val="21"/>
        </w:rPr>
        <w:t xml:space="preserve"> (2026). </w:t>
      </w:r>
      <w:r>
        <w:rPr>
          <w:rFonts w:ascii="Google Sans Text" w:cs="Google Sans Text" w:eastAsia="Google Sans Text" w:hAnsi="Google Sans Text"/>
          <w:i/>
          <w:color w:val="1f1f1f"/>
          <w:sz w:val="21"/>
          <w:szCs w:val="21"/>
        </w:rPr>
        <w:t>Berita Acara Pemeriksaan: Penahanan Tersangka TA dan ARL terkait Tindak Pidana Penipuan dan TPPU PT DSI.</w:t>
      </w:r>
      <w:r>
        <w:rPr>
          <w:rFonts w:ascii="Google Sans Text" w:cs="Google Sans Text" w:eastAsia="Google Sans Text" w:hAnsi="Google Sans Text"/>
          <w:color w:val="1f1f1f"/>
          <w:sz w:val="21"/>
          <w:szCs w:val="21"/>
        </w:rPr>
        <w:t xml:space="preserve"> Jakarta: Mabes Polri.</w:t>
      </w:r>
    </w:p>
    <w:p>
      <w:pPr>
        <w:pStyle w:val="style0"/>
        <w:widowControl w:val="false"/>
        <w:numPr>
          <w:ilvl w:val="0"/>
          <w:numId w:val="3"/>
        </w:numPr>
        <w:pBdr>
          <w:left w:val="nil"/>
          <w:right w:val="nil"/>
          <w:top w:val="nil"/>
          <w:bottom w:val="nil"/>
          <w:between w:val="nil"/>
        </w:pBdr>
        <w:shd w:val="clear" w:color="auto" w:fill="auto"/>
        <w:spacing w:before="0" w:after="0" w:lineRule="auto" w:line="276"/>
        <w:ind w:left="465" w:hanging="360"/>
        <w:jc w:val="both"/>
        <w:rPr/>
      </w:pPr>
      <w:r>
        <w:rPr>
          <w:rFonts w:ascii="Google Sans Text" w:cs="Google Sans Text" w:eastAsia="Google Sans Text" w:hAnsi="Google Sans Text"/>
          <w:b/>
          <w:color w:val="1f1f1f"/>
          <w:sz w:val="21"/>
          <w:szCs w:val="21"/>
        </w:rPr>
        <w:t>Otoritas Jasa Keuangan (OJK).</w:t>
      </w:r>
      <w:r>
        <w:rPr>
          <w:rFonts w:ascii="Google Sans Text" w:cs="Google Sans Text" w:eastAsia="Google Sans Text" w:hAnsi="Google Sans Text"/>
          <w:color w:val="1f1f1f"/>
          <w:sz w:val="21"/>
          <w:szCs w:val="21"/>
        </w:rPr>
        <w:t xml:space="preserve"> (2022). </w:t>
      </w:r>
      <w:r>
        <w:rPr>
          <w:rFonts w:ascii="Google Sans Text" w:cs="Google Sans Text" w:eastAsia="Google Sans Text" w:hAnsi="Google Sans Text"/>
          <w:i/>
          <w:color w:val="1f1f1f"/>
          <w:sz w:val="21"/>
          <w:szCs w:val="21"/>
        </w:rPr>
        <w:t>Peraturan OJK Nomor 10/POJK.05/2022 tentang Layanan Pendanaan Bersama Berbasis Teknologi Informasi.</w:t>
      </w:r>
    </w:p>
    <w:p>
      <w:pPr>
        <w:pStyle w:val="style0"/>
        <w:widowControl w:val="false"/>
        <w:numPr>
          <w:ilvl w:val="0"/>
          <w:numId w:val="3"/>
        </w:numPr>
        <w:pBdr>
          <w:left w:val="nil"/>
          <w:right w:val="nil"/>
          <w:top w:val="nil"/>
          <w:bottom w:val="nil"/>
          <w:between w:val="nil"/>
        </w:pBdr>
        <w:shd w:val="clear" w:color="auto" w:fill="auto"/>
        <w:spacing w:before="0" w:after="0" w:lineRule="auto" w:line="276"/>
        <w:ind w:left="465" w:hanging="360"/>
        <w:jc w:val="both"/>
        <w:rPr/>
      </w:pPr>
      <w:r>
        <w:rPr>
          <w:rFonts w:ascii="Google Sans Text" w:cs="Google Sans Text" w:eastAsia="Google Sans Text" w:hAnsi="Google Sans Text"/>
          <w:b/>
          <w:color w:val="1f1f1f"/>
          <w:sz w:val="21"/>
          <w:szCs w:val="21"/>
        </w:rPr>
        <w:t>Dewan Syariah Nasional-MUI.</w:t>
      </w:r>
      <w:r>
        <w:rPr>
          <w:rFonts w:ascii="Google Sans Text" w:cs="Google Sans Text" w:eastAsia="Google Sans Text" w:hAnsi="Google Sans Text"/>
          <w:color w:val="1f1f1f"/>
          <w:sz w:val="21"/>
          <w:szCs w:val="21"/>
        </w:rPr>
        <w:t xml:space="preserve"> (2018). </w:t>
      </w:r>
      <w:r>
        <w:rPr>
          <w:rFonts w:ascii="Google Sans Text" w:cs="Google Sans Text" w:eastAsia="Google Sans Text" w:hAnsi="Google Sans Text"/>
          <w:i/>
          <w:color w:val="1f1f1f"/>
          <w:sz w:val="21"/>
          <w:szCs w:val="21"/>
        </w:rPr>
        <w:t>Fatwa No. 117/DSN-MUI/II/2018 tentang Layanan Pembiayaan Berbasis Teknologi Informasi Berdasarkan Prinsip Syariah.</w:t>
      </w:r>
    </w:p>
    <w:p>
      <w:pPr>
        <w:pStyle w:val="style0"/>
        <w:widowControl w:val="false"/>
        <w:numPr>
          <w:ilvl w:val="0"/>
          <w:numId w:val="3"/>
        </w:numPr>
        <w:pBdr>
          <w:left w:val="nil"/>
          <w:right w:val="nil"/>
          <w:top w:val="nil"/>
          <w:bottom w:val="nil"/>
          <w:between w:val="nil"/>
        </w:pBdr>
        <w:shd w:val="clear" w:color="auto" w:fill="auto"/>
        <w:spacing w:before="0" w:after="120" w:lineRule="auto" w:line="276"/>
        <w:ind w:left="465" w:hanging="360"/>
        <w:jc w:val="both"/>
        <w:rPr/>
      </w:pPr>
      <w:r>
        <w:rPr>
          <w:rFonts w:ascii="Google Sans Text" w:cs="Google Sans Text" w:eastAsia="Google Sans Text" w:hAnsi="Google Sans Text"/>
          <w:b/>
          <w:color w:val="1f1f1f"/>
          <w:sz w:val="21"/>
          <w:szCs w:val="21"/>
        </w:rPr>
        <w:t>Undang-Undang Republik Indonesia Nomor 4 Tahun 1996</w:t>
      </w:r>
      <w:r>
        <w:rPr>
          <w:rFonts w:ascii="Google Sans Text" w:cs="Google Sans Text" w:eastAsia="Google Sans Text" w:hAnsi="Google Sans Text"/>
          <w:color w:val="1f1f1f"/>
          <w:sz w:val="21"/>
          <w:szCs w:val="21"/>
        </w:rPr>
        <w:t xml:space="preserve"> tentang Hak Tanggungan Atas Tanah Beserta Benda-Benda yang Berkaitan dengan Tanah.</w:t>
      </w:r>
    </w:p>
    <w:p>
      <w:pPr>
        <w:pStyle w:val="style0"/>
        <w:widowControl w:val="false"/>
        <w:pBdr>
          <w:left w:val="nil"/>
          <w:right w:val="nil"/>
          <w:top w:val="nil"/>
          <w:bottom w:val="nil"/>
          <w:between w:val="nil"/>
        </w:pBdr>
        <w:shd w:val="clear" w:color="auto" w:fill="auto"/>
        <w:spacing w:before="240" w:after="12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Sumber Media Terpercaya (Verified per 2026):</w:t>
      </w:r>
    </w:p>
    <w:p>
      <w:pPr>
        <w:pStyle w:val="style0"/>
        <w:widowControl w:val="false"/>
        <w:numPr>
          <w:ilvl w:val="0"/>
          <w:numId w:val="4"/>
        </w:numPr>
        <w:pBdr>
          <w:left w:val="nil"/>
          <w:right w:val="nil"/>
          <w:top w:val="nil"/>
          <w:bottom w:val="nil"/>
          <w:between w:val="nil"/>
        </w:pBdr>
        <w:shd w:val="clear" w:color="auto" w:fill="auto"/>
        <w:spacing w:after="0" w:lineRule="auto" w:line="276"/>
        <w:ind w:left="465" w:hanging="360"/>
        <w:jc w:val="both"/>
        <w:rPr/>
      </w:pPr>
      <w:r>
        <w:rPr>
          <w:rFonts w:ascii="Google Sans Text" w:cs="Google Sans Text" w:eastAsia="Google Sans Text" w:hAnsi="Google Sans Text"/>
          <w:b/>
          <w:color w:val="1f1f1f"/>
          <w:sz w:val="21"/>
          <w:szCs w:val="21"/>
        </w:rPr>
        <w:t>CNBC Indonesia.</w:t>
      </w:r>
      <w:r>
        <w:rPr>
          <w:rFonts w:ascii="Google Sans Text" w:cs="Google Sans Text" w:eastAsia="Google Sans Text" w:hAnsi="Google Sans Text"/>
          <w:color w:val="1f1f1f"/>
          <w:sz w:val="21"/>
          <w:szCs w:val="21"/>
        </w:rPr>
        <w:t xml:space="preserve"> (2026, 14 Februari). </w:t>
      </w:r>
      <w:r>
        <w:rPr>
          <w:rFonts w:ascii="Google Sans Text" w:cs="Google Sans Text" w:eastAsia="Google Sans Text" w:hAnsi="Google Sans Text"/>
          <w:i/>
          <w:color w:val="1f1f1f"/>
          <w:sz w:val="21"/>
          <w:szCs w:val="21"/>
        </w:rPr>
        <w:t>"Eksklusif: Pelacakan Aset Rp2,4 Triliun PT.DSI dan Keterlibatan Pihak Ketiga."</w:t>
      </w:r>
    </w:p>
    <w:p>
      <w:pPr>
        <w:pStyle w:val="style0"/>
        <w:widowControl w:val="false"/>
        <w:numPr>
          <w:ilvl w:val="0"/>
          <w:numId w:val="4"/>
        </w:numPr>
        <w:pBdr>
          <w:left w:val="nil"/>
          <w:right w:val="nil"/>
          <w:top w:val="nil"/>
          <w:bottom w:val="nil"/>
          <w:between w:val="nil"/>
        </w:pBdr>
        <w:shd w:val="clear" w:color="auto" w:fill="auto"/>
        <w:spacing w:before="0" w:after="0" w:lineRule="auto" w:line="276"/>
        <w:ind w:left="465" w:hanging="360"/>
        <w:jc w:val="both"/>
        <w:rPr/>
      </w:pPr>
      <w:r>
        <w:rPr>
          <w:rFonts w:ascii="Google Sans Text" w:cs="Google Sans Text" w:eastAsia="Google Sans Text" w:hAnsi="Google Sans Text"/>
          <w:b/>
          <w:color w:val="1f1f1f"/>
          <w:sz w:val="21"/>
          <w:szCs w:val="21"/>
        </w:rPr>
        <w:t>Kompas.id.</w:t>
      </w:r>
      <w:r>
        <w:rPr>
          <w:rFonts w:ascii="Google Sans Text" w:cs="Google Sans Text" w:eastAsia="Google Sans Text" w:hAnsi="Google Sans Text"/>
          <w:color w:val="1f1f1f"/>
          <w:sz w:val="21"/>
          <w:szCs w:val="21"/>
        </w:rPr>
        <w:t xml:space="preserve"> (2026, 20 Januari). </w:t>
      </w:r>
      <w:r>
        <w:rPr>
          <w:rFonts w:ascii="Google Sans Text" w:cs="Google Sans Text" w:eastAsia="Google Sans Text" w:hAnsi="Google Sans Text"/>
          <w:i/>
          <w:color w:val="1f1f1f"/>
          <w:sz w:val="21"/>
          <w:szCs w:val="21"/>
        </w:rPr>
        <w:t>"Gagal Bayar PT.DSI: Analisis Kerentanan Pengawasan Dewan Pengawas Syariah."</w:t>
      </w:r>
    </w:p>
    <w:p>
      <w:pPr>
        <w:pStyle w:val="style0"/>
        <w:widowControl w:val="false"/>
        <w:numPr>
          <w:ilvl w:val="0"/>
          <w:numId w:val="4"/>
        </w:numPr>
        <w:pBdr>
          <w:left w:val="nil"/>
          <w:right w:val="nil"/>
          <w:top w:val="nil"/>
          <w:bottom w:val="nil"/>
          <w:between w:val="nil"/>
        </w:pBdr>
        <w:shd w:val="clear" w:color="auto" w:fill="auto"/>
        <w:spacing w:before="0" w:after="120" w:lineRule="auto" w:line="276"/>
        <w:ind w:left="465" w:hanging="360"/>
        <w:jc w:val="both"/>
        <w:rPr/>
      </w:pPr>
      <w:r>
        <w:rPr>
          <w:rFonts w:ascii="Google Sans Text" w:cs="Google Sans Text" w:eastAsia="Google Sans Text" w:hAnsi="Google Sans Text"/>
          <w:b/>
          <w:color w:val="1f1f1f"/>
          <w:sz w:val="21"/>
          <w:szCs w:val="21"/>
        </w:rPr>
        <w:t>Bisnis.com.</w:t>
      </w:r>
      <w:r>
        <w:rPr>
          <w:rFonts w:ascii="Google Sans Text" w:cs="Google Sans Text" w:eastAsia="Google Sans Text" w:hAnsi="Google Sans Text"/>
          <w:color w:val="1f1f1f"/>
          <w:sz w:val="21"/>
          <w:szCs w:val="21"/>
        </w:rPr>
        <w:t xml:space="preserve"> (2025, Oktober). </w:t>
      </w:r>
      <w:r>
        <w:rPr>
          <w:rFonts w:ascii="Google Sans Text" w:cs="Google Sans Text" w:eastAsia="Google Sans Text" w:hAnsi="Google Sans Text"/>
          <w:i/>
          <w:color w:val="1f1f1f"/>
          <w:sz w:val="21"/>
          <w:szCs w:val="21"/>
        </w:rPr>
        <w:t>"OJK Bekukan Operasional PT.DSI, Ribuan Lender Terjebak Skema Ponzi."</w:t>
      </w:r>
    </w:p>
    <w:p>
      <w:pPr>
        <w:pStyle w:val="style0"/>
        <w:widowControl w:val="false"/>
        <w:pBdr>
          <w:left w:val="nil"/>
          <w:right w:val="nil"/>
          <w:top w:val="nil"/>
          <w:bottom w:val="nil"/>
          <w:between w:val="nil"/>
        </w:pBdr>
        <w:shd w:val="clear" w:color="auto" w:fill="auto"/>
        <w:spacing w:before="240" w:after="120" w:lineRule="auto" w:line="276"/>
        <w:jc w:val="both"/>
        <w:rPr>
          <w:rFonts w:ascii="Google Sans Text" w:cs="Google Sans Text" w:eastAsia="Google Sans Text" w:hAnsi="Google Sans Text"/>
          <w:b/>
          <w:color w:val="1f1f1f"/>
          <w:sz w:val="21"/>
          <w:szCs w:val="21"/>
        </w:rPr>
      </w:pPr>
      <w:r>
        <w:rPr>
          <w:rFonts w:ascii="Google Sans Text" w:cs="Google Sans Text" w:eastAsia="Google Sans Text" w:hAnsi="Google Sans Text"/>
          <w:b/>
          <w:color w:val="1f1f1f"/>
          <w:sz w:val="21"/>
          <w:szCs w:val="21"/>
        </w:rPr>
        <w:t>Literatur Akademik:</w:t>
      </w:r>
    </w:p>
    <w:p>
      <w:pPr>
        <w:pStyle w:val="style0"/>
        <w:widowControl w:val="false"/>
        <w:numPr>
          <w:ilvl w:val="0"/>
          <w:numId w:val="5"/>
        </w:numPr>
        <w:pBdr>
          <w:left w:val="nil"/>
          <w:right w:val="nil"/>
          <w:top w:val="nil"/>
          <w:bottom w:val="nil"/>
          <w:between w:val="nil"/>
        </w:pBdr>
        <w:shd w:val="clear" w:color="auto" w:fill="auto"/>
        <w:spacing w:after="0" w:lineRule="auto" w:line="276"/>
        <w:ind w:left="465" w:hanging="360"/>
        <w:jc w:val="both"/>
        <w:rPr/>
      </w:pPr>
      <w:r>
        <w:rPr>
          <w:rFonts w:ascii="Google Sans Text" w:cs="Google Sans Text" w:eastAsia="Google Sans Text" w:hAnsi="Google Sans Text"/>
          <w:b/>
          <w:color w:val="1f1f1f"/>
          <w:sz w:val="21"/>
          <w:szCs w:val="21"/>
        </w:rPr>
        <w:t>Haddad, C., &amp; Hornuf, L.</w:t>
      </w:r>
      <w:r>
        <w:rPr>
          <w:rFonts w:ascii="Google Sans Text" w:cs="Google Sans Text" w:eastAsia="Google Sans Text" w:hAnsi="Google Sans Text"/>
          <w:color w:val="1f1f1f"/>
          <w:sz w:val="21"/>
          <w:szCs w:val="21"/>
        </w:rPr>
        <w:t xml:space="preserve"> (2019). </w:t>
      </w:r>
      <w:r>
        <w:rPr>
          <w:rFonts w:ascii="Google Sans Text" w:cs="Google Sans Text" w:eastAsia="Google Sans Text" w:hAnsi="Google Sans Text"/>
          <w:i/>
          <w:color w:val="1f1f1f"/>
          <w:sz w:val="21"/>
          <w:szCs w:val="21"/>
        </w:rPr>
        <w:t>"The Emergence of the Fintech Era: Determinants and Characteristics."</w:t>
      </w:r>
      <w:r>
        <w:rPr>
          <w:rFonts w:ascii="Google Sans Text" w:cs="Google Sans Text" w:eastAsia="Google Sans Text" w:hAnsi="Google Sans Text"/>
          <w:color w:val="1f1f1f"/>
          <w:sz w:val="21"/>
          <w:szCs w:val="21"/>
        </w:rPr>
        <w:t xml:space="preserve"> Journal of Business Research.</w:t>
      </w:r>
    </w:p>
    <w:p>
      <w:pPr>
        <w:pStyle w:val="style0"/>
        <w:widowControl w:val="false"/>
        <w:numPr>
          <w:ilvl w:val="0"/>
          <w:numId w:val="5"/>
        </w:numPr>
        <w:pBdr>
          <w:left w:val="nil"/>
          <w:right w:val="nil"/>
          <w:top w:val="nil"/>
          <w:bottom w:val="nil"/>
          <w:between w:val="nil"/>
        </w:pBdr>
        <w:shd w:val="clear" w:color="auto" w:fill="auto"/>
        <w:spacing w:before="0" w:after="0" w:lineRule="auto" w:line="276"/>
        <w:ind w:left="465" w:hanging="360"/>
        <w:jc w:val="both"/>
        <w:rPr/>
      </w:pPr>
      <w:r>
        <w:rPr>
          <w:rFonts w:ascii="Google Sans Text" w:cs="Google Sans Text" w:eastAsia="Google Sans Text" w:hAnsi="Google Sans Text"/>
          <w:b/>
          <w:color w:val="1f1f1f"/>
          <w:sz w:val="21"/>
          <w:szCs w:val="21"/>
        </w:rPr>
        <w:t>Muryany, S., et al.</w:t>
      </w:r>
      <w:r>
        <w:rPr>
          <w:rFonts w:ascii="Google Sans Text" w:cs="Google Sans Text" w:eastAsia="Google Sans Text" w:hAnsi="Google Sans Text"/>
          <w:color w:val="1f1f1f"/>
          <w:sz w:val="21"/>
          <w:szCs w:val="21"/>
        </w:rPr>
        <w:t xml:space="preserve"> (2022). </w:t>
      </w:r>
      <w:r>
        <w:rPr>
          <w:rFonts w:ascii="Google Sans Text" w:cs="Google Sans Text" w:eastAsia="Google Sans Text" w:hAnsi="Google Sans Text"/>
          <w:i/>
          <w:color w:val="1f1f1f"/>
          <w:sz w:val="21"/>
          <w:szCs w:val="21"/>
        </w:rPr>
        <w:t>"Governance and Risk Management in Islamic Fintech."</w:t>
      </w:r>
      <w:r>
        <w:rPr>
          <w:rFonts w:ascii="Google Sans Text" w:cs="Google Sans Text" w:eastAsia="Google Sans Text" w:hAnsi="Google Sans Text"/>
          <w:color w:val="1f1f1f"/>
          <w:sz w:val="21"/>
          <w:szCs w:val="21"/>
        </w:rPr>
        <w:t xml:space="preserve"> Journal of Islamic Monetary Economics and Finance.</w:t>
      </w:r>
    </w:p>
    <w:p>
      <w:pPr>
        <w:pStyle w:val="style0"/>
        <w:widowControl w:val="false"/>
        <w:numPr>
          <w:ilvl w:val="0"/>
          <w:numId w:val="5"/>
        </w:numPr>
        <w:pBdr>
          <w:left w:val="nil"/>
          <w:right w:val="nil"/>
          <w:top w:val="nil"/>
          <w:bottom w:val="nil"/>
          <w:between w:val="nil"/>
        </w:pBdr>
        <w:shd w:val="clear" w:color="auto" w:fill="auto"/>
        <w:spacing w:before="0" w:after="120" w:lineRule="auto" w:line="276"/>
        <w:ind w:left="465" w:hanging="360"/>
        <w:jc w:val="both"/>
        <w:rPr/>
      </w:pPr>
      <w:r>
        <w:rPr>
          <w:rFonts w:ascii="Google Sans Text" w:cs="Google Sans Text" w:eastAsia="Google Sans Text" w:hAnsi="Google Sans Text"/>
          <w:b/>
          <w:color w:val="1f1f1f"/>
          <w:sz w:val="21"/>
          <w:szCs w:val="21"/>
        </w:rPr>
        <w:t>Securities Commission Malaysia.</w:t>
      </w:r>
      <w:r>
        <w:rPr>
          <w:rFonts w:ascii="Google Sans Text" w:cs="Google Sans Text" w:eastAsia="Google Sans Text" w:hAnsi="Google Sans Text"/>
          <w:color w:val="1f1f1f"/>
          <w:sz w:val="21"/>
          <w:szCs w:val="21"/>
        </w:rPr>
        <w:t xml:space="preserve"> (2023). </w:t>
      </w:r>
      <w:r>
        <w:rPr>
          <w:rFonts w:ascii="Google Sans Text" w:cs="Google Sans Text" w:eastAsia="Google Sans Text" w:hAnsi="Google Sans Text"/>
          <w:i/>
          <w:color w:val="1f1f1f"/>
          <w:sz w:val="21"/>
          <w:szCs w:val="21"/>
        </w:rPr>
        <w:t>Framework for Recognized Market Operators: P2P Financing.</w:t>
      </w:r>
      <w:r>
        <w:rPr>
          <w:rFonts w:ascii="Google Sans Text" w:cs="Google Sans Text" w:eastAsia="Google Sans Text" w:hAnsi="Google Sans Text"/>
          <w:color w:val="1f1f1f"/>
          <w:sz w:val="21"/>
          <w:szCs w:val="21"/>
        </w:rPr>
        <w:t xml:space="preserve"> Kuala Lumpur.</w:t>
      </w:r>
    </w:p>
    <w:p>
      <w:pPr>
        <w:pStyle w:val="style0"/>
        <w:widowControl w:val="false"/>
        <w:pBdr>
          <w:left w:val="nil"/>
          <w:right w:val="nil"/>
          <w:top w:val="nil"/>
          <w:bottom w:val="nil"/>
          <w:between w:val="nil"/>
        </w:pBdr>
        <w:shd w:val="clear" w:color="auto" w:fill="auto"/>
        <w:spacing w:after="240" w:lineRule="auto" w:line="276"/>
        <w:jc w:val="both"/>
        <w:rPr>
          <w:rFonts w:ascii="Google Sans Text" w:cs="Google Sans Text" w:eastAsia="Google Sans Text" w:hAnsi="Google Sans Text"/>
          <w:color w:val="1f1f1f"/>
          <w:sz w:val="21"/>
          <w:szCs w:val="21"/>
        </w:rPr>
      </w:pPr>
    </w:p>
    <w:sectPr>
      <w:type w:val="nextPage"/>
      <w:pgSz w:w="12240" w:h="15840" w:orient="portrait"/>
      <w:pgMar w:top="1440" w:right="1440" w:bottom="1440" w:left="1440" w:header="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1">
    <w:nsid w:val="00000001"/>
    <w:multiLevelType w:val="multilevel"/>
    <w:tmpl w:val="FFFFFFFF"/>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2">
    <w:nsid w:val="00000002"/>
    <w:multiLevelType w:val="multilevel"/>
    <w:tmpl w:val="FFFFFFFF"/>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3">
    <w:nsid w:val="00000003"/>
    <w:multiLevelType w:val="multilevel"/>
    <w:tmpl w:val="FFFFFFFF"/>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4">
    <w:nsid w:val="00000004"/>
    <w:multiLevelType w:val="multilevel"/>
    <w:tmpl w:val="FFFFFFFF"/>
    <w:lvl w:ilvl="0">
      <w:start w:val="1"/>
      <w:numFmt w:val="bullet"/>
      <w:lvlText w:val="●"/>
      <w:lvlJc w:val="left"/>
      <w:pPr>
        <w:ind w:left="465"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abstractNum w:abstractNumId="5">
    <w:nsid w:val="00000005"/>
    <w:multiLevelType w:val="multilevel"/>
    <w:tmpl w:val="FFFFFFFF"/>
    <w:lvl w:ilvl="0">
      <w:start w:val="1"/>
      <w:numFmt w:val="decimal"/>
      <w:lvlText w:val="%1."/>
      <w:lvlJc w:val="left"/>
      <w:pPr>
        <w:ind w:left="480" w:hanging="360"/>
      </w:pPr>
      <w:rPr>
        <w:rFonts w:ascii="Arial" w:cs="Arial" w:eastAsia="Arial" w:hAnsi="Arial"/>
        <w:b w:val="false"/>
        <w:i w:val="false"/>
        <w:smallCaps w:val="false"/>
        <w:color w:val="000000"/>
        <w:sz w:val="22"/>
        <w:szCs w:val="22"/>
        <w:u w:val="none"/>
        <w:shd w:val="clear" w:color="auto" w:fill="auto"/>
        <w:vertAlign w:val="baseline"/>
      </w:rPr>
    </w:lvl>
    <w:lvl w:ilvl="1">
      <w:start w:val="1"/>
      <w:numFmt w:val="bullet"/>
      <w:lvlText w:val="○"/>
      <w:lvlJc w:val="left"/>
      <w:pPr>
        <w:ind w:left="1440" w:hanging="360"/>
      </w:pPr>
      <w:rPr>
        <w:rFonts w:ascii="Arial" w:cs="Arial" w:eastAsia="Arial" w:hAnsi="Arial"/>
        <w:b w:val="false"/>
        <w:i w:val="false"/>
        <w:smallCaps w:val="false"/>
        <w:color w:val="000000"/>
        <w:sz w:val="22"/>
        <w:szCs w:val="22"/>
        <w:u w:val="none"/>
        <w:shd w:val="clear" w:color="auto" w:fill="auto"/>
        <w:vertAlign w:val="baseline"/>
      </w:rPr>
    </w:lvl>
    <w:lvl w:ilvl="2">
      <w:start w:val="1"/>
      <w:numFmt w:val="bullet"/>
      <w:lvlText w:val="■"/>
      <w:lvlJc w:val="left"/>
      <w:pPr>
        <w:ind w:left="2160" w:hanging="360"/>
      </w:pPr>
      <w:rPr>
        <w:rFonts w:ascii="Arial" w:cs="Arial" w:eastAsia="Arial" w:hAnsi="Arial"/>
        <w:b w:val="false"/>
        <w:i w:val="false"/>
        <w:smallCaps w:val="false"/>
        <w:color w:val="000000"/>
        <w:sz w:val="22"/>
        <w:szCs w:val="22"/>
        <w:u w:val="none"/>
        <w:shd w:val="clear" w:color="auto" w:fill="auto"/>
        <w:vertAlign w:val="baseline"/>
      </w:rPr>
    </w:lvl>
    <w:lvl w:ilvl="3">
      <w:start w:val="1"/>
      <w:numFmt w:val="bullet"/>
      <w:lvlText w:val="■"/>
      <w:lvlJc w:val="left"/>
      <w:pPr>
        <w:ind w:left="2880" w:hanging="360"/>
      </w:pPr>
      <w:rPr>
        <w:rFonts w:ascii="Arial" w:cs="Arial" w:eastAsia="Arial" w:hAnsi="Arial"/>
        <w:b w:val="false"/>
        <w:i w:val="false"/>
        <w:smallCaps w:val="false"/>
        <w:color w:val="000000"/>
        <w:sz w:val="22"/>
        <w:szCs w:val="22"/>
        <w:u w:val="none"/>
        <w:shd w:val="clear" w:color="auto" w:fill="auto"/>
        <w:vertAlign w:val="baseline"/>
      </w:rPr>
    </w:lvl>
    <w:lvl w:ilvl="4">
      <w:start w:val="1"/>
      <w:numFmt w:val="bullet"/>
      <w:lvlText w:val="■"/>
      <w:lvlJc w:val="left"/>
      <w:pPr>
        <w:ind w:left="3600" w:hanging="360"/>
      </w:pPr>
      <w:rPr>
        <w:rFonts w:ascii="Arial" w:cs="Arial" w:eastAsia="Arial" w:hAnsi="Arial"/>
        <w:b w:val="false"/>
        <w:i w:val="false"/>
        <w:smallCaps w:val="false"/>
        <w:color w:val="000000"/>
        <w:sz w:val="22"/>
        <w:szCs w:val="22"/>
        <w:u w:val="none"/>
        <w:shd w:val="clear" w:color="auto" w:fill="auto"/>
        <w:vertAlign w:val="baseline"/>
      </w:rPr>
    </w:lvl>
    <w:lvl w:ilvl="5">
      <w:start w:val="1"/>
      <w:numFmt w:val="bullet"/>
      <w:lvlText w:val="■"/>
      <w:lvlJc w:val="left"/>
      <w:pPr>
        <w:ind w:left="4320" w:hanging="360"/>
      </w:pPr>
      <w:rPr>
        <w:rFonts w:ascii="Arial" w:cs="Arial" w:eastAsia="Arial" w:hAnsi="Arial"/>
        <w:b w:val="false"/>
        <w:i w:val="false"/>
        <w:smallCaps w:val="false"/>
        <w:color w:val="000000"/>
        <w:sz w:val="22"/>
        <w:szCs w:val="22"/>
        <w:u w:val="none"/>
        <w:shd w:val="clear" w:color="auto" w:fill="auto"/>
        <w:vertAlign w:val="baseline"/>
      </w:rPr>
    </w:lvl>
    <w:lvl w:ilvl="6">
      <w:start w:val="1"/>
      <w:numFmt w:val="bullet"/>
      <w:lvlText w:val="■"/>
      <w:lvlJc w:val="left"/>
      <w:pPr>
        <w:ind w:left="5040" w:hanging="360"/>
      </w:pPr>
      <w:rPr>
        <w:rFonts w:ascii="Arial" w:cs="Arial" w:eastAsia="Arial" w:hAnsi="Arial"/>
        <w:b w:val="false"/>
        <w:i w:val="false"/>
        <w:smallCaps w:val="false"/>
        <w:color w:val="000000"/>
        <w:sz w:val="22"/>
        <w:szCs w:val="22"/>
        <w:u w:val="none"/>
        <w:shd w:val="clear" w:color="auto" w:fill="auto"/>
        <w:vertAlign w:val="baseline"/>
      </w:rPr>
    </w:lvl>
    <w:lvl w:ilvl="7">
      <w:start w:val="1"/>
      <w:numFmt w:val="bullet"/>
      <w:lvlText w:val="■"/>
      <w:lvlJc w:val="left"/>
      <w:pPr>
        <w:ind w:left="5760" w:hanging="360"/>
      </w:pPr>
      <w:rPr>
        <w:rFonts w:ascii="Arial" w:cs="Arial" w:eastAsia="Arial" w:hAnsi="Arial"/>
        <w:b w:val="false"/>
        <w:i w:val="false"/>
        <w:smallCaps w:val="false"/>
        <w:color w:val="000000"/>
        <w:sz w:val="22"/>
        <w:szCs w:val="22"/>
        <w:u w:val="none"/>
        <w:shd w:val="clear" w:color="auto" w:fill="auto"/>
        <w:vertAlign w:val="baseline"/>
      </w:rPr>
    </w:lvl>
    <w:lvl w:ilvl="8">
      <w:start w:val="1"/>
      <w:numFmt w:val="bullet"/>
      <w:lvlText w:val="■"/>
      <w:lvlJc w:val="left"/>
      <w:pPr>
        <w:ind w:left="6480" w:hanging="360"/>
      </w:pPr>
      <w:rPr>
        <w:rFonts w:ascii="Arial" w:cs="Arial" w:eastAsia="Arial" w:hAnsi="Arial"/>
        <w:b w:val="false"/>
        <w:i w:val="false"/>
        <w:smallCaps w:val="false"/>
        <w:color w:val="000000"/>
        <w:sz w:val="22"/>
        <w:szCs w:val="22"/>
        <w:u w:val="none"/>
        <w:shd w:val="clear" w:color="auto" w:fill="auto"/>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sz w:val="24"/>
        <w:szCs w:val="24"/>
      </w:rPr>
    </w:rPrDefault>
    <w:pPrDefault>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val="false"/>
      <w:keepLines w:val="false"/>
      <w:pageBreakBefore w:val="false"/>
      <w:widowControl w:val="false"/>
      <w:pBdr>
        <w:left w:val="nil"/>
        <w:right w:val="nil"/>
        <w:top w:val="nil"/>
        <w:bottom w:val="nil"/>
        <w:between w:val="nil"/>
      </w:pBdr>
      <w:shd w:val="clear" w:color="auto" w:fill="auto"/>
      <w:spacing w:before="240" w:after="240" w:lineRule="auto" w:line="240"/>
      <w:ind w:left="0" w:right="0" w:firstLine="0"/>
      <w:jc w:val="left"/>
    </w:pPr>
    <w:rPr>
      <w:rFonts w:ascii="Arial" w:cs="Arial" w:eastAsia="Arial" w:hAnsi="Arial"/>
      <w:b/>
      <w:i w:val="false"/>
      <w:smallCaps w:val="false"/>
      <w:color w:val="000000"/>
      <w:sz w:val="48"/>
      <w:szCs w:val="48"/>
      <w:u w:val="none"/>
      <w:shd w:val="clear" w:color="auto" w:fill="auto"/>
      <w:vertAlign w:val="baseline"/>
    </w:rPr>
  </w:style>
  <w:style w:type="paragraph" w:styleId="style2">
    <w:name w:val="heading 2"/>
    <w:basedOn w:val="style4098"/>
    <w:next w:val="style4098"/>
    <w:pPr>
      <w:keepNext/>
      <w:keepLines/>
      <w:pageBreakBefore w:val="false"/>
      <w:spacing w:before="360" w:after="80"/>
    </w:pPr>
    <w:rPr>
      <w:b/>
      <w:sz w:val="36"/>
      <w:szCs w:val="36"/>
    </w:rPr>
  </w:style>
  <w:style w:type="paragraph" w:styleId="style3">
    <w:name w:val="heading 3"/>
    <w:basedOn w:val="style4098"/>
    <w:next w:val="style4098"/>
    <w:pPr>
      <w:keepNext w:val="false"/>
      <w:keepLines w:val="false"/>
      <w:pageBreakBefore w:val="false"/>
      <w:widowControl w:val="false"/>
      <w:pBdr>
        <w:left w:val="nil"/>
        <w:right w:val="nil"/>
        <w:top w:val="nil"/>
        <w:bottom w:val="nil"/>
        <w:between w:val="nil"/>
      </w:pBdr>
      <w:shd w:val="clear" w:color="auto" w:fill="auto"/>
      <w:spacing w:before="240" w:after="240" w:lineRule="auto" w:line="240"/>
      <w:ind w:left="0" w:right="0" w:firstLine="0"/>
      <w:jc w:val="left"/>
    </w:pPr>
    <w:rPr>
      <w:rFonts w:ascii="Arial" w:cs="Arial" w:eastAsia="Arial" w:hAnsi="Arial"/>
      <w:b/>
      <w:i w:val="false"/>
      <w:smallCaps w:val="false"/>
      <w:color w:val="000000"/>
      <w:sz w:val="28"/>
      <w:szCs w:val="28"/>
      <w:u w:val="none"/>
      <w:shd w:val="clear" w:color="auto" w:fill="auto"/>
      <w:vertAlign w:val="baseline"/>
    </w:rPr>
  </w:style>
  <w:style w:type="paragraph" w:styleId="style4">
    <w:name w:val="heading 4"/>
    <w:basedOn w:val="style4098"/>
    <w:next w:val="style4098"/>
    <w:pPr>
      <w:keepNext/>
      <w:keepLines/>
      <w:pageBreakBefore w:val="false"/>
      <w:spacing w:before="240" w:after="40"/>
    </w:pPr>
    <w:rPr>
      <w:b/>
      <w:sz w:val="24"/>
      <w:szCs w:val="24"/>
    </w:rPr>
  </w:style>
  <w:style w:type="paragraph" w:styleId="style5">
    <w:name w:val="heading 5"/>
    <w:basedOn w:val="style4098"/>
    <w:next w:val="style4098"/>
    <w:pPr>
      <w:keepNext/>
      <w:keepLines/>
      <w:pageBreakBefore w:val="false"/>
      <w:spacing w:before="220" w:after="40"/>
    </w:pPr>
    <w:rPr>
      <w:b/>
      <w:sz w:val="22"/>
      <w:szCs w:val="22"/>
    </w:rPr>
  </w:style>
  <w:style w:type="paragraph" w:styleId="style6">
    <w:name w:val="heading 6"/>
    <w:basedOn w:val="style4098"/>
    <w:next w:val="style4098"/>
    <w:pPr>
      <w:keepNext/>
      <w:keepLines/>
      <w:pageBreakBefore w:val="false"/>
      <w:spacing w:before="200" w:after="40"/>
    </w:pPr>
    <w:rPr>
      <w:b/>
      <w:sz w:val="20"/>
      <w:szCs w:val="20"/>
    </w:rPr>
  </w:style>
  <w:style w:type="paragraph" w:styleId="style62">
    <w:name w:val="Title"/>
    <w:basedOn w:val="style4098"/>
    <w:next w:val="style4098"/>
    <w:pPr>
      <w:keepNext/>
      <w:keepLines/>
      <w:pageBreakBefore w:val="false"/>
      <w:spacing w:before="480" w:after="120"/>
    </w:pPr>
    <w:rPr>
      <w:b/>
      <w:sz w:val="72"/>
      <w:szCs w:val="72"/>
    </w:rPr>
  </w:style>
  <w:style w:type="paragraph" w:styleId="style74">
    <w:name w:val="Subtitle"/>
    <w:basedOn w:val="style4098"/>
    <w:next w:val="style4098"/>
    <w:pPr>
      <w:keepNext/>
      <w:keepLines/>
      <w:pageBreakBefore w:val="false"/>
      <w:spacing w:before="360" w:after="80"/>
    </w:pPr>
    <w:rPr>
      <w:rFonts w:ascii="Georgia" w:cs="Georgia" w:eastAsia="Georgia" w:hAnsi="Georgia"/>
      <w:i/>
      <w:color w:val="666666"/>
      <w:sz w:val="48"/>
      <w:szCs w:val="48"/>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1957</Words>
  <Characters>13110</Characters>
  <Application>WPS Office</Application>
  <Paragraphs>96</Paragraphs>
  <CharactersWithSpaces>14980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2026-02-14T11:42:58Z</dcterms:created>
  <dc:creator>WPS Office</dc:creator>
  <lastModifiedBy>24091RPADG</lastModifiedBy>
  <dcterms:modified xsi:type="dcterms:W3CDTF">2026-02-14T11:42:58Z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6e273f06211f4b13a4f5438b1b5bd8c1</vt:lpwstr>
  </property>
</Properties>
</file>