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pBdr>
          <w:left w:val="nil"/>
          <w:right w:val="nil"/>
          <w:top w:val="nil"/>
          <w:bottom w:val="nil"/>
          <w:between w:val="nil"/>
        </w:pBdr>
        <w:shd w:val="clear" w:color="auto" w:fill="auto"/>
        <w:spacing w:before="120" w:after="240" w:lineRule="auto" w:line="276"/>
        <w:jc w:val="center"/>
        <w:rPr>
          <w:rFonts w:ascii="Google Sans Text" w:cs="Google Sans Text" w:eastAsia="Google Sans Text" w:hAnsi="Google Sans Text"/>
          <w:color w:val="1f1f1f"/>
        </w:rPr>
      </w:pPr>
    </w:p>
    <w:p>
      <w:pPr>
        <w:pStyle w:val="style0"/>
        <w:pBdr>
          <w:left w:val="nil"/>
          <w:right w:val="nil"/>
          <w:top w:val="nil"/>
          <w:bottom w:val="nil"/>
          <w:between w:val="nil"/>
        </w:pBdr>
        <w:shd w:val="clear" w:color="auto" w:fill="auto"/>
        <w:spacing w:after="240" w:lineRule="auto" w:line="276"/>
        <w:jc w:val="center"/>
        <w:rPr>
          <w:rFonts w:ascii="Google Sans Text" w:cs="Google Sans Text" w:eastAsia="Google Sans Text" w:hAnsi="Google Sans Text"/>
          <w:b/>
          <w:bCs/>
          <w:color w:val="1f1f1f"/>
        </w:rPr>
      </w:pPr>
      <w:r>
        <w:rPr>
          <w:rFonts w:ascii="Google Sans Text" w:cs="Google Sans Text" w:eastAsia="Google Sans Text" w:hAnsi="Google Sans Text"/>
          <w:b/>
          <w:bCs/>
          <w:color w:val="1f1f1f"/>
        </w:rPr>
        <w:t>TOKENISASI DI PASAR REAL ESTAT: ANALISIS MULTIDISIPLIN TERHADAP KEPASTIAN HUKUM, EFISIENSI EKONOMI, DAN IMPLIKASI PAJAK</w:t>
      </w:r>
    </w:p>
    <w:p>
      <w:pPr>
        <w:pStyle w:val="style0"/>
        <w:pBdr>
          <w:left w:val="nil"/>
          <w:right w:val="nil"/>
          <w:top w:val="nil"/>
          <w:bottom w:val="nil"/>
          <w:between w:val="nil"/>
        </w:pBdr>
        <w:shd w:val="clear" w:color="auto" w:fill="auto"/>
        <w:jc w:val="center"/>
        <w:rPr>
          <w:rFonts w:ascii="Google Sans Text" w:cs="Google Sans Text" w:eastAsia="Google Sans Text" w:hAnsi="Google Sans Text"/>
          <w:b/>
          <w:bCs/>
          <w:color w:val="1f1f1f"/>
        </w:rPr>
      </w:pPr>
    </w:p>
    <w:p>
      <w:pPr>
        <w:pStyle w:val="style0"/>
        <w:pBdr>
          <w:left w:val="nil"/>
          <w:right w:val="nil"/>
          <w:top w:val="nil"/>
          <w:bottom w:val="nil"/>
          <w:between w:val="nil"/>
        </w:pBdr>
        <w:shd w:val="clear" w:color="auto" w:fill="auto"/>
        <w:spacing w:after="240" w:lineRule="auto" w:line="276"/>
        <w:jc w:val="center"/>
        <w:rPr>
          <w:rFonts w:ascii="Google Sans Text" w:cs="Google Sans Text" w:eastAsia="Google Sans Text" w:hAnsi="Google Sans Text"/>
          <w:color w:val="1f1f1f"/>
        </w:rPr>
      </w:pPr>
      <w:r>
        <w:rPr>
          <w:rFonts w:ascii="Google Sans Text" w:cs="Google Sans Text" w:eastAsia="Google Sans Text" w:hAnsi="Google Sans Text"/>
          <w:b/>
          <w:bCs/>
          <w:color w:val="1f1f1f"/>
        </w:rPr>
        <w:t>Penulis:</w:t>
      </w:r>
      <w:r>
        <w:rPr>
          <w:rFonts w:ascii="Google Sans Text" w:cs="Google Sans Text" w:eastAsia="Google Sans Text" w:hAnsi="Google Sans Text"/>
          <w:color w:val="1f1f1f"/>
        </w:rPr>
        <w:t xml:space="preserve"> Dr. Bahori Ahoen, M.E., M.H.  Pendiri &amp; Pimpinan, BA Law Office | Dosen di Universitas Tazkia dan Universitas Mpu Tantular | Pendiri, Bahori Ahoen Institute</w:t>
      </w:r>
    </w:p>
    <w:p>
      <w:pPr>
        <w:pStyle w:val="style0"/>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rPr>
      </w:pPr>
    </w:p>
    <w:p>
      <w:pPr>
        <w:pStyle w:val="style0"/>
        <w:pBdr>
          <w:left w:val="nil"/>
          <w:right w:val="nil"/>
          <w:top w:val="nil"/>
          <w:bottom w:val="nil"/>
          <w:between w:val="nil"/>
        </w:pBdr>
        <w:shd w:val="clear" w:color="auto" w:fill="auto"/>
        <w:jc w:val="both"/>
        <w:rPr>
          <w:rFonts w:ascii="Google Sans Text" w:cs="Google Sans Text" w:eastAsia="Google Sans Text" w:hAnsi="Google Sans Text"/>
          <w:color w:val="444746"/>
        </w:rPr>
      </w:pPr>
    </w:p>
    <w:p>
      <w:pPr>
        <w:pStyle w:val="style3"/>
        <w:pBdr>
          <w:left w:val="nil"/>
          <w:right w:val="nil"/>
          <w:top w:val="nil"/>
          <w:bottom w:val="nil"/>
          <w:between w:val="nil"/>
        </w:pBdr>
        <w:shd w:val="clear" w:color="auto" w:fill="auto"/>
        <w:spacing w:before="0" w:after="120" w:lineRule="auto" w:line="276"/>
        <w:jc w:val="center"/>
        <w:rPr>
          <w:rFonts w:ascii="Google Sans Text" w:cs="Google Sans Text" w:eastAsia="Google Sans Text" w:hAnsi="Google Sans Text"/>
          <w:b/>
          <w:bCs/>
          <w:i w:val="false"/>
          <w:iCs w:val="false"/>
          <w:color w:val="1f1f1f"/>
          <w:sz w:val="28"/>
          <w:szCs w:val="28"/>
        </w:rPr>
      </w:pPr>
      <w:r>
        <w:rPr>
          <w:rFonts w:ascii="Google Sans Text" w:cs="Google Sans Text" w:eastAsia="Google Sans Text" w:hAnsi="Google Sans Text"/>
          <w:b/>
          <w:bCs/>
          <w:i w:val="false"/>
          <w:iCs w:val="false"/>
          <w:color w:val="1f1f1f"/>
          <w:sz w:val="28"/>
          <w:szCs w:val="28"/>
        </w:rPr>
        <w:t>ABSTRAK</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444746"/>
        </w:rPr>
      </w:pPr>
      <w:r>
        <w:rPr>
          <w:rFonts w:ascii="Google Sans Text" w:cs="Google Sans Text" w:eastAsia="Google Sans Text" w:hAnsi="Google Sans Text"/>
          <w:color w:val="1f1f1f"/>
        </w:rPr>
        <w:t xml:space="preserve">Transformasi digital real estat melalui tokenisasi berbasis blockchain telah mencapai titik krusial di Indonesia dengan kelulusan PT Teknologi Gotong Royong (GORO) dari </w:t>
      </w:r>
      <w:r>
        <w:rPr>
          <w:rFonts w:ascii="Google Sans Text" w:cs="Google Sans Text" w:eastAsia="Google Sans Text" w:hAnsi="Google Sans Text"/>
          <w:i/>
          <w:iCs/>
          <w:color w:val="1f1f1f"/>
        </w:rPr>
        <w:t>Regulatory Sandbox</w:t>
      </w:r>
      <w:r>
        <w:rPr>
          <w:rFonts w:ascii="Google Sans Text" w:cs="Google Sans Text" w:eastAsia="Google Sans Text" w:hAnsi="Google Sans Text"/>
          <w:color w:val="1f1f1f"/>
        </w:rPr>
        <w:t xml:space="preserve"> OJK pada November 2025. Terlepas dari pencapaian finansial ini, terdapat "kekosongan regulasi" yang signifikan pada persinggungan antara aset keuangan digital dan hukum agraria konvensional. Studi ini menggunakan kerangka kerja multidisiplin untuk mengevaluasi dimensi hukum, ekonomi, dan fiskal dari tokenisasi properti. Melalui studi kasus GORO dan analisis POJK No. 3/2024, penelitian ini mengidentifikasi risiko sistemik dalam kepemilikan fraksional dan inefisiensi perpajakan transaksi mikro saat ini. Makalah ini mengusulkan sebuah "Model Hukum-Fiskal Hibrida" orisinal yang menggabungkan Perjanjian Pengikatan Jual Beli Kolektif (PPJB Kolektif) dan Hak Tanggungan Wajib untuk menjembatani kesenjangan antara token digital dan sertifikat tanah legal. Temuan menunjukkan bahwa model ini memberikan mekanisme yang kuat untuk perlindungan investor sekaligus memastikan stabilitas pendapatan negara melalui konsolidasi pajak agregat.</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444746"/>
        </w:rPr>
      </w:pP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rPr>
      </w:pPr>
      <w:r>
        <w:rPr>
          <w:rFonts w:ascii="Google Sans Text" w:cs="Google Sans Text" w:eastAsia="Google Sans Text" w:hAnsi="Google Sans Text"/>
          <w:b/>
          <w:bCs/>
          <w:color w:val="1f1f1f"/>
        </w:rPr>
        <w:t>Kata Kunci:</w:t>
      </w:r>
      <w:r>
        <w:rPr>
          <w:rFonts w:ascii="Google Sans Text" w:cs="Google Sans Text" w:eastAsia="Google Sans Text" w:hAnsi="Google Sans Text"/>
          <w:color w:val="1f1f1f"/>
        </w:rPr>
        <w:t xml:space="preserve"> Tokenisasi Properti, </w:t>
      </w:r>
      <w:r>
        <w:rPr>
          <w:rFonts w:ascii="Google Sans Text" w:cs="Google Sans Text" w:eastAsia="Google Sans Text" w:hAnsi="Google Sans Text"/>
          <w:i/>
          <w:iCs/>
          <w:color w:val="1f1f1f"/>
        </w:rPr>
        <w:t>Regulatory Sandbox</w:t>
      </w:r>
      <w:r>
        <w:rPr>
          <w:rFonts w:ascii="Google Sans Text" w:cs="Google Sans Text" w:eastAsia="Google Sans Text" w:hAnsi="Google Sans Text"/>
          <w:color w:val="1f1f1f"/>
        </w:rPr>
        <w:t xml:space="preserve">, Hak Tanggungan, Kepatuhan Pajak, Hukum Blockchain, </w:t>
      </w:r>
      <w:r>
        <w:rPr>
          <w:rFonts w:ascii="Google Sans Text" w:cs="Google Sans Text" w:eastAsia="Google Sans Text" w:hAnsi="Google Sans Text"/>
          <w:i/>
          <w:iCs/>
          <w:color w:val="1f1f1f"/>
        </w:rPr>
        <w:t>Real World Assets</w:t>
      </w:r>
      <w:r>
        <w:rPr>
          <w:rFonts w:ascii="Google Sans Text" w:cs="Google Sans Text" w:eastAsia="Google Sans Text" w:hAnsi="Google Sans Text"/>
          <w:color w:val="1f1f1f"/>
        </w:rPr>
        <w:t xml:space="preserve"> (RWA), Kepemilikan Fraksional.</w:t>
      </w:r>
    </w:p>
    <w:p>
      <w:pPr>
        <w:pStyle w:val="style0"/>
        <w:pBdr>
          <w:left w:val="nil"/>
          <w:right w:val="nil"/>
          <w:top w:val="nil"/>
          <w:bottom w:val="nil"/>
          <w:between w:val="nil"/>
        </w:pBdr>
        <w:shd w:val="clear" w:color="auto" w:fill="auto"/>
        <w:jc w:val="both"/>
        <w:rPr>
          <w:rFonts w:ascii="Google Sans Text" w:cs="Google Sans Text" w:eastAsia="Google Sans Text" w:hAnsi="Google Sans Text"/>
          <w:color w:val="1f1f1f"/>
        </w:rPr>
      </w:pPr>
    </w:p>
    <w:p>
      <w:pPr>
        <w:pStyle w:val="style3"/>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i w:val="false"/>
          <w:iCs w:val="false"/>
          <w:color w:val="1f1f1f"/>
          <w:sz w:val="28"/>
          <w:szCs w:val="28"/>
        </w:rPr>
      </w:pPr>
      <w:r>
        <w:rPr/>
        <w:pict>
          <v:rect id="1026"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bCs/>
          <w:i w:val="false"/>
          <w:iCs w:val="false"/>
          <w:color w:val="1f1f1f"/>
          <w:sz w:val="28"/>
          <w:szCs w:val="28"/>
        </w:rPr>
        <w:t>1. PENDAHULUAN</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444746"/>
        </w:rPr>
      </w:pPr>
      <w:r>
        <w:rPr>
          <w:rFonts w:ascii="Google Sans Text" w:cs="Google Sans Text" w:eastAsia="Google Sans Text" w:hAnsi="Google Sans Text"/>
          <w:color w:val="1f1f1f"/>
        </w:rPr>
        <w:t xml:space="preserve">Industri real estat global, yang secara tradisional ditandai oleh ilikuiditas dan hambatan masuk yang tinggi, sedang mengalami pergeseran paradigma melalui tokenisasi </w:t>
      </w:r>
      <w:r>
        <w:rPr>
          <w:rFonts w:ascii="Google Sans Text" w:cs="Google Sans Text" w:eastAsia="Google Sans Text" w:hAnsi="Google Sans Text"/>
          <w:i/>
          <w:iCs/>
          <w:color w:val="1f1f1f"/>
        </w:rPr>
        <w:t>Real World Asset</w:t>
      </w:r>
      <w:r>
        <w:rPr>
          <w:rFonts w:ascii="Google Sans Text" w:cs="Google Sans Text" w:eastAsia="Google Sans Text" w:hAnsi="Google Sans Text"/>
          <w:color w:val="1f1f1f"/>
        </w:rPr>
        <w:t xml:space="preserve"> (RWA). Dengan mengubah hak properti menjadi token digital pada buku besar terdistribusi (</w:t>
      </w:r>
      <w:r>
        <w:rPr>
          <w:rFonts w:ascii="Google Sans Text" w:cs="Google Sans Text" w:eastAsia="Google Sans Text" w:hAnsi="Google Sans Text"/>
          <w:i/>
          <w:iCs/>
          <w:color w:val="1f1f1f"/>
        </w:rPr>
        <w:t>distributed ledger</w:t>
      </w:r>
      <w:r>
        <w:rPr>
          <w:rFonts w:ascii="Google Sans Text" w:cs="Google Sans Text" w:eastAsia="Google Sans Text" w:hAnsi="Google Sans Text"/>
          <w:color w:val="1f1f1f"/>
        </w:rPr>
        <w:t xml:space="preserve">), tokenisasi mendemokratisasi investasi, memungkinkan adanya kepemilikan fraksional. Di Indonesia, evolusi ini bukan lagi sekadar teoritis. Otoritas Jasa Keuangan (OJK) baru-baru ini memvalidasi model bisnis PT Teknologi Gotong Royong (GORO) melalui </w:t>
      </w:r>
      <w:r>
        <w:rPr>
          <w:rFonts w:ascii="Google Sans Text" w:cs="Google Sans Text" w:eastAsia="Google Sans Text" w:hAnsi="Google Sans Text"/>
          <w:i/>
          <w:iCs/>
          <w:color w:val="1f1f1f"/>
        </w:rPr>
        <w:t>Regulatory Sandbox</w:t>
      </w:r>
      <w:r>
        <w:rPr>
          <w:rFonts w:ascii="Google Sans Text" w:cs="Google Sans Text" w:eastAsia="Google Sans Text" w:hAnsi="Google Sans Text"/>
          <w:color w:val="1f1f1f"/>
        </w:rPr>
        <w:t xml:space="preserve"> (Surat No. S-527/IK.01/2025), yang memungkinkan investasi mikro mulai dari Rp10.000.</w:t>
      </w:r>
    </w:p>
    <w:p>
      <w:pPr>
        <w:pStyle w:val="style0"/>
        <w:pBdr>
          <w:left w:val="nil"/>
          <w:right w:val="nil"/>
          <w:top w:val="nil"/>
          <w:bottom w:val="nil"/>
          <w:between w:val="nil"/>
        </w:pBdr>
        <w:shd w:val="clear" w:color="auto" w:fill="auto"/>
        <w:jc w:val="both"/>
        <w:rPr>
          <w:rFonts w:ascii="Google Sans Text" w:cs="Google Sans Text" w:eastAsia="Google Sans Text" w:hAnsi="Google Sans Text"/>
          <w:color w:val="444746"/>
        </w:rPr>
      </w:pP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444746"/>
        </w:rPr>
      </w:pPr>
      <w:r>
        <w:rPr>
          <w:rFonts w:ascii="Google Sans Text" w:cs="Google Sans Text" w:eastAsia="Google Sans Text" w:hAnsi="Google Sans Text"/>
          <w:color w:val="1f1f1f"/>
        </w:rPr>
        <w:t>Namun, adopsi teknologi finansial (</w:t>
      </w:r>
      <w:r>
        <w:rPr>
          <w:rFonts w:ascii="Google Sans Text" w:cs="Google Sans Text" w:eastAsia="Google Sans Text" w:hAnsi="Google Sans Text"/>
          <w:i/>
          <w:iCs/>
          <w:color w:val="1f1f1f"/>
        </w:rPr>
        <w:t>FinTech</w:t>
      </w:r>
      <w:r>
        <w:rPr>
          <w:rFonts w:ascii="Google Sans Text" w:cs="Google Sans Text" w:eastAsia="Google Sans Text" w:hAnsi="Google Sans Text"/>
          <w:color w:val="1f1f1f"/>
        </w:rPr>
        <w:t>) yang cepat di sektor properti telah melampaui perkembangan regulasi agraria dan fiskal. Undang-Undang Pokok Agraria (UUPA No. 5/1960) tetap berakar pada prinsip pemisahan horizontal dan kepemilikan tunggal, yang tidak mengakui token digital sebagai hak kebendaan (</w:t>
      </w:r>
      <w:r>
        <w:rPr>
          <w:rFonts w:ascii="Google Sans Text" w:cs="Google Sans Text" w:eastAsia="Google Sans Text" w:hAnsi="Google Sans Text"/>
          <w:i/>
          <w:iCs/>
          <w:color w:val="1f1f1f"/>
        </w:rPr>
        <w:t>hak kebendaan</w:t>
      </w:r>
      <w:r>
        <w:rPr>
          <w:rFonts w:ascii="Google Sans Text" w:cs="Google Sans Text" w:eastAsia="Google Sans Text" w:hAnsi="Google Sans Text"/>
          <w:color w:val="1f1f1f"/>
        </w:rPr>
        <w:t>) yang sah. Selain itu, rezim pajak yang ada, yang dirancang untuk transaksi tunggal bernilai tinggi, menghadapi "krisis efisiensi" ketika diterapkan pada ribuan transaksi mikro berfrekuensi tinggi. Studi ini bertujuan untuk memberikan peta jalan hukum dan ekonomi yang komprehensif untuk menyelaraskan domain-domain yang saling bertentangan ini.</w:t>
      </w:r>
    </w:p>
    <w:p>
      <w:pPr>
        <w:pStyle w:val="style0"/>
        <w:pBdr>
          <w:left w:val="nil"/>
          <w:right w:val="nil"/>
          <w:top w:val="nil"/>
          <w:bottom w:val="nil"/>
          <w:between w:val="nil"/>
        </w:pBdr>
        <w:shd w:val="clear" w:color="auto" w:fill="auto"/>
        <w:jc w:val="both"/>
        <w:rPr>
          <w:rFonts w:ascii="Google Sans Text" w:cs="Google Sans Text" w:eastAsia="Google Sans Text" w:hAnsi="Google Sans Text"/>
          <w:color w:val="444746"/>
        </w:rPr>
      </w:pPr>
    </w:p>
    <w:p>
      <w:pPr>
        <w:pStyle w:val="style3"/>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i w:val="false"/>
          <w:iCs w:val="false"/>
          <w:color w:val="1f1f1f"/>
          <w:sz w:val="28"/>
          <w:szCs w:val="28"/>
        </w:rPr>
      </w:pPr>
      <w:r>
        <w:rPr/>
        <w:pict>
          <v:rect id="1027"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bCs/>
          <w:i w:val="false"/>
          <w:iCs w:val="false"/>
          <w:color w:val="1f1f1f"/>
          <w:sz w:val="28"/>
          <w:szCs w:val="28"/>
        </w:rPr>
        <w:t>2. TINJAUAN PUSTAKA DAN KERANGKA TEORITIS</w:t>
      </w:r>
    </w:p>
    <w:p>
      <w:pPr>
        <w:pStyle w:val="style4"/>
        <w:pBdr>
          <w:left w:val="nil"/>
          <w:right w:val="nil"/>
          <w:top w:val="nil"/>
          <w:bottom w:val="nil"/>
          <w:between w:val="nil"/>
        </w:pBdr>
        <w:shd w:val="clear" w:color="auto" w:fill="auto"/>
        <w:spacing w:before="0" w:after="120" w:lineRule="auto" w:line="276"/>
        <w:jc w:val="both"/>
        <w:rPr>
          <w:rFonts w:ascii="Google Sans Text" w:cs="Google Sans Text" w:eastAsia="Google Sans Text" w:hAnsi="Google Sans Text"/>
          <w:b/>
          <w:bCs/>
          <w:i w:val="false"/>
          <w:iCs w:val="false"/>
          <w:color w:val="1f1f1f"/>
          <w:sz w:val="24"/>
          <w:szCs w:val="24"/>
        </w:rPr>
      </w:pPr>
      <w:r>
        <w:rPr>
          <w:rFonts w:ascii="Google Sans Text" w:cs="Google Sans Text" w:eastAsia="Google Sans Text" w:hAnsi="Google Sans Text"/>
          <w:b/>
          <w:bCs/>
          <w:i w:val="false"/>
          <w:iCs w:val="false"/>
          <w:color w:val="1f1f1f"/>
          <w:sz w:val="24"/>
          <w:szCs w:val="24"/>
        </w:rPr>
        <w:t>2.1. Teori Hak Properti di Era Digital</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444746"/>
        </w:rPr>
      </w:pPr>
      <w:r>
        <w:rPr>
          <w:rFonts w:ascii="Google Sans Text" w:cs="Google Sans Text" w:eastAsia="Google Sans Text" w:hAnsi="Google Sans Text"/>
          <w:color w:val="1f1f1f"/>
        </w:rPr>
        <w:t>Menurut Arruñada (2018), pendaftaran tanah berfungsi sebagai mekanisme untuk mengurangi biaya transaksi dengan memberikan "publisitas" pada hak properti. Tokenisasi, meskipun menawarkan "kembaran digital" dari suatu properti, menantang teori tradisional "bundel hak" (</w:t>
      </w:r>
      <w:r>
        <w:rPr>
          <w:rFonts w:ascii="Google Sans Text" w:cs="Google Sans Text" w:eastAsia="Google Sans Text" w:hAnsi="Google Sans Text"/>
          <w:i/>
          <w:iCs/>
          <w:color w:val="1f1f1f"/>
        </w:rPr>
        <w:t>bundle of rights</w:t>
      </w:r>
      <w:r>
        <w:rPr>
          <w:rFonts w:ascii="Google Sans Text" w:cs="Google Sans Text" w:eastAsia="Google Sans Text" w:hAnsi="Google Sans Text"/>
          <w:color w:val="1f1f1f"/>
        </w:rPr>
        <w:t>).</w:t>
      </w:r>
    </w:p>
    <w:p>
      <w:pPr>
        <w:pStyle w:val="style0"/>
        <w:pBdr>
          <w:left w:val="nil"/>
          <w:right w:val="nil"/>
          <w:top w:val="nil"/>
          <w:bottom w:val="nil"/>
          <w:between w:val="nil"/>
        </w:pBdr>
        <w:shd w:val="clear" w:color="auto" w:fill="auto"/>
        <w:jc w:val="both"/>
        <w:rPr>
          <w:rFonts w:ascii="Google Sans Text" w:cs="Google Sans Text" w:eastAsia="Google Sans Text" w:hAnsi="Google Sans Text"/>
          <w:color w:val="444746"/>
        </w:rPr>
      </w:pPr>
    </w:p>
    <w:p>
      <w:pPr>
        <w:pStyle w:val="style4"/>
        <w:pBdr>
          <w:left w:val="nil"/>
          <w:right w:val="nil"/>
          <w:top w:val="nil"/>
          <w:bottom w:val="nil"/>
          <w:between w:val="nil"/>
        </w:pBdr>
        <w:shd w:val="clear" w:color="auto" w:fill="auto"/>
        <w:spacing w:before="0" w:after="120" w:lineRule="auto" w:line="276"/>
        <w:jc w:val="both"/>
        <w:rPr>
          <w:rFonts w:ascii="Google Sans Text" w:cs="Google Sans Text" w:eastAsia="Google Sans Text" w:hAnsi="Google Sans Text"/>
          <w:b/>
          <w:bCs/>
          <w:i w:val="false"/>
          <w:iCs w:val="false"/>
          <w:color w:val="1f1f1f"/>
          <w:sz w:val="24"/>
          <w:szCs w:val="24"/>
        </w:rPr>
      </w:pPr>
      <w:r>
        <w:rPr>
          <w:rFonts w:ascii="Google Sans Text" w:cs="Google Sans Text" w:eastAsia="Google Sans Text" w:hAnsi="Google Sans Text"/>
          <w:b/>
          <w:bCs/>
          <w:i w:val="false"/>
          <w:iCs w:val="false"/>
          <w:color w:val="1f1f1f"/>
          <w:sz w:val="24"/>
          <w:szCs w:val="24"/>
        </w:rPr>
        <w:t>2.2. Analisis Ekonomi atas Hukum (</w:t>
      </w:r>
      <w:r>
        <w:rPr>
          <w:rFonts w:ascii="Google Sans Text" w:cs="Google Sans Text" w:eastAsia="Google Sans Text" w:hAnsi="Google Sans Text"/>
          <w:b/>
          <w:bCs/>
          <w:i/>
          <w:iCs/>
          <w:color w:val="1f1f1f"/>
          <w:sz w:val="24"/>
          <w:szCs w:val="24"/>
        </w:rPr>
        <w:t>Economic Analysis of Law</w:t>
      </w:r>
      <w:r>
        <w:rPr>
          <w:rFonts w:ascii="Google Sans Text" w:cs="Google Sans Text" w:eastAsia="Google Sans Text" w:hAnsi="Google Sans Text"/>
          <w:b/>
          <w:bCs/>
          <w:i w:val="false"/>
          <w:iCs w:val="false"/>
          <w:color w:val="1f1f1f"/>
          <w:sz w:val="24"/>
          <w:szCs w:val="24"/>
        </w:rPr>
        <w:t xml:space="preserve"> - EAL)</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444746"/>
        </w:rPr>
      </w:pPr>
      <w:r>
        <w:rPr>
          <w:rFonts w:ascii="Google Sans Text" w:cs="Google Sans Text" w:eastAsia="Google Sans Text" w:hAnsi="Google Sans Text"/>
          <w:color w:val="1f1f1f"/>
        </w:rPr>
        <w:t>Kerangka kerja EAL menyarankan bahwa aturan hukum harus mendorong efisiensi ekonomi. Dalam real estat, biaya "kepercayaan" (notaris, kantor pertanahan, dan pajak) seringkali melebihi kapasitas investasi investor ritel. Tabel 1 mengilustrasikan perbandingan perolehan efisiensi.</w:t>
      </w:r>
    </w:p>
    <w:p>
      <w:pPr>
        <w:pStyle w:val="style0"/>
        <w:pBdr>
          <w:left w:val="nil"/>
          <w:right w:val="nil"/>
          <w:top w:val="nil"/>
          <w:bottom w:val="nil"/>
          <w:between w:val="nil"/>
        </w:pBdr>
        <w:shd w:val="clear" w:color="auto" w:fill="auto"/>
        <w:jc w:val="both"/>
        <w:rPr>
          <w:rFonts w:ascii="Google Sans Text" w:cs="Google Sans Text" w:eastAsia="Google Sans Text" w:hAnsi="Google Sans Text"/>
          <w:color w:val="444746"/>
        </w:rPr>
      </w:pP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444746"/>
        </w:rPr>
      </w:pP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bCs/>
          <w:color w:val="1f1f1f"/>
        </w:rPr>
      </w:pPr>
      <w:r>
        <w:rPr>
          <w:rFonts w:ascii="Google Sans Text" w:cs="Google Sans Text" w:eastAsia="Google Sans Text" w:hAnsi="Google Sans Text"/>
          <w:b/>
          <w:bCs/>
          <w:color w:val="1f1f1f"/>
        </w:rPr>
        <w:t>Tabel 1: Analisis Efisiensi Komparatif (Konvensional vs. Tokenisasi)</w:t>
      </w:r>
    </w:p>
    <w:p>
      <w:pPr>
        <w:pStyle w:val="style0"/>
        <w:pBdr>
          <w:left w:val="nil"/>
          <w:right w:val="nil"/>
          <w:top w:val="nil"/>
          <w:bottom w:val="nil"/>
          <w:between w:val="nil"/>
        </w:pBdr>
        <w:shd w:val="clear" w:color="auto" w:fill="auto"/>
        <w:jc w:val="both"/>
        <w:rPr>
          <w:rFonts w:ascii="Google Sans Text" w:cs="Google Sans Text" w:eastAsia="Google Sans Text" w:hAnsi="Google Sans Text"/>
          <w:b/>
          <w:bCs/>
          <w:color w:val="1f1f1f"/>
        </w:rPr>
      </w:pPr>
    </w:p>
    <w:tbl>
      <w:tblPr>
        <w:tblStyle w:val="style4099"/>
        <w:tblW w:w="936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Komponen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Transaksi Konvensional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Transaksi Ter-tokenisasi (Diusulkan)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Perolehan Efisiensi</w:t>
            </w:r>
          </w:p>
        </w:tc>
      </w:tr>
      <w:tr>
        <w:tblPrEx/>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Batas Masuk Minimum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Tinggi (Pembelian Unit Penuh)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Sangat Rendah (Fraksional/Rp10.000)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Inklusivitas</w:t>
            </w:r>
          </w:p>
        </w:tc>
      </w:tr>
      <w:tr>
        <w:tblPrEx/>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Waktu Transaksi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1-3 Bulan (Manual/Fisik)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Hampir Seketika (Digital/Blockchain)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Likuiditas Tinggi</w:t>
            </w:r>
          </w:p>
        </w:tc>
      </w:tr>
      <w:tr>
        <w:tblPrEx/>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Biaya Perantara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Notaris, PPAT, Broker (5-10%)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 xml:space="preserve">Otomatis melalui </w:t>
            </w:r>
            <w:r>
              <w:rPr>
                <w:rFonts w:ascii="Google Sans Text" w:cs="Google Sans Text" w:eastAsia="Google Sans Text" w:hAnsi="Google Sans Text"/>
                <w:i/>
                <w:iCs/>
                <w:color w:val="1f1f1f"/>
                <w:shd w:val="clear" w:color="auto" w:fill="auto"/>
              </w:rPr>
              <w:t>Smart Contract</w:t>
            </w:r>
            <w:r>
              <w:rPr>
                <w:rFonts w:ascii="Google Sans Text" w:cs="Google Sans Text" w:eastAsia="Google Sans Text" w:hAnsi="Google Sans Text"/>
                <w:color w:val="1f1f1f"/>
                <w:shd w:val="clear" w:color="auto" w:fill="auto"/>
              </w:rPr>
              <w:t xml:space="preserve"> (&lt;1%)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Biaya Transaksi Rendah</w:t>
            </w:r>
          </w:p>
        </w:tc>
      </w:tr>
      <w:tr>
        <w:tblPrEx/>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Pemrosesan Pajak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Validasi Manual Individual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Pemotongan Otomatis Agregat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Efisiensi Admin</w:t>
            </w:r>
          </w:p>
        </w:tc>
      </w:tr>
    </w:tbl>
    <w:p>
      <w:pPr>
        <w:pStyle w:val="style3"/>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i w:val="false"/>
          <w:iCs w:val="false"/>
          <w:color w:val="1f1f1f"/>
          <w:sz w:val="28"/>
          <w:szCs w:val="28"/>
        </w:rPr>
      </w:pPr>
      <w:r>
        <w:rPr/>
        <w:pict>
          <v:rect id="1028"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bCs/>
          <w:i w:val="false"/>
          <w:iCs w:val="false"/>
          <w:color w:val="1f1f1f"/>
          <w:sz w:val="28"/>
          <w:szCs w:val="28"/>
        </w:rPr>
        <w:t>3. METODOLOGI PENELITIAN</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444746"/>
        </w:rPr>
      </w:pPr>
      <w:r>
        <w:rPr>
          <w:rFonts w:ascii="Google Sans Text" w:cs="Google Sans Text" w:eastAsia="Google Sans Text" w:hAnsi="Google Sans Text"/>
          <w:color w:val="1f1f1f"/>
        </w:rPr>
        <w:t xml:space="preserve">Penelitian ini mengadopsi metode kualitatif multidisiplin. Penelitian ini menggunakan data primer dari hasil </w:t>
      </w:r>
      <w:r>
        <w:rPr>
          <w:rFonts w:ascii="Google Sans Text" w:cs="Google Sans Text" w:eastAsia="Google Sans Text" w:hAnsi="Google Sans Text"/>
          <w:i/>
          <w:iCs/>
          <w:color w:val="1f1f1f"/>
        </w:rPr>
        <w:t>Regulatory Sandbox</w:t>
      </w:r>
      <w:r>
        <w:rPr>
          <w:rFonts w:ascii="Google Sans Text" w:cs="Google Sans Text" w:eastAsia="Google Sans Text" w:hAnsi="Google Sans Text"/>
          <w:color w:val="1f1f1f"/>
        </w:rPr>
        <w:t xml:space="preserve"> OJK (2025) mengenai GORO serta menganalisis kompatibilitas POJK No. 3/2024, UU ITE, dan UUPA No. 5/1960.</w:t>
      </w:r>
    </w:p>
    <w:p>
      <w:pPr>
        <w:pStyle w:val="style0"/>
        <w:pBdr>
          <w:left w:val="nil"/>
          <w:right w:val="nil"/>
          <w:top w:val="nil"/>
          <w:bottom w:val="nil"/>
          <w:between w:val="nil"/>
        </w:pBdr>
        <w:shd w:val="clear" w:color="auto" w:fill="auto"/>
        <w:jc w:val="both"/>
        <w:rPr>
          <w:rFonts w:ascii="Google Sans Text" w:cs="Google Sans Text" w:eastAsia="Google Sans Text" w:hAnsi="Google Sans Text"/>
          <w:color w:val="444746"/>
        </w:rPr>
      </w:pP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444746"/>
        </w:rPr>
      </w:pP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bCs/>
          <w:color w:val="1f1f1f"/>
        </w:rPr>
      </w:pPr>
      <w:r>
        <w:rPr>
          <w:rFonts w:ascii="Google Sans Text" w:cs="Google Sans Text" w:eastAsia="Google Sans Text" w:hAnsi="Google Sans Text"/>
          <w:b/>
          <w:bCs/>
          <w:color w:val="1f1f1f"/>
        </w:rPr>
        <w:t>Tabel 2: Pemetaan Regulasi dan Identifikasi Konflik</w:t>
      </w:r>
    </w:p>
    <w:p>
      <w:pPr>
        <w:pStyle w:val="style0"/>
        <w:pBdr>
          <w:left w:val="nil"/>
          <w:right w:val="nil"/>
          <w:top w:val="nil"/>
          <w:bottom w:val="nil"/>
          <w:between w:val="nil"/>
        </w:pBdr>
        <w:shd w:val="clear" w:color="auto" w:fill="auto"/>
        <w:jc w:val="both"/>
        <w:rPr>
          <w:rFonts w:ascii="Google Sans Text" w:cs="Google Sans Text" w:eastAsia="Google Sans Text" w:hAnsi="Google Sans Text"/>
          <w:b/>
          <w:bCs/>
          <w:color w:val="1f1f1f"/>
        </w:rPr>
      </w:pPr>
    </w:p>
    <w:tbl>
      <w:tblPr>
        <w:tblStyle w:val="style4100"/>
        <w:tblW w:w="936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Regulasi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Domain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Doktrin Utama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Konflik dengan Tokenisasi</w:t>
            </w:r>
          </w:p>
        </w:tc>
      </w:tr>
      <w:tr>
        <w:tblPrEx/>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UUPA No. 5/1960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Hukum Agraria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Kepemilikan Tunggal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Tidak mengakui token digital fraksional.</w:t>
            </w:r>
          </w:p>
        </w:tc>
      </w:tr>
      <w:tr>
        <w:tblPrEx/>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POJK No. 3/2024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Teknologi Finansial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Fintech Inovatif (ITSK)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Legalitas finansial vs. Ilegalitas agraria.</w:t>
            </w:r>
          </w:p>
        </w:tc>
      </w:tr>
      <w:tr>
        <w:tblPrEx/>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UU ITE No. 1/2024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Informasi Elektronik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Tanda Tangan/Kontrak Digital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Sah sebagai kontrak, belum sebagai bukti hak atas tanah.</w:t>
            </w:r>
          </w:p>
        </w:tc>
      </w:tr>
      <w:tr>
        <w:tblPrEx/>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UUHT No. 4/1996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Hak Tanggungan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Kepentingan Jaminan (Aksesoir)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Secara tradisional terbatas pada utang, bukan investasi.</w:t>
            </w:r>
          </w:p>
        </w:tc>
      </w:tr>
    </w:tbl>
    <w:p>
      <w:pPr>
        <w:pStyle w:val="style3"/>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i w:val="false"/>
          <w:iCs w:val="false"/>
          <w:color w:val="1f1f1f"/>
          <w:sz w:val="28"/>
          <w:szCs w:val="28"/>
        </w:rPr>
      </w:pPr>
      <w:r>
        <w:rPr/>
        <w:pict>
          <v:rect id="1029"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bCs/>
          <w:i w:val="false"/>
          <w:iCs w:val="false"/>
          <w:color w:val="1f1f1f"/>
          <w:sz w:val="28"/>
          <w:szCs w:val="28"/>
        </w:rPr>
        <w:t>4. TEMUAN PENELITIAN DAN DISKUSI</w:t>
      </w:r>
    </w:p>
    <w:p>
      <w:pPr>
        <w:pStyle w:val="style4"/>
        <w:pBdr>
          <w:left w:val="nil"/>
          <w:right w:val="nil"/>
          <w:top w:val="nil"/>
          <w:bottom w:val="nil"/>
          <w:between w:val="nil"/>
        </w:pBdr>
        <w:shd w:val="clear" w:color="auto" w:fill="auto"/>
        <w:spacing w:before="0" w:after="120" w:lineRule="auto" w:line="276"/>
        <w:jc w:val="both"/>
        <w:rPr>
          <w:rFonts w:ascii="Google Sans Text" w:cs="Google Sans Text" w:eastAsia="Google Sans Text" w:hAnsi="Google Sans Text"/>
          <w:b/>
          <w:bCs/>
          <w:i w:val="false"/>
          <w:iCs w:val="false"/>
          <w:color w:val="1f1f1f"/>
          <w:sz w:val="24"/>
          <w:szCs w:val="24"/>
        </w:rPr>
      </w:pPr>
      <w:r>
        <w:rPr>
          <w:rFonts w:ascii="Google Sans Text" w:cs="Google Sans Text" w:eastAsia="Google Sans Text" w:hAnsi="Google Sans Text"/>
          <w:b/>
          <w:bCs/>
          <w:i w:val="false"/>
          <w:iCs w:val="false"/>
          <w:color w:val="1f1f1f"/>
          <w:sz w:val="24"/>
          <w:szCs w:val="24"/>
        </w:rPr>
        <w:t>4.1. Model Hibrida Terintegrasi: Menjembatani Kesenjangan Digital-Agraria</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444746"/>
        </w:rPr>
      </w:pPr>
      <w:r>
        <w:rPr>
          <w:rFonts w:ascii="Google Sans Text" w:cs="Google Sans Text" w:eastAsia="Google Sans Text" w:hAnsi="Google Sans Text"/>
          <w:color w:val="1f1f1f"/>
        </w:rPr>
        <w:t>Studi ini mengusulkan integrasi struktural teknologi blockchain dengan hukum pertanahan Indonesia. Model ini divisualisasikan dalam diagram berikut.</w:t>
      </w:r>
    </w:p>
    <w:p>
      <w:pPr>
        <w:pStyle w:val="style0"/>
        <w:pBdr>
          <w:left w:val="nil"/>
          <w:right w:val="nil"/>
          <w:top w:val="nil"/>
          <w:bottom w:val="nil"/>
          <w:between w:val="nil"/>
        </w:pBdr>
        <w:shd w:val="clear" w:color="auto" w:fill="auto"/>
        <w:jc w:val="both"/>
        <w:rPr>
          <w:rFonts w:ascii="Google Sans Text" w:cs="Google Sans Text" w:eastAsia="Google Sans Text" w:hAnsi="Google Sans Text"/>
          <w:color w:val="444746"/>
        </w:rPr>
      </w:pPr>
    </w:p>
    <w:p>
      <w:pPr>
        <w:pStyle w:val="style4"/>
        <w:pBdr>
          <w:left w:val="nil"/>
          <w:right w:val="nil"/>
          <w:top w:val="nil"/>
          <w:bottom w:val="nil"/>
          <w:between w:val="nil"/>
        </w:pBdr>
        <w:shd w:val="clear" w:color="auto" w:fill="auto"/>
        <w:spacing w:before="0" w:after="120" w:lineRule="auto" w:line="276"/>
        <w:jc w:val="both"/>
        <w:rPr>
          <w:rFonts w:ascii="Google Sans Text" w:cs="Google Sans Text" w:eastAsia="Google Sans Text" w:hAnsi="Google Sans Text"/>
          <w:b/>
          <w:bCs/>
          <w:i w:val="false"/>
          <w:iCs w:val="false"/>
          <w:color w:val="1f1f1f"/>
          <w:sz w:val="24"/>
          <w:szCs w:val="24"/>
        </w:rPr>
      </w:pPr>
      <w:r>
        <w:rPr>
          <w:rFonts w:ascii="Google Sans Text" w:cs="Google Sans Text" w:eastAsia="Google Sans Text" w:hAnsi="Google Sans Text"/>
          <w:b/>
          <w:bCs/>
          <w:i w:val="false"/>
          <w:iCs w:val="false"/>
          <w:color w:val="1f1f1f"/>
          <w:sz w:val="24"/>
          <w:szCs w:val="24"/>
        </w:rPr>
        <w:t>4.2. PPJB Kolektif sebagai Jembatan Hukum</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444746"/>
        </w:rPr>
      </w:pPr>
      <w:r>
        <w:rPr>
          <w:rFonts w:ascii="Google Sans Text" w:cs="Google Sans Text" w:eastAsia="Google Sans Text" w:hAnsi="Google Sans Text"/>
          <w:color w:val="1f1f1f"/>
        </w:rPr>
        <w:t>Untuk mengatasi kekosongan regulasi, penelitian ini mengusulkan penggunaan Perjanjian Pengikatan Jual Beli Kolektif (PPJB Kolektif). Dengan mendigitalisasikannya melalui UU ITE, platform mempertahankan buku besar waktu nyata (</w:t>
      </w:r>
      <w:r>
        <w:rPr>
          <w:rFonts w:ascii="Google Sans Text" w:cs="Google Sans Text" w:eastAsia="Google Sans Text" w:hAnsi="Google Sans Text"/>
          <w:i/>
          <w:iCs/>
          <w:color w:val="1f1f1f"/>
        </w:rPr>
        <w:t>real-time ledger</w:t>
      </w:r>
      <w:r>
        <w:rPr>
          <w:rFonts w:ascii="Google Sans Text" w:cs="Google Sans Text" w:eastAsia="Google Sans Text" w:hAnsi="Google Sans Text"/>
          <w:color w:val="1f1f1f"/>
        </w:rPr>
        <w:t>) dari pemilik fraksional yang secara hukum terhubung ke satu dokumen induk yang dinotariskan.</w:t>
      </w:r>
    </w:p>
    <w:p>
      <w:pPr>
        <w:pStyle w:val="style4"/>
        <w:pBdr>
          <w:left w:val="nil"/>
          <w:right w:val="nil"/>
          <w:top w:val="nil"/>
          <w:bottom w:val="nil"/>
          <w:between w:val="nil"/>
        </w:pBdr>
        <w:shd w:val="clear" w:color="auto" w:fill="auto"/>
        <w:spacing w:before="0" w:after="120" w:lineRule="auto" w:line="276"/>
        <w:jc w:val="both"/>
        <w:rPr>
          <w:rFonts w:ascii="Google Sans Text" w:cs="Google Sans Text" w:eastAsia="Google Sans Text" w:hAnsi="Google Sans Text"/>
          <w:b/>
          <w:bCs/>
          <w:i w:val="false"/>
          <w:iCs w:val="false"/>
          <w:color w:val="1f1f1f"/>
          <w:sz w:val="24"/>
          <w:szCs w:val="24"/>
        </w:rPr>
      </w:pPr>
      <w:r>
        <w:rPr>
          <w:rFonts w:ascii="Google Sans Text" w:cs="Google Sans Text" w:eastAsia="Google Sans Text" w:hAnsi="Google Sans Text"/>
          <w:b/>
          <w:bCs/>
          <w:i w:val="false"/>
          <w:iCs w:val="false"/>
          <w:color w:val="1f1f1f"/>
          <w:sz w:val="24"/>
          <w:szCs w:val="24"/>
        </w:rPr>
        <w:t>4.3. Hak Tanggungan Wajib untuk Perlindungan Investor</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444746"/>
        </w:rPr>
      </w:pPr>
      <w:r>
        <w:rPr>
          <w:rFonts w:ascii="Google Sans Text" w:cs="Google Sans Text" w:eastAsia="Google Sans Text" w:hAnsi="Google Sans Text"/>
          <w:color w:val="1f1f1f"/>
        </w:rPr>
        <w:t>Kebaruan kritis dari studi ini adalah penerapan Hak Tanggungan (HT) pada aset digital. Meskipun HT secara tradisional berasal dari pinjaman, HT dapat digunakan untuk menjamin "pemenuhan suatu prestasi" (Pasal 3 UUHT). Hal ini menaikkan status investor ritel menjadi Kreditur Separatis (</w:t>
      </w:r>
      <w:r>
        <w:rPr>
          <w:rFonts w:ascii="Google Sans Text" w:cs="Google Sans Text" w:eastAsia="Google Sans Text" w:hAnsi="Google Sans Text"/>
          <w:i/>
          <w:iCs/>
          <w:color w:val="1f1f1f"/>
        </w:rPr>
        <w:t>Kreditur Separatis</w:t>
      </w:r>
      <w:r>
        <w:rPr>
          <w:rFonts w:ascii="Google Sans Text" w:cs="Google Sans Text" w:eastAsia="Google Sans Text" w:hAnsi="Google Sans Text"/>
          <w:color w:val="1f1f1f"/>
        </w:rPr>
        <w:t>), yang menyediakan jaring pengaman jika terjadi insolvensi platform.</w:t>
      </w:r>
    </w:p>
    <w:p>
      <w:pPr>
        <w:pStyle w:val="style0"/>
        <w:pBdr>
          <w:left w:val="nil"/>
          <w:right w:val="nil"/>
          <w:top w:val="nil"/>
          <w:bottom w:val="nil"/>
          <w:between w:val="nil"/>
        </w:pBdr>
        <w:shd w:val="clear" w:color="auto" w:fill="auto"/>
        <w:jc w:val="both"/>
        <w:rPr>
          <w:rFonts w:ascii="Google Sans Text" w:cs="Google Sans Text" w:eastAsia="Google Sans Text" w:hAnsi="Google Sans Text"/>
          <w:color w:val="444746"/>
        </w:rPr>
      </w:pPr>
    </w:p>
    <w:p>
      <w:pPr>
        <w:pStyle w:val="style4"/>
        <w:pBdr>
          <w:left w:val="nil"/>
          <w:right w:val="nil"/>
          <w:top w:val="nil"/>
          <w:bottom w:val="nil"/>
          <w:between w:val="nil"/>
        </w:pBdr>
        <w:shd w:val="clear" w:color="auto" w:fill="auto"/>
        <w:spacing w:before="0" w:after="120" w:lineRule="auto" w:line="276"/>
        <w:jc w:val="both"/>
        <w:rPr>
          <w:rFonts w:ascii="Google Sans Text" w:cs="Google Sans Text" w:eastAsia="Google Sans Text" w:hAnsi="Google Sans Text"/>
          <w:b/>
          <w:bCs/>
          <w:i w:val="false"/>
          <w:iCs w:val="false"/>
          <w:color w:val="1f1f1f"/>
          <w:sz w:val="24"/>
          <w:szCs w:val="24"/>
        </w:rPr>
      </w:pPr>
      <w:r>
        <w:rPr>
          <w:rFonts w:ascii="Google Sans Text" w:cs="Google Sans Text" w:eastAsia="Google Sans Text" w:hAnsi="Google Sans Text"/>
          <w:b/>
          <w:bCs/>
          <w:i w:val="false"/>
          <w:iCs w:val="false"/>
          <w:color w:val="1f1f1f"/>
          <w:sz w:val="24"/>
          <w:szCs w:val="24"/>
        </w:rPr>
        <w:t>4.4. Kepemilikan Fraksional dan Hak Bersama (</w:t>
      </w:r>
      <w:r>
        <w:rPr>
          <w:rFonts w:ascii="Google Sans Text" w:cs="Google Sans Text" w:eastAsia="Google Sans Text" w:hAnsi="Google Sans Text"/>
          <w:b/>
          <w:bCs/>
          <w:i/>
          <w:iCs/>
          <w:color w:val="1f1f1f"/>
          <w:sz w:val="24"/>
          <w:szCs w:val="24"/>
        </w:rPr>
        <w:t>Medeeigendom</w:t>
      </w:r>
      <w:r>
        <w:rPr>
          <w:rFonts w:ascii="Google Sans Text" w:cs="Google Sans Text" w:eastAsia="Google Sans Text" w:hAnsi="Google Sans Text"/>
          <w:b/>
          <w:bCs/>
          <w:i w:val="false"/>
          <w:iCs w:val="false"/>
          <w:color w:val="1f1f1f"/>
          <w:sz w:val="24"/>
          <w:szCs w:val="24"/>
        </w:rPr>
        <w:t>)</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444746"/>
        </w:rPr>
      </w:pPr>
      <w:r>
        <w:rPr>
          <w:rFonts w:ascii="Google Sans Text" w:cs="Google Sans Text" w:eastAsia="Google Sans Text" w:hAnsi="Google Sans Text"/>
          <w:color w:val="1f1f1f"/>
        </w:rPr>
        <w:t>Studi ini menganalisis skenario di mana investor memiliki sebagian (misal: 40%) dari suatu properti. Untuk menghindari kelumpuhan administrasi, kepemilikan fraksional 40% tersebut didaftarkan di bawah satu entitas perwakilan (SPV/Wali Amanat) yang memegang hak atas nama ribuan pemegang token.</w:t>
      </w:r>
    </w:p>
    <w:p>
      <w:pPr>
        <w:pStyle w:val="style0"/>
        <w:pBdr>
          <w:left w:val="nil"/>
          <w:right w:val="nil"/>
          <w:top w:val="nil"/>
          <w:bottom w:val="nil"/>
          <w:between w:val="nil"/>
        </w:pBdr>
        <w:shd w:val="clear" w:color="auto" w:fill="auto"/>
        <w:jc w:val="both"/>
        <w:rPr>
          <w:rFonts w:ascii="Google Sans Text" w:cs="Google Sans Text" w:eastAsia="Google Sans Text" w:hAnsi="Google Sans Text"/>
          <w:color w:val="444746"/>
        </w:rPr>
      </w:pPr>
    </w:p>
    <w:p>
      <w:pPr>
        <w:pStyle w:val="style4"/>
        <w:pBdr>
          <w:left w:val="nil"/>
          <w:right w:val="nil"/>
          <w:top w:val="nil"/>
          <w:bottom w:val="nil"/>
          <w:between w:val="nil"/>
        </w:pBdr>
        <w:shd w:val="clear" w:color="auto" w:fill="auto"/>
        <w:spacing w:before="0" w:after="120" w:lineRule="auto" w:line="276"/>
        <w:jc w:val="both"/>
        <w:rPr>
          <w:rFonts w:ascii="Google Sans Text" w:cs="Google Sans Text" w:eastAsia="Google Sans Text" w:hAnsi="Google Sans Text"/>
          <w:b/>
          <w:bCs/>
          <w:i w:val="false"/>
          <w:iCs w:val="false"/>
          <w:color w:val="1f1f1f"/>
          <w:sz w:val="24"/>
          <w:szCs w:val="24"/>
        </w:rPr>
      </w:pPr>
      <w:r>
        <w:rPr>
          <w:rFonts w:ascii="Google Sans Text" w:cs="Google Sans Text" w:eastAsia="Google Sans Text" w:hAnsi="Google Sans Text"/>
          <w:b/>
          <w:bCs/>
          <w:i w:val="false"/>
          <w:iCs w:val="false"/>
          <w:color w:val="1f1f1f"/>
          <w:sz w:val="24"/>
          <w:szCs w:val="24"/>
        </w:rPr>
        <w:t>4.5. Rekayasa Fiskal: Konsolidasi Pajak Agregat</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444746"/>
        </w:rPr>
      </w:pPr>
      <w:r>
        <w:rPr>
          <w:rFonts w:ascii="Google Sans Text" w:cs="Google Sans Text" w:eastAsia="Google Sans Text" w:hAnsi="Google Sans Text"/>
          <w:color w:val="1f1f1f"/>
        </w:rPr>
        <w:t>Studi ini mengusulkan Sistem Pajak Agregat. Pajak tidak dibayarkan pada setiap transfer token. Sebaliknya, platform bertindak sebagai Agen Pemotong/Pemungut (WAPU), yang mengumpulkan bagian pajak dalam brankas digital. Pembayaran pajak penuh (PPh &amp; BPHTB) dipicu hanya pada saat Akta Jual Beli (AJB) final.</w:t>
      </w:r>
    </w:p>
    <w:p>
      <w:pPr>
        <w:pStyle w:val="style0"/>
        <w:pBdr>
          <w:left w:val="nil"/>
          <w:right w:val="nil"/>
          <w:top w:val="nil"/>
          <w:bottom w:val="nil"/>
          <w:between w:val="nil"/>
        </w:pBdr>
        <w:shd w:val="clear" w:color="auto" w:fill="auto"/>
        <w:jc w:val="both"/>
        <w:rPr>
          <w:rFonts w:ascii="Google Sans Text" w:cs="Google Sans Text" w:eastAsia="Google Sans Text" w:hAnsi="Google Sans Text"/>
          <w:color w:val="444746"/>
        </w:rPr>
      </w:pPr>
    </w:p>
    <w:p>
      <w:pPr>
        <w:pStyle w:val="style3"/>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i w:val="false"/>
          <w:iCs w:val="false"/>
          <w:color w:val="1f1f1f"/>
          <w:sz w:val="28"/>
          <w:szCs w:val="28"/>
        </w:rPr>
      </w:pPr>
      <w:r>
        <w:rPr/>
        <w:pict>
          <v:rect id="1030"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bCs/>
          <w:i w:val="false"/>
          <w:iCs w:val="false"/>
          <w:color w:val="1f1f1f"/>
          <w:sz w:val="28"/>
          <w:szCs w:val="28"/>
        </w:rPr>
        <w:t>5. REKOMENDASI KEBIJAKAN</w:t>
      </w:r>
    </w:p>
    <w:p>
      <w:pPr>
        <w:pStyle w:val="style0"/>
        <w:numPr>
          <w:ilvl w:val="0"/>
          <w:numId w:val="1"/>
        </w:numPr>
        <w:pBdr>
          <w:left w:val="nil"/>
          <w:right w:val="nil"/>
          <w:top w:val="nil"/>
          <w:bottom w:val="nil"/>
          <w:between w:val="nil"/>
        </w:pBdr>
        <w:shd w:val="clear" w:color="auto" w:fill="auto"/>
        <w:spacing w:after="0" w:afterAutospacing="false" w:lineRule="auto" w:line="276"/>
        <w:ind w:left="465" w:hanging="360"/>
        <w:jc w:val="both"/>
        <w:rPr/>
      </w:pPr>
      <w:r>
        <w:rPr>
          <w:rFonts w:ascii="Google Sans Text" w:cs="Google Sans Text" w:eastAsia="Google Sans Text" w:hAnsi="Google Sans Text"/>
          <w:b/>
          <w:bCs/>
          <w:color w:val="1f1f1f"/>
        </w:rPr>
        <w:t>Kepada Kementerian ATR/BPN:</w:t>
      </w:r>
      <w:r>
        <w:rPr>
          <w:rFonts w:ascii="Google Sans Text" w:cs="Google Sans Text" w:eastAsia="Google Sans Text" w:hAnsi="Google Sans Text"/>
          <w:color w:val="1f1f1f"/>
        </w:rPr>
        <w:t xml:space="preserve"> Membentuk "Lampiran Buku Tanah Digital" untuk kepentingan fraksional kolektif.</w:t>
      </w:r>
      <w:r>
        <w:rPr>
          <w:rFonts w:ascii="Arial" w:cs="Arial" w:eastAsia="Arial" w:hAnsi="Arial"/>
          <w:b w:val="false"/>
          <w:bCs w:val="false"/>
          <w:i w:val="false"/>
          <w:iCs w:val="false"/>
          <w:smallCaps w:val="false"/>
          <w:color w:val="000000"/>
          <w:sz w:val="22"/>
          <w:szCs w:val="22"/>
          <w:u w:val="none"/>
          <w:shd w:val="clear" w:color="auto" w:fill="auto"/>
          <w:vertAlign w:val="baseline"/>
        </w:rPr>
        <w:br/>
      </w:r>
    </w:p>
    <w:p>
      <w:pPr>
        <w:pStyle w:val="style0"/>
        <w:numPr>
          <w:ilvl w:val="0"/>
          <w:numId w:val="1"/>
        </w:numPr>
        <w:pBdr>
          <w:left w:val="nil"/>
          <w:right w:val="nil"/>
          <w:top w:val="nil"/>
          <w:bottom w:val="nil"/>
          <w:between w:val="nil"/>
        </w:pBdr>
        <w:shd w:val="clear" w:color="auto" w:fill="auto"/>
        <w:spacing w:before="0" w:beforeAutospacing="false" w:after="0" w:afterAutospacing="false" w:lineRule="auto" w:line="276"/>
        <w:ind w:left="465" w:hanging="360"/>
        <w:jc w:val="both"/>
        <w:rPr/>
      </w:pPr>
      <w:r>
        <w:rPr>
          <w:rFonts w:ascii="Google Sans Text" w:cs="Google Sans Text" w:eastAsia="Google Sans Text" w:hAnsi="Google Sans Text"/>
          <w:b/>
          <w:bCs/>
          <w:color w:val="1f1f1f"/>
        </w:rPr>
        <w:t>Kepada OJK:</w:t>
      </w:r>
      <w:r>
        <w:rPr>
          <w:rFonts w:ascii="Google Sans Text" w:cs="Google Sans Text" w:eastAsia="Google Sans Text" w:hAnsi="Google Sans Text"/>
          <w:color w:val="1f1f1f"/>
        </w:rPr>
        <w:t xml:space="preserve"> Mewajibkan Hak Tanggungan (HT) bagi semua platform RWA pasca-</w:t>
      </w:r>
      <w:r>
        <w:rPr>
          <w:rFonts w:ascii="Google Sans Text" w:cs="Google Sans Text" w:eastAsia="Google Sans Text" w:hAnsi="Google Sans Text"/>
          <w:i/>
          <w:iCs/>
          <w:color w:val="1f1f1f"/>
        </w:rPr>
        <w:t>sandbox</w:t>
      </w:r>
      <w:r>
        <w:rPr>
          <w:rFonts w:ascii="Google Sans Text" w:cs="Google Sans Text" w:eastAsia="Google Sans Text" w:hAnsi="Google Sans Text"/>
          <w:color w:val="1f1f1f"/>
        </w:rPr>
        <w:t>.</w:t>
      </w:r>
      <w:r>
        <w:rPr>
          <w:rFonts w:ascii="Arial" w:cs="Arial" w:eastAsia="Arial" w:hAnsi="Arial"/>
          <w:b w:val="false"/>
          <w:bCs w:val="false"/>
          <w:i w:val="false"/>
          <w:iCs w:val="false"/>
          <w:smallCaps w:val="false"/>
          <w:color w:val="000000"/>
          <w:sz w:val="22"/>
          <w:szCs w:val="22"/>
          <w:u w:val="none"/>
          <w:shd w:val="clear" w:color="auto" w:fill="auto"/>
          <w:vertAlign w:val="baseline"/>
        </w:rPr>
        <w:br/>
      </w:r>
    </w:p>
    <w:p>
      <w:pPr>
        <w:pStyle w:val="style0"/>
        <w:numPr>
          <w:ilvl w:val="0"/>
          <w:numId w:val="1"/>
        </w:numPr>
        <w:pBdr>
          <w:left w:val="nil"/>
          <w:right w:val="nil"/>
          <w:top w:val="nil"/>
          <w:bottom w:val="nil"/>
          <w:between w:val="nil"/>
        </w:pBdr>
        <w:shd w:val="clear" w:color="auto" w:fill="auto"/>
        <w:spacing w:before="0" w:beforeAutospacing="false" w:after="120" w:lineRule="auto" w:line="276"/>
        <w:ind w:left="465" w:hanging="360"/>
        <w:jc w:val="both"/>
        <w:rPr/>
      </w:pPr>
      <w:r>
        <w:rPr>
          <w:rFonts w:ascii="Google Sans Text" w:cs="Google Sans Text" w:eastAsia="Google Sans Text" w:hAnsi="Google Sans Text"/>
          <w:b/>
          <w:bCs/>
          <w:color w:val="1f1f1f"/>
        </w:rPr>
        <w:t>Kepada DJP:</w:t>
      </w:r>
      <w:r>
        <w:rPr>
          <w:rFonts w:ascii="Google Sans Text" w:cs="Google Sans Text" w:eastAsia="Google Sans Text" w:hAnsi="Google Sans Text"/>
          <w:color w:val="1f1f1f"/>
        </w:rPr>
        <w:t xml:space="preserve"> Membuat kode pajak khusus untuk "Aset Properti Fraksional" untuk pelaporan terkonsolidasi.</w:t>
      </w:r>
      <w:r>
        <w:rPr>
          <w:rFonts w:ascii="Arial" w:cs="Arial" w:eastAsia="Arial" w:hAnsi="Arial"/>
          <w:b w:val="false"/>
          <w:bCs w:val="false"/>
          <w:i w:val="false"/>
          <w:iCs w:val="false"/>
          <w:smallCaps w:val="false"/>
          <w:color w:val="000000"/>
          <w:sz w:val="22"/>
          <w:szCs w:val="22"/>
          <w:u w:val="none"/>
          <w:shd w:val="clear" w:color="auto" w:fill="auto"/>
          <w:vertAlign w:val="baseline"/>
        </w:rPr>
        <w:br/>
      </w:r>
    </w:p>
    <w:p>
      <w:pPr>
        <w:pStyle w:val="style3"/>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i w:val="false"/>
          <w:iCs w:val="false"/>
          <w:color w:val="1f1f1f"/>
          <w:sz w:val="28"/>
          <w:szCs w:val="28"/>
        </w:rPr>
      </w:pPr>
      <w:r>
        <w:rPr/>
        <w:pict>
          <v:rect id="1031"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bCs/>
          <w:i w:val="false"/>
          <w:iCs w:val="false"/>
          <w:color w:val="1f1f1f"/>
          <w:sz w:val="28"/>
          <w:szCs w:val="28"/>
        </w:rPr>
        <w:t>6. KESIMPULAN</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444746"/>
        </w:rPr>
      </w:pPr>
      <w:r>
        <w:rPr>
          <w:rFonts w:ascii="Google Sans Text" w:cs="Google Sans Text" w:eastAsia="Google Sans Text" w:hAnsi="Google Sans Text"/>
          <w:color w:val="1f1f1f"/>
        </w:rPr>
        <w:t>Integrasi blockchain dalam pasar real estat Indonesia adalah kekuatan ekonomi yang tidak terelakkan. Model Hukum-Fiskal Hibrida yang diusulkan—menggunakan PPJB Kolektif, Hak Tanggungan Wajib, dan Perpajakan Agregat—memberikan jalan ke depan yang secara hukum sehat dan efisien secara ekonomi.</w:t>
      </w:r>
    </w:p>
    <w:p>
      <w:pPr>
        <w:pStyle w:val="style0"/>
        <w:pBdr>
          <w:left w:val="nil"/>
          <w:right w:val="nil"/>
          <w:top w:val="nil"/>
          <w:bottom w:val="nil"/>
          <w:between w:val="nil"/>
        </w:pBdr>
        <w:shd w:val="clear" w:color="auto" w:fill="auto"/>
        <w:jc w:val="both"/>
        <w:rPr>
          <w:rFonts w:ascii="Google Sans Text" w:cs="Google Sans Text" w:eastAsia="Google Sans Text" w:hAnsi="Google Sans Text"/>
          <w:color w:val="444746"/>
        </w:rPr>
      </w:pPr>
    </w:p>
    <w:p>
      <w:pPr>
        <w:pStyle w:val="style3"/>
        <w:pBdr>
          <w:left w:val="nil"/>
          <w:right w:val="nil"/>
          <w:top w:val="nil"/>
          <w:bottom w:val="nil"/>
          <w:between w:val="nil"/>
        </w:pBdr>
        <w:shd w:val="clear" w:color="auto" w:fill="auto"/>
        <w:spacing w:before="120" w:after="120" w:lineRule="auto" w:line="276"/>
        <w:jc w:val="both"/>
        <w:rPr>
          <w:rFonts w:ascii="Google Sans" w:cs="Google Sans" w:eastAsia="Google Sans" w:hAnsi="Google Sans"/>
          <w:color w:val="1f1f1f"/>
        </w:rPr>
      </w:pPr>
      <w:r>
        <w:rPr/>
        <w:pict>
          <v:rect id="1032" fillcolor="#a0a0a0" stroked="f" style="margin-left:0.0pt;margin-top:0.0pt;width:0.0pt;height:1.5pt;mso-wrap-distance-left:0.0pt;mso-wrap-distance-right:0.0pt;visibility:visible;" o:hr="t" o:hralign="center" o:hrstd="t">
            <v:stroke on="f"/>
            <v:fill/>
          </v:rect>
        </w:pict>
      </w:r>
      <w:r>
        <w:rPr>
          <w:rFonts w:ascii="Google Sans" w:cs="Google Sans" w:eastAsia="Google Sans" w:hAnsi="Google Sans"/>
          <w:color w:val="1f1f1f"/>
        </w:rPr>
        <w:t>7.</w:t>
      </w:r>
    </w:p>
    <w:p>
      <w:pPr>
        <w:pStyle w:val="style0"/>
        <w:pBdr>
          <w:left w:val="nil"/>
          <w:right w:val="nil"/>
          <w:top w:val="nil"/>
          <w:bottom w:val="nil"/>
          <w:between w:val="nil"/>
        </w:pBdr>
        <w:shd w:val="clear" w:color="auto" w:fill="auto"/>
        <w:jc w:val="both"/>
        <w:rPr>
          <w:rFonts w:ascii="Google Sans Text" w:cs="Google Sans Text" w:eastAsia="Google Sans Text" w:hAnsi="Google Sans Text"/>
          <w:color w:val="1f1f1f"/>
        </w:rPr>
      </w:pPr>
      <w:r>
        <w:rPr>
          <w:rFonts w:ascii="Google Sans Text" w:cs="Google Sans Text" w:eastAsia="Google Sans Text" w:hAnsi="Google Sans Text"/>
          <w:color w:val="1f1f1f"/>
        </w:rPr>
        <w:t>REFERENSI</w:t>
      </w:r>
    </w:p>
    <w:p>
      <w:pPr>
        <w:pStyle w:val="style0"/>
        <w:numPr>
          <w:ilvl w:val="0"/>
          <w:numId w:val="2"/>
        </w:numPr>
        <w:pBdr>
          <w:left w:val="nil"/>
          <w:right w:val="nil"/>
          <w:top w:val="nil"/>
          <w:bottom w:val="nil"/>
          <w:between w:val="nil"/>
        </w:pBdr>
        <w:shd w:val="clear" w:color="auto" w:fill="auto"/>
        <w:spacing w:after="0" w:afterAutospacing="false" w:lineRule="auto" w:line="276"/>
        <w:ind w:left="465" w:hanging="360"/>
        <w:jc w:val="both"/>
        <w:rPr/>
      </w:pPr>
      <w:r>
        <w:rPr>
          <w:rFonts w:ascii="Google Sans Text" w:cs="Google Sans Text" w:eastAsia="Google Sans Text" w:hAnsi="Google Sans Text"/>
          <w:color w:val="1f1f1f"/>
        </w:rPr>
        <w:t xml:space="preserve">Arruñada, B. (2018). </w:t>
      </w:r>
      <w:r>
        <w:rPr>
          <w:rFonts w:ascii="Google Sans Text" w:cs="Google Sans Text" w:eastAsia="Google Sans Text" w:hAnsi="Google Sans Text"/>
          <w:i/>
          <w:iCs/>
          <w:color w:val="1f1f1f"/>
        </w:rPr>
        <w:t>Journal of Institutional Economics</w:t>
      </w:r>
      <w:r>
        <w:rPr>
          <w:rFonts w:ascii="Google Sans Text" w:cs="Google Sans Text" w:eastAsia="Google Sans Text" w:hAnsi="Google Sans Text"/>
          <w:color w:val="1f1f1f"/>
        </w:rPr>
        <w:t>, 14(5).</w:t>
      </w:r>
      <w:r>
        <w:rPr>
          <w:rFonts w:ascii="Arial" w:cs="Arial" w:eastAsia="Arial" w:hAnsi="Arial"/>
          <w:b w:val="false"/>
          <w:bCs w:val="false"/>
          <w:i w:val="false"/>
          <w:iCs w:val="false"/>
          <w:smallCaps w:val="false"/>
          <w:color w:val="000000"/>
          <w:sz w:val="22"/>
          <w:szCs w:val="22"/>
          <w:u w:val="none"/>
          <w:shd w:val="clear" w:color="auto" w:fill="auto"/>
          <w:vertAlign w:val="baseline"/>
        </w:rPr>
        <w:br/>
      </w:r>
    </w:p>
    <w:p>
      <w:pPr>
        <w:pStyle w:val="style0"/>
        <w:numPr>
          <w:ilvl w:val="0"/>
          <w:numId w:val="2"/>
        </w:numPr>
        <w:pBdr>
          <w:left w:val="nil"/>
          <w:right w:val="nil"/>
          <w:top w:val="nil"/>
          <w:bottom w:val="nil"/>
          <w:between w:val="nil"/>
        </w:pBdr>
        <w:shd w:val="clear" w:color="auto" w:fill="auto"/>
        <w:spacing w:before="0" w:beforeAutospacing="false" w:after="0" w:afterAutospacing="false" w:lineRule="auto" w:line="276"/>
        <w:ind w:left="465" w:hanging="360"/>
        <w:jc w:val="both"/>
        <w:rPr/>
      </w:pPr>
      <w:r>
        <w:rPr>
          <w:rFonts w:ascii="Google Sans Text" w:cs="Google Sans Text" w:eastAsia="Google Sans Text" w:hAnsi="Google Sans Text"/>
          <w:color w:val="1f1f1f"/>
        </w:rPr>
        <w:t xml:space="preserve">Baum, A. (2020). </w:t>
      </w:r>
      <w:r>
        <w:rPr>
          <w:rFonts w:ascii="Google Sans Text" w:cs="Google Sans Text" w:eastAsia="Google Sans Text" w:hAnsi="Google Sans Text"/>
          <w:i/>
          <w:iCs/>
          <w:color w:val="1f1f1f"/>
        </w:rPr>
        <w:t>Journal of Property Investment &amp; Finance</w:t>
      </w:r>
      <w:r>
        <w:rPr>
          <w:rFonts w:ascii="Google Sans Text" w:cs="Google Sans Text" w:eastAsia="Google Sans Text" w:hAnsi="Google Sans Text"/>
          <w:color w:val="1f1f1f"/>
        </w:rPr>
        <w:t>, 39(2).</w:t>
      </w:r>
      <w:r>
        <w:rPr>
          <w:rFonts w:ascii="Arial" w:cs="Arial" w:eastAsia="Arial" w:hAnsi="Arial"/>
          <w:b w:val="false"/>
          <w:bCs w:val="false"/>
          <w:i w:val="false"/>
          <w:iCs w:val="false"/>
          <w:smallCaps w:val="false"/>
          <w:color w:val="000000"/>
          <w:sz w:val="22"/>
          <w:szCs w:val="22"/>
          <w:u w:val="none"/>
          <w:shd w:val="clear" w:color="auto" w:fill="auto"/>
          <w:vertAlign w:val="baseline"/>
        </w:rPr>
        <w:br/>
      </w:r>
    </w:p>
    <w:p>
      <w:pPr>
        <w:pStyle w:val="style0"/>
        <w:numPr>
          <w:ilvl w:val="0"/>
          <w:numId w:val="2"/>
        </w:numPr>
        <w:pBdr>
          <w:left w:val="nil"/>
          <w:right w:val="nil"/>
          <w:top w:val="nil"/>
          <w:bottom w:val="nil"/>
          <w:between w:val="nil"/>
        </w:pBdr>
        <w:shd w:val="clear" w:color="auto" w:fill="auto"/>
        <w:spacing w:before="0" w:beforeAutospacing="false" w:after="0" w:afterAutospacing="false" w:lineRule="auto" w:line="276"/>
        <w:ind w:left="465" w:hanging="360"/>
        <w:jc w:val="both"/>
        <w:rPr/>
      </w:pPr>
      <w:r>
        <w:rPr>
          <w:rFonts w:ascii="Google Sans Text" w:cs="Google Sans Text" w:eastAsia="Google Sans Text" w:hAnsi="Google Sans Text"/>
          <w:color w:val="1f1f1f"/>
        </w:rPr>
        <w:t xml:space="preserve">Gupta, A., dkk. (2021). </w:t>
      </w:r>
      <w:r>
        <w:rPr>
          <w:rFonts w:ascii="Google Sans Text" w:cs="Google Sans Text" w:eastAsia="Google Sans Text" w:hAnsi="Google Sans Text"/>
          <w:i/>
          <w:iCs/>
          <w:color w:val="1f1f1f"/>
        </w:rPr>
        <w:t>Land Use Policy</w:t>
      </w:r>
      <w:r>
        <w:rPr>
          <w:rFonts w:ascii="Google Sans Text" w:cs="Google Sans Text" w:eastAsia="Google Sans Text" w:hAnsi="Google Sans Text"/>
          <w:color w:val="1f1f1f"/>
        </w:rPr>
        <w:t>, 101.</w:t>
      </w:r>
      <w:r>
        <w:rPr>
          <w:rFonts w:ascii="Arial" w:cs="Arial" w:eastAsia="Arial" w:hAnsi="Arial"/>
          <w:b w:val="false"/>
          <w:bCs w:val="false"/>
          <w:i w:val="false"/>
          <w:iCs w:val="false"/>
          <w:smallCaps w:val="false"/>
          <w:color w:val="000000"/>
          <w:sz w:val="22"/>
          <w:szCs w:val="22"/>
          <w:u w:val="none"/>
          <w:shd w:val="clear" w:color="auto" w:fill="auto"/>
          <w:vertAlign w:val="baseline"/>
        </w:rPr>
        <w:br/>
      </w:r>
    </w:p>
    <w:p>
      <w:pPr>
        <w:pStyle w:val="style0"/>
        <w:numPr>
          <w:ilvl w:val="0"/>
          <w:numId w:val="2"/>
        </w:numPr>
        <w:pBdr>
          <w:left w:val="nil"/>
          <w:right w:val="nil"/>
          <w:top w:val="nil"/>
          <w:bottom w:val="nil"/>
          <w:between w:val="nil"/>
        </w:pBdr>
        <w:shd w:val="clear" w:color="auto" w:fill="auto"/>
        <w:spacing w:before="0" w:beforeAutospacing="false" w:after="0" w:afterAutospacing="false" w:lineRule="auto" w:line="276"/>
        <w:ind w:left="465" w:hanging="360"/>
        <w:jc w:val="both"/>
        <w:rPr/>
      </w:pPr>
      <w:r>
        <w:rPr>
          <w:rFonts w:ascii="Google Sans Text" w:cs="Google Sans Text" w:eastAsia="Google Sans Text" w:hAnsi="Google Sans Text"/>
          <w:color w:val="1f1f1f"/>
        </w:rPr>
        <w:t xml:space="preserve">OJK. (2025). </w:t>
      </w:r>
      <w:r>
        <w:rPr>
          <w:rFonts w:ascii="Google Sans Text" w:cs="Google Sans Text" w:eastAsia="Google Sans Text" w:hAnsi="Google Sans Text"/>
          <w:i/>
          <w:iCs/>
          <w:color w:val="1f1f1f"/>
        </w:rPr>
        <w:t>Surat Keputusan Kelulusan Regulatory Sandbox No. S-527/IK.01/2025</w:t>
      </w:r>
      <w:r>
        <w:rPr>
          <w:rFonts w:ascii="Google Sans Text" w:cs="Google Sans Text" w:eastAsia="Google Sans Text" w:hAnsi="Google Sans Text"/>
          <w:color w:val="1f1f1f"/>
        </w:rPr>
        <w:t>.</w:t>
      </w:r>
      <w:r>
        <w:rPr>
          <w:rFonts w:ascii="Arial" w:cs="Arial" w:eastAsia="Arial" w:hAnsi="Arial"/>
          <w:b w:val="false"/>
          <w:bCs w:val="false"/>
          <w:i w:val="false"/>
          <w:iCs w:val="false"/>
          <w:smallCaps w:val="false"/>
          <w:color w:val="000000"/>
          <w:sz w:val="22"/>
          <w:szCs w:val="22"/>
          <w:u w:val="none"/>
          <w:shd w:val="clear" w:color="auto" w:fill="auto"/>
          <w:vertAlign w:val="baseline"/>
        </w:rPr>
        <w:br/>
      </w:r>
    </w:p>
    <w:p>
      <w:pPr>
        <w:pStyle w:val="style0"/>
        <w:numPr>
          <w:ilvl w:val="0"/>
          <w:numId w:val="2"/>
        </w:numPr>
        <w:pBdr>
          <w:left w:val="nil"/>
          <w:right w:val="nil"/>
          <w:top w:val="nil"/>
          <w:bottom w:val="nil"/>
          <w:between w:val="nil"/>
        </w:pBdr>
        <w:shd w:val="clear" w:color="auto" w:fill="auto"/>
        <w:spacing w:before="0" w:beforeAutospacing="false" w:after="120" w:lineRule="auto" w:line="276"/>
        <w:ind w:left="465" w:hanging="360"/>
        <w:jc w:val="both"/>
        <w:rPr/>
      </w:pPr>
      <w:r>
        <w:rPr>
          <w:rFonts w:ascii="Google Sans Text" w:cs="Google Sans Text" w:eastAsia="Google Sans Text" w:hAnsi="Google Sans Text"/>
          <w:color w:val="1f1f1f"/>
        </w:rPr>
        <w:t xml:space="preserve">OJK. (2024). </w:t>
      </w:r>
      <w:r>
        <w:rPr>
          <w:rFonts w:ascii="Google Sans Text" w:cs="Google Sans Text" w:eastAsia="Google Sans Text" w:hAnsi="Google Sans Text"/>
          <w:i/>
          <w:iCs/>
          <w:color w:val="1f1f1f"/>
        </w:rPr>
        <w:t>POJK No. 3 Tahun 2024</w:t>
      </w:r>
      <w:r>
        <w:rPr>
          <w:rFonts w:ascii="Google Sans Text" w:cs="Google Sans Text" w:eastAsia="Google Sans Text" w:hAnsi="Google Sans Text"/>
          <w:color w:val="1f1f1f"/>
        </w:rPr>
        <w:t>.</w:t>
      </w:r>
      <w:r>
        <w:rPr>
          <w:rFonts w:ascii="Arial" w:cs="Arial" w:eastAsia="Arial" w:hAnsi="Arial"/>
          <w:b w:val="false"/>
          <w:bCs w:val="false"/>
          <w:i w:val="false"/>
          <w:iCs w:val="false"/>
          <w:smallCaps w:val="false"/>
          <w:color w:val="000000"/>
          <w:sz w:val="22"/>
          <w:szCs w:val="22"/>
          <w:u w:val="none"/>
          <w:shd w:val="clear" w:color="auto" w:fill="auto"/>
          <w:vertAlign w:val="baseline"/>
        </w:rPr>
        <w:br/>
      </w:r>
    </w:p>
    <w:sectPr>
      <w:pgSz w:w="12240" w:h="15840" w:orient="portrait"/>
      <w:pgMar w:top="1440" w:right="1440" w:bottom="1440" w:left="1440" w:header="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465"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1">
    <w:nsid w:val="00000001"/>
    <w:multiLevelType w:val="multilevel"/>
    <w:tmpl w:val="FFFFFFFF"/>
    <w:lvl w:ilvl="0">
      <w:start w:val="1"/>
      <w:numFmt w:val="bullet"/>
      <w:lvlText w:val="●"/>
      <w:lvlJc w:val="left"/>
      <w:pPr>
        <w:ind w:left="465"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widowControl w:val="false"/>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pBdr>
        <w:left w:val="nil"/>
        <w:right w:val="nil"/>
        <w:top w:val="nil"/>
        <w:bottom w:val="nil"/>
        <w:between w:val="nil"/>
      </w:pBdr>
      <w:shd w:val="clear" w:color="auto" w:fill="auto"/>
      <w:spacing w:before="240" w:after="240"/>
    </w:pPr>
    <w:rPr>
      <w:b/>
      <w:bCs/>
      <w:i w:val="false"/>
      <w:iCs w:val="false"/>
      <w:sz w:val="48"/>
      <w:szCs w:val="48"/>
    </w:rPr>
  </w:style>
  <w:style w:type="paragraph" w:styleId="style2">
    <w:name w:val="heading 2"/>
    <w:basedOn w:val="style4098"/>
    <w:next w:val="style4098"/>
    <w:pPr>
      <w:pBdr>
        <w:left w:val="nil"/>
        <w:right w:val="nil"/>
        <w:top w:val="nil"/>
        <w:bottom w:val="nil"/>
        <w:between w:val="nil"/>
      </w:pBdr>
      <w:shd w:val="clear" w:color="auto" w:fill="auto"/>
      <w:spacing w:before="225" w:after="225"/>
    </w:pPr>
    <w:rPr>
      <w:b/>
      <w:bCs/>
      <w:i w:val="false"/>
      <w:iCs w:val="false"/>
      <w:sz w:val="36"/>
      <w:szCs w:val="36"/>
    </w:rPr>
  </w:style>
  <w:style w:type="paragraph" w:styleId="style3">
    <w:name w:val="heading 3"/>
    <w:basedOn w:val="style4098"/>
    <w:next w:val="style4098"/>
    <w:pPr>
      <w:pBdr>
        <w:left w:val="nil"/>
        <w:right w:val="nil"/>
        <w:top w:val="nil"/>
        <w:bottom w:val="nil"/>
        <w:between w:val="nil"/>
      </w:pBdr>
      <w:shd w:val="clear" w:color="auto" w:fill="auto"/>
      <w:spacing w:before="240" w:after="240"/>
    </w:pPr>
    <w:rPr>
      <w:b/>
      <w:bCs/>
      <w:i w:val="false"/>
      <w:iCs w:val="false"/>
      <w:sz w:val="28"/>
      <w:szCs w:val="28"/>
    </w:rPr>
  </w:style>
  <w:style w:type="paragraph" w:styleId="style4">
    <w:name w:val="heading 4"/>
    <w:basedOn w:val="style4098"/>
    <w:next w:val="style4098"/>
    <w:pPr>
      <w:pBdr>
        <w:left w:val="nil"/>
        <w:right w:val="nil"/>
        <w:top w:val="nil"/>
        <w:bottom w:val="nil"/>
        <w:between w:val="nil"/>
      </w:pBdr>
      <w:shd w:val="clear" w:color="auto" w:fill="auto"/>
      <w:spacing w:before="255" w:after="255"/>
    </w:pPr>
    <w:rPr>
      <w:b/>
      <w:bCs/>
      <w:i w:val="false"/>
      <w:iCs w:val="false"/>
      <w:sz w:val="24"/>
      <w:szCs w:val="24"/>
    </w:rPr>
  </w:style>
  <w:style w:type="paragraph" w:styleId="style5">
    <w:name w:val="heading 5"/>
    <w:basedOn w:val="style4098"/>
    <w:next w:val="style4098"/>
    <w:pPr>
      <w:pBdr>
        <w:left w:val="nil"/>
        <w:right w:val="nil"/>
        <w:top w:val="nil"/>
        <w:bottom w:val="nil"/>
        <w:between w:val="nil"/>
      </w:pBdr>
      <w:shd w:val="clear" w:color="auto" w:fill="auto"/>
      <w:spacing w:before="255" w:after="255"/>
    </w:pPr>
    <w:rPr>
      <w:b/>
      <w:bCs/>
      <w:i w:val="false"/>
      <w:iCs w:val="false"/>
      <w:sz w:val="18"/>
      <w:szCs w:val="18"/>
    </w:rPr>
  </w:style>
  <w:style w:type="paragraph" w:styleId="style6">
    <w:name w:val="heading 6"/>
    <w:basedOn w:val="style4098"/>
    <w:next w:val="style4098"/>
    <w:pPr>
      <w:pBdr>
        <w:left w:val="nil"/>
        <w:right w:val="nil"/>
        <w:top w:val="nil"/>
        <w:bottom w:val="nil"/>
        <w:between w:val="nil"/>
      </w:pBdr>
      <w:shd w:val="clear" w:color="auto" w:fill="auto"/>
      <w:spacing w:before="360" w:after="360"/>
    </w:pPr>
    <w:rPr>
      <w:b/>
      <w:bCs/>
      <w:i w:val="false"/>
      <w:iCs w:val="false"/>
      <w:sz w:val="16"/>
      <w:szCs w:val="16"/>
    </w:rPr>
  </w:style>
  <w:style w:type="paragraph" w:styleId="style62">
    <w:name w:val="Title"/>
    <w:basedOn w:val="style4098"/>
    <w:next w:val="style4098"/>
    <w:pPr>
      <w:keepNext/>
      <w:keepLines/>
      <w:pageBreakBefore w:val="false"/>
      <w:spacing w:before="480" w:after="120"/>
    </w:pPr>
    <w:rPr>
      <w:b/>
      <w:bCs/>
      <w:sz w:val="72"/>
      <w:szCs w:val="72"/>
    </w:rPr>
  </w:style>
  <w:style w:type="paragraph" w:styleId="style74">
    <w:name w:val="Subtitle"/>
    <w:basedOn w:val="style4098"/>
    <w:next w:val="style4098"/>
    <w:pPr>
      <w:keepNext/>
      <w:keepLines/>
      <w:pageBreakBefore w:val="false"/>
      <w:spacing w:before="360" w:after="80"/>
    </w:pPr>
    <w:rPr>
      <w:rFonts w:ascii="Georgia" w:cs="Georgia" w:eastAsia="Georgia" w:hAnsi="Georgia"/>
      <w:i/>
      <w:iCs/>
      <w:color w:val="666666"/>
      <w:sz w:val="48"/>
      <w:szCs w:val="48"/>
    </w:rPr>
  </w:style>
  <w:style w:type="table" w:customStyle="1" w:styleId="style4099">
    <w:basedOn w:val="style4097"/>
    <w:next w:val="style4099"/>
    <w:pPr/>
    <w:rPr/>
    <w:tblPr>
      <w:tblStyleRowBandSize w:val="1"/>
      <w:tblStyleColBandSize w:val="1"/>
    </w:tblPr>
    <w:tcPr>
      <w:tcBorders/>
    </w:tcPr>
  </w:style>
  <w:style w:type="table" w:customStyle="1" w:styleId="style4100">
    <w:basedOn w:val="style4097"/>
    <w:next w:val="style4100"/>
    <w:pPr/>
    <w:rPr/>
    <w:tblPr>
      <w:tblStyleRowBandSize w:val="1"/>
      <w:tblStyleColBandSize w:val="1"/>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977</Words>
  <Characters>6689</Characters>
  <Application>WPS Office</Application>
  <Paragraphs>111</Paragraphs>
  <CharactersWithSpaces>7592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2026-02-12T15:26:44Z</dcterms:created>
  <dc:creator>WPS Office</dc:creator>
  <lastModifiedBy>SM-F946B</lastModifiedBy>
  <dcterms:modified xsi:type="dcterms:W3CDTF">2026-02-12T15:26:44Z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9260a64d41ce48d9b5882b9f7a19b99d</vt:lpwstr>
  </property>
</Properties>
</file>