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sline Rate Sheet — Germany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Generated: 2026-05-29   |   Total prefixes: 114   |   Effective: 2026-05-29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p>
      <w:r>
        <w:rPr>
          <w:rFonts w:ascii="Arial" w:cs="Arial" w:eastAsia="Arial" w:hAnsi="Arial"/>
          <w:sz w:val="20"/>
          <w:szCs w:val="20"/>
        </w:rPr>
        <w:t xml:space="preserve">Germany Mobile (49150–49179): EUR 0.020 / min   |   23 prefixes</w:t>
      </w:r>
    </w:p>
    <w:p>
      <w:r>
        <w:rPr>
          <w:rFonts w:ascii="Arial" w:cs="Arial" w:eastAsia="Arial" w:hAnsi="Arial"/>
          <w:sz w:val="20"/>
          <w:szCs w:val="20"/>
        </w:rPr>
        <w:t xml:space="preserve">Germany Fixed (490x–499x): EUR 0.012 / min   |   91 prefixes</w:t>
      </w:r>
    </w:p>
    <w:p>
      <w:r>
        <w:t xml:space="preserve"/>
      </w:r>
    </w:p>
    <w:p>
      <w:pPr>
        <w:pStyle w:val="Heading2"/>
      </w:pPr>
      <w:r>
        <w:t xml:space="preserve">Rate Table</w:t>
      </w:r>
    </w:p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Import this table via Rates → Rate Import. Select the sline tariff and upload the CSV file provided alongside this document.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(EUR/min)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49179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0.020000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Germany Fixed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0.012000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2026-05-29T06:46:07.698Z</dcterms:created>
  <dcterms:modified xsi:type="dcterms:W3CDTF">2026-05-29T06:46:07.698Z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