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p>
      <w:r>
        <w:br w:type="page"/>
      </w:r>
    </w:p>
    <w:p>
      <w:pPr>
        <w:pStyle w:val="Heading1"/>
      </w:pPr>
      <w:r>
        <w:t>Vergleichskapitel / Comparative Chapter</w:t>
      </w:r>
    </w:p>
    <w:p>
      <w:r>
        <w:rPr>
          <w:b/>
        </w:rPr>
        <w:t xml:space="preserve">Zweite Simulation (stabile Ziel-Variante): </w:t>
      </w:r>
      <w:r>
        <w:t xml:space="preserve">TUS sine, Amp=0.04, f=0.002 MHz (2 kHz), t=10 s, steps=1000. </w:t>
      </w:r>
    </w:p>
    <w:p>
      <w:r>
        <w:rPr>
          <w:i/>
        </w:rPr>
        <w:t xml:space="preserve">Second simulation (stable target variant): </w:t>
      </w:r>
      <w:r>
        <w:rPr>
          <w:i/>
        </w:rPr>
        <w:t xml:space="preserve">TUS sine, amp=0.04, f=0.002 MHz (2 kHz), t=10 s, steps=1000. </w:t>
      </w:r>
    </w:p>
    <w:p>
      <w:r>
        <w:rPr>
          <w:b/>
        </w:rPr>
        <w:t xml:space="preserve">Δ̄ = 0.6992, σ(Δ) = 0.0254, BIC̄ = 255.342, Resonanz-Index = 18.00% — Status: </w:t>
      </w:r>
      <w:r>
        <w:rPr>
          <w:b/>
        </w:rPr>
        <w:t>KRITISCH</w:t>
      </w:r>
    </w:p>
    <w:p>
      <w:r>
        <w:rPr>
          <w:i/>
        </w:rPr>
        <w:t xml:space="preserve">Δ̄ = 0.6992, σ(Δ) = 0.0254, BIC̄ = 255.342, resonance index = 18.00% — 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V2-1: u(t) — 2 kHz, Amp 0.04. </w:t>
      </w:r>
      <w:r>
        <w:rPr>
          <w:i/>
        </w:rPr>
        <w:t>Fig. V2-1: u(t)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V2-2: Δ(t) — ideal vs. clipped (2 kHz, Amp 0.04). </w:t>
      </w:r>
      <w:r>
        <w:rPr>
          <w:i/>
        </w:rPr>
        <w:t>Fig. V2-2: Δ(t) — ideal vs. clipped (2 kHz, amp 0.04).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V2-3: BIC(t) — 2 kHz, Amp 0.04. </w:t>
      </w:r>
      <w:r>
        <w:rPr>
          <w:i/>
        </w:rPr>
        <w:t>Fig. V2-3: BIC(t)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V2-4: |Δ−0.70|(t) — 2 kHz, Amp 0.04. </w:t>
      </w:r>
      <w:r>
        <w:rPr>
          <w:i/>
        </w:rPr>
        <w:t>Fig. V2-4: |Δ−0.70|(t) — 2 kHz, amp 0.04.</w:t>
      </w:r>
    </w:p>
    <w:p>
      <w:r>
        <w:rPr>
          <w:b/>
        </w:rPr>
        <w:t xml:space="preserve">Vergleich zur ersten Simulation: </w:t>
      </w:r>
      <w:r>
        <w:t xml:space="preserve">Niedrigere Amplitude und Frequenz erhöhen die Verweildauer in Δ≈0.70, senken BIC und heben den Resonanz-Index. </w:t>
      </w:r>
    </w:p>
    <w:p>
      <w:r>
        <w:rPr>
          <w:i/>
        </w:rPr>
        <w:t xml:space="preserve">Comparison to the first simulation: </w:t>
      </w:r>
      <w:r>
        <w:rPr>
          <w:i/>
        </w:rPr>
        <w:t xml:space="preserve">Lower amplitude and frequency increase dwell time near Δ≈0.70, reduce BIC, and raise the resonance index.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