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Eurex (유렉스 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Eurex Frankfurt AG / Eurex Zürich AG</w:t>
      </w:r>
    </w:p>
    <w:p>
      <w:r>
        <w:t>국가: 독일 / 스위스 | 설립연도: 1998년 (DTB + SOFFEX 합병)</w:t>
      </w:r>
    </w:p>
    <w:p>
      <w:r>
        <w:t>모기관: Deutsche Börse AG</w:t>
      </w:r>
    </w:p>
    <w:p>
      <w:r>
        <w:t>시장 모델: 경매 + 연속매매 혼합형; 파생상품 중심, T7 플랫폼 Xetra(현물)와 공유</w:t>
      </w:r>
    </w:p>
    <w:p>
      <w:r>
        <w:t>거래 자산: 주가지수·개별주식·금리·배당·변동성·ETF·FX·상품·암호화폐 파생상품; Eurex Repo</w:t>
      </w:r>
    </w:p>
    <w:p>
      <w:r>
        <w:t>매매시간 (CET): 시스템 01:00; 정규 매매 08:00–22:00 (상품별 상이)</w:t>
      </w:r>
    </w:p>
    <w:p>
      <w:r>
        <w:t>주요 통계: 세계 최대 파생상품 거래소 중 하나; 2,000+ 상장 파생상품 계약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pPr>
        <w:pStyle w:val="ListBullet"/>
      </w:pPr>
      <w:r>
        <w:t>1998년 탄생부터 전자 거래소 — 물리적 플로어 경험 없음</w:t>
      </w:r>
    </w:p>
    <w:p>
      <w:pPr>
        <w:pStyle w:val="ListBullet"/>
      </w:pPr>
      <w:r>
        <w:t>T7 플랫폼을 Xetra(현물), EEX(에너지), Nodal Exchange와 공유 — 고유 이중용도 아키텍처</w:t>
      </w:r>
    </w:p>
    <w:p>
      <w:pPr>
        <w:pStyle w:val="ListBullet"/>
      </w:pPr>
      <w:r>
        <w:t>파생상품 특성상 시장조성자 프로그램이 핵심 (옵션 유동성 의존)</w:t>
      </w:r>
    </w:p>
    <w:p>
      <w:pPr>
        <w:pStyle w:val="ListBullet"/>
      </w:pPr>
      <w:r>
        <w:t>사전거래위험관리(Pre-trade Risk Controls) 강조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3–4. 주문유형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지정가 (Limit)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GFD/GTC/GTD/IOC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시장가 (Market)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최적가 체결; 전략 주문 미지원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시장가-지정가 전환 (Market-to-Limit)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잔량 지정가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스톱 / 스톱 지정가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트리거 시 시장가/지정가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양자택일 (OCO)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지정가 + 스톱 단일 ID 관리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빙산 (Iceberg)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부분 표시; 잔량 숨김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게시전용 (Book-or-Cancel, BOC)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즉시 체결 가능 시 거부 — 수동적 유동성만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개장경매/폐장경매/경매전용 주문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경매 상태에서만 활성</w:t>
            </w:r>
          </w:p>
        </w:tc>
      </w:tr>
    </w:tbl>
    <w:p>
      <w:r>
        <w:t>거래소 고유: OCO 단일 ID, BOC 게시전용, 전략 주문(다리 원자적 체결), 거래량 발견 주문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5–6. 매칭엔진 및 가격 발견</w:t>
      </w:r>
    </w:p>
    <w:p>
      <w:pPr>
        <w:pStyle w:val="Heading3"/>
      </w:pPr>
      <w:r>
        <w:t>T7 시스템</w:t>
      </w:r>
    </w:p>
    <w:p>
      <w:pPr>
        <w:pStyle w:val="ListBullet"/>
      </w:pPr>
      <w:r>
        <w:t>**지연시간**: 최소 반응 시간 ~2,787 ns; EOBI 시장데이터 ETI 응답 대비 중위 1.5μs 빠름</w:t>
      </w:r>
    </w:p>
    <w:p>
      <w:pPr>
        <w:pStyle w:val="ListBullet"/>
      </w:pPr>
      <w:r>
        <w:t>**처리량**: 코어 ~8,000 kHz; 참가자 레벨 ~300–500 kHz</w:t>
      </w:r>
    </w:p>
    <w:p>
      <w:pPr>
        <w:pStyle w:val="ListBullet"/>
      </w:pPr>
      <w:r>
        <w:t>**인프라**: Colo 2.0 (2025년 업그레이드); 나노초 타임스탬프</w:t>
      </w:r>
    </w:p>
    <w:p>
      <w:pPr>
        <w:pStyle w:val="ListBullet"/>
      </w:pPr>
      <w:r>
        <w:t>**인터페이스**: ETI (세션 기반 TCP/IP)</w:t>
      </w:r>
    </w:p>
    <w:p>
      <w:pPr>
        <w:pStyle w:val="Heading3"/>
      </w:pPr>
      <w:r>
        <w:t>매칭: 가격·시간 우선원칙; 일부 옵션 비례배분(pro-rata)</w:t>
      </w:r>
    </w:p>
    <w:p>
      <w:pPr>
        <w:pStyle w:val="Heading3"/>
      </w:pPr>
      <w:r>
        <w:t>경매: 사전매매 → 개장경매(축적→동결→체결) → 연속매매 → 폐장경매 → 사후매매</w:t>
      </w:r>
    </w:p>
    <w:p>
      <w:pPr>
        <w:pStyle w:val="Heading3"/>
      </w:pPr>
      <w:r>
        <w:t>변동성 중단: 체결가 이탈 시 변동성 경매 자동 전환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</w:t>
      </w:r>
    </w:p>
    <w:p>
      <w:pPr>
        <w:pStyle w:val="ListBullet"/>
      </w:pPr>
      <w:r>
        <w:t>**변동성 중단**: 단기/장기 창 가격 이탈 시 변동성 경매 전환 (상품별 매개변수)</w:t>
      </w:r>
    </w:p>
    <w:p>
      <w:pPr>
        <w:pStyle w:val="ListBullet"/>
      </w:pPr>
      <w:r>
        <w:t>**사전거래위험관리**: 최대 주문수량/금액, 가격합리성, 델타등가 통제, 메시지 스로틀링, 킬스위치</w:t>
      </w:r>
    </w:p>
    <w:p>
      <w:pPr>
        <w:pStyle w:val="ListBullet"/>
      </w:pPr>
      <w:r>
        <w:t>**시장 전체 서킷브레이커 없음**: 상품별 변동성 중단으로 대체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ListBullet"/>
      </w:pPr>
      <w:r>
        <w:t>개장/폐장 경매, 변동성 경매 (장중)</w:t>
      </w:r>
    </w:p>
    <w:p>
      <w:pPr>
        <w:pStyle w:val="ListBullet"/>
      </w:pPr>
      <w:r>
        <w:t>장외매매: 블록거래, EFP/EFS/EFR, Eurex EnLight (호가요청 플랫폼)</w:t>
      </w:r>
    </w:p>
    <w:p>
      <w:pPr>
        <w:pStyle w:val="ListBullet"/>
      </w:pPr>
      <w:r>
        <w:t>연장 매매시간: 22:00 CET까지; 아시아·미국 시간대 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시장조성자 의무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호가 의무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인센티브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RMM (일반)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호가요청 응대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 수수료 환급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PMM (상시)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연속 호가; 전 만기/델타 범위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높은 환급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AMM (고급)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가장 엄격한 의무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최고 인센티브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DMM (지정)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상품별 특별 계획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거래수수료 50% 환급</w:t>
            </w:r>
          </w:p>
        </w:tc>
      </w:tr>
    </w:tbl>
    <w:p>
      <w:pPr>
        <w:pStyle w:val="ListBullet"/>
      </w:pPr>
      <w:r>
        <w:t>2025년: EURO STOXX 50 옵션 90% 커버리지 요건 신설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출처: 영문 보고서 §10 참조 (REF 7개 + WEB 10개)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3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