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ASX (Australian Securities Exchange)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ASX Limited (Australian Securities Exchange)</w:t>
      </w:r>
    </w:p>
    <w:p>
      <w:r>
        <w:t>Country: Australia</w:t>
      </w:r>
    </w:p>
    <w:p>
      <w:r>
        <w:t>Founding Year: 1987 (merger of six state exchanges); demutualized 1998</w:t>
      </w:r>
    </w:p>
    <w:p>
      <w:r>
        <w:t>Parent Group: ASX Limited (self-listed: ASX.AX)</w:t>
      </w:r>
    </w:p>
    <w:p>
      <w:r>
        <w:t>Market Model: Order-driven with integrated dark pool (Centre Point)</w:t>
      </w:r>
    </w:p>
    <w:p>
      <w:r>
        <w:t>Asset Classes Traded:</w:t>
      </w:r>
    </w:p>
    <w:p>
      <w:pPr>
        <w:pStyle w:val="ListBullet"/>
      </w:pPr>
      <w:r>
        <w:t>Equities (ASX main board)</w:t>
      </w:r>
    </w:p>
    <w:p>
      <w:pPr>
        <w:pStyle w:val="ListBullet"/>
      </w:pPr>
      <w:r>
        <w:t>ETFs, ETPs, managed funds</w:t>
      </w:r>
    </w:p>
    <w:p>
      <w:pPr>
        <w:pStyle w:val="ListBullet"/>
      </w:pPr>
      <w:r>
        <w:t>Derivatives (equity options, index futures, interest rate)</w:t>
      </w:r>
    </w:p>
    <w:p>
      <w:pPr>
        <w:pStyle w:val="ListBullet"/>
      </w:pPr>
      <w:r>
        <w:t>Fixed income (government bonds, corporate bonds)</w:t>
      </w:r>
    </w:p>
    <w:p>
      <w:pPr>
        <w:pStyle w:val="ListBullet"/>
      </w:pPr>
      <w:r>
        <w:t>Warrants</w:t>
      </w:r>
    </w:p>
    <w:p>
      <w:r>
        <w:t>Regular Trading Hours (AEST/AEDT, UTC+10/+11):</w:t>
      </w:r>
    </w:p>
    <w:p>
      <w:pPr>
        <w:pStyle w:val="ListBullet"/>
      </w:pPr>
      <w:r>
        <w:t>Pre-opening: 07:00–10:00 (staggered open from ~09:59)</w:t>
      </w:r>
    </w:p>
    <w:p>
      <w:pPr>
        <w:pStyle w:val="ListBullet"/>
      </w:pPr>
      <w:r>
        <w:t>Normal trading: 10:00–16:00</w:t>
      </w:r>
    </w:p>
    <w:p>
      <w:pPr>
        <w:pStyle w:val="ListBullet"/>
      </w:pPr>
      <w:r>
        <w:t>Pre-closing: 16:00–16:10</w:t>
      </w:r>
    </w:p>
    <w:p>
      <w:pPr>
        <w:pStyle w:val="ListBullet"/>
      </w:pPr>
      <w:r>
        <w:t>Closing auction: 16:10–16:12</w:t>
      </w:r>
    </w:p>
    <w:p>
      <w:pPr>
        <w:pStyle w:val="ListBullet"/>
      </w:pPr>
      <w:r>
        <w:t>Post-trading: after 16:12</w:t>
      </w:r>
    </w:p>
    <w:p>
      <w:r>
        <w:t>Key Statistics:</w:t>
      </w:r>
    </w:p>
    <w:p>
      <w:pPr>
        <w:pStyle w:val="ListBullet"/>
      </w:pPr>
      <w:r>
        <w:t>Listed companies: ~2,200+</w:t>
      </w:r>
    </w:p>
    <w:p>
      <w:pPr>
        <w:pStyle w:val="ListBullet"/>
      </w:pPr>
      <w:r>
        <w:t>Market capitalization: ~A$2.8 trillion / ~US$1.8 trillion</w:t>
      </w:r>
    </w:p>
    <w:p>
      <w:pPr>
        <w:pStyle w:val="ListBullet"/>
      </w:pPr>
      <w:r>
        <w:t>Average daily turnover: ~A$4.685 billion</w:t>
      </w:r>
    </w:p>
    <w:p>
      <w:pPr>
        <w:pStyle w:val="ListBullet"/>
      </w:pPr>
      <w:r>
        <w:t>2025: 92 new listings (+37% vs 2024), adding A$38.8 billion market cap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Order-driven with integrated dark pool</w:t>
      </w:r>
    </w:p>
    <w:p>
      <w:pPr>
        <w:pStyle w:val="ListBullet"/>
      </w:pPr>
      <w:r>
        <w:t>Lit market (order book) + Centre Point (dark midpoint) on single platform</w:t>
      </w:r>
    </w:p>
    <w:p>
      <w:pPr>
        <w:pStyle w:val="ListBullet"/>
      </w:pPr>
      <w:r>
        <w:t>Unique integration: dark and lit operate together, not as separate venues</w:t>
      </w:r>
    </w:p>
    <w:p>
      <w:pPr>
        <w:pStyle w:val="ListBullet"/>
      </w:pPr>
      <w:r>
        <w:t>Price-time priority on lit; midpoint matching on dark</w:t>
      </w:r>
    </w:p>
    <w:p>
      <w:r>
        <w:t>Design Rationale:</w:t>
      </w:r>
    </w:p>
    <w:p>
      <w:pPr>
        <w:pStyle w:val="ListBullet"/>
      </w:pPr>
      <w:r>
        <w:t>Single-exchange market for Australian equities (no competing exchanges until Cboe Australia 2011)</w:t>
      </w:r>
    </w:p>
    <w:p>
      <w:pPr>
        <w:pStyle w:val="ListBullet"/>
      </w:pPr>
      <w:r>
        <w:t>Centre Point provides institutional-grade dark liquidity without fragmenting the market</w:t>
      </w:r>
    </w:p>
    <w:p>
      <w:pPr>
        <w:pStyle w:val="ListBullet"/>
      </w:pPr>
      <w:r>
        <w:t>"Meaningful price improvement" rule: dark trades must execute at NBBO midpoint or better (ASIC regulation)</w:t>
      </w:r>
    </w:p>
    <w:p>
      <w:pPr>
        <w:pStyle w:val="ListBullet"/>
      </w:pPr>
      <w:r>
        <w:t>Emphasis on market integrity — ASIC Market Integrity Rules govern all venues</w:t>
      </w:r>
    </w:p>
    <w:p>
      <w:r>
        <w:t>Role of Intermediaries:</w:t>
      </w:r>
    </w:p>
    <w:p>
      <w:pPr>
        <w:pStyle w:val="ListBullet"/>
      </w:pPr>
      <w:r>
        <w:t>**ETO Market Makers**: Contractual for equity options (quoting obligations)</w:t>
      </w:r>
    </w:p>
    <w:p>
      <w:pPr>
        <w:pStyle w:val="ListBullet"/>
      </w:pPr>
      <w:r>
        <w:t>**ETP Market Makers**: For ETFs/ETPs</w:t>
      </w:r>
    </w:p>
    <w:p>
      <w:pPr>
        <w:pStyle w:val="ListBullet"/>
      </w:pPr>
      <w:r>
        <w:t>**No mandatory equity market makers** — lit market relies on natural order flow</w:t>
      </w:r>
    </w:p>
    <w:p>
      <w:pPr>
        <w:pStyle w:val="ListBullet"/>
      </w:pPr>
      <w:r>
        <w:t>Market-to-limit default for "market orders" provides implicit price protection</w:t>
      </w:r>
    </w:p>
    <w:p>
      <w:r>
        <w:t>Evolution: Six state exchanges → ASX (1987) → demutualized (1998) → ASX Trade platform → Centre Point dark pool → CHESS replacement project (ongoing)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</w:t>
      </w:r>
    </w:p>
    <w:p>
      <w:pPr>
        <w:pStyle w:val="ListBullet"/>
      </w:pPr>
      <w:r>
        <w:t>Specifies maximum buy / minimum sell price</w:t>
      </w:r>
    </w:p>
    <w:p>
      <w:pPr>
        <w:pStyle w:val="ListBullet"/>
      </w:pPr>
      <w:r>
        <w:t>Available in lit market, auctions, and Centre Point</w:t>
      </w:r>
    </w:p>
    <w:p>
      <w:pPr>
        <w:pStyle w:val="ListBullet"/>
      </w:pPr>
      <w:r>
        <w:t>Time-in-force: Day (GFD), GTC</w:t>
      </w:r>
    </w:p>
    <w:p>
      <w:pPr>
        <w:pStyle w:val="Heading3"/>
      </w:pPr>
      <w:r>
        <w:t>3.2 Market-to-Limit Order</w:t>
      </w:r>
    </w:p>
    <w:p>
      <w:pPr>
        <w:pStyle w:val="ListBullet"/>
      </w:pPr>
      <w:r>
        <w:t>ASX's default "market order" implementation</w:t>
      </w:r>
    </w:p>
    <w:p>
      <w:pPr>
        <w:pStyle w:val="ListBullet"/>
      </w:pPr>
      <w:r>
        <w:t>Fills at best available price; remainder converts to limit at last execution price</w:t>
      </w:r>
    </w:p>
    <w:p>
      <w:pPr>
        <w:pStyle w:val="ListBullet"/>
      </w:pPr>
      <w:r>
        <w:t>Prevents adverse multi-level sweep — built-in price protection</w:t>
      </w:r>
    </w:p>
    <w:p>
      <w:pPr>
        <w:pStyle w:val="Heading3"/>
      </w:pPr>
      <w:r>
        <w:t>3.3 Fill-or-Kill (FOK)</w:t>
      </w:r>
    </w:p>
    <w:p>
      <w:pPr>
        <w:pStyle w:val="ListBullet"/>
      </w:pPr>
      <w:r>
        <w:t>Must fill entirely or cancel completely</w:t>
      </w:r>
    </w:p>
    <w:p>
      <w:pPr>
        <w:pStyle w:val="ListBullet"/>
      </w:pPr>
      <w:r>
        <w:t>Immediate execution required</w:t>
      </w:r>
    </w:p>
    <w:p>
      <w:pPr>
        <w:pStyle w:val="Heading3"/>
      </w:pPr>
      <w:r>
        <w:t>3.4 Fill-and-Kill (FAK / IOC)</w:t>
      </w:r>
    </w:p>
    <w:p>
      <w:pPr>
        <w:pStyle w:val="ListBullet"/>
      </w:pPr>
      <w:r>
        <w:t>Fills available quantity immediately; cancels remainder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Iceberg Order</w:t>
      </w:r>
    </w:p>
    <w:p>
      <w:pPr>
        <w:pStyle w:val="ListBullet"/>
      </w:pPr>
      <w:r>
        <w:t>Large order split into smaller child orders</w:t>
      </w:r>
    </w:p>
    <w:p>
      <w:pPr>
        <w:pStyle w:val="ListBullet"/>
      </w:pPr>
      <w:r>
        <w:t>Only current child visible in order book</w:t>
      </w:r>
    </w:p>
    <w:p>
      <w:pPr>
        <w:pStyle w:val="ListBullet"/>
      </w:pPr>
      <w:r>
        <w:t>Price-time priority applies to each displayed child</w:t>
      </w:r>
    </w:p>
    <w:p>
      <w:pPr>
        <w:pStyle w:val="ListBullet"/>
      </w:pPr>
      <w:r>
        <w:t>Reserve replenishes automatically</w:t>
      </w:r>
    </w:p>
    <w:p>
      <w:pPr>
        <w:pStyle w:val="Heading3"/>
      </w:pPr>
      <w:r>
        <w:t>4.2 Good-Till-Cancel (GTC)</w:t>
      </w:r>
    </w:p>
    <w:p>
      <w:pPr>
        <w:pStyle w:val="ListBullet"/>
      </w:pPr>
      <w:r>
        <w:t>Persistent order — remains active across trading days until filled or cancelled</w:t>
      </w:r>
    </w:p>
    <w:p>
      <w:pPr>
        <w:pStyle w:val="ListBullet"/>
      </w:pPr>
      <w:r>
        <w:t>Available on ASX (unlike KRX, TSE, HKEX which are day-only)</w:t>
      </w:r>
    </w:p>
    <w:p>
      <w:pPr>
        <w:pStyle w:val="Heading3"/>
      </w:pPr>
      <w:r>
        <w:t>4.3 Centre Point Orders</w:t>
      </w:r>
    </w:p>
    <w:p>
      <w:pPr>
        <w:pStyle w:val="ListBullet"/>
      </w:pPr>
      <w:r>
        <w:t>**Centre Point Limit**: Dark order at midpoint or better</w:t>
      </w:r>
    </w:p>
    <w:p>
      <w:pPr>
        <w:pStyle w:val="ListBullet"/>
      </w:pPr>
      <w:r>
        <w:t>**Centre Point Block**: Minimum quantity required; midpoint only; single fill</w:t>
      </w:r>
    </w:p>
    <w:p>
      <w:pPr>
        <w:pStyle w:val="ListBullet"/>
      </w:pPr>
      <w:r>
        <w:t>**Any Price Block**: Block order with minimum acceptable quantity (MAQ)</w:t>
      </w:r>
    </w:p>
    <w:p>
      <w:pPr>
        <w:pStyle w:val="ListBullet"/>
      </w:pPr>
      <w:r>
        <w:t>**ASX Sweep**: Sweeps Centre Point first, then lit market — integrated dark-lit routing</w:t>
      </w:r>
    </w:p>
    <w:p>
      <w:pPr>
        <w:pStyle w:val="Heading3"/>
      </w:pPr>
      <w:r>
        <w:t>4.4 Unintentional Crossing Prevention (UCP)</w:t>
      </w:r>
    </w:p>
    <w:p>
      <w:pPr>
        <w:pStyle w:val="ListBullet"/>
      </w:pPr>
      <w:r>
        <w:t>Optional service preventing self-trades</w:t>
      </w:r>
    </w:p>
    <w:p>
      <w:pPr>
        <w:pStyle w:val="ListBullet"/>
      </w:pPr>
      <w:r>
        <w:t>Available via OMNet, FIX, or OUCH protocols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Centre Point Order</w:t>
      </w:r>
    </w:p>
    <w:p>
      <w:pPr>
        <w:pStyle w:val="ListBullet"/>
      </w:pPr>
      <w:r>
        <w:t>**ASX-unique**: Integrated exchange-operated dark pool orders</w:t>
      </w:r>
    </w:p>
    <w:p>
      <w:pPr>
        <w:pStyle w:val="ListBullet"/>
      </w:pPr>
      <w:r>
        <w:t>Anonymous midpoint matching — all dark trades execute at NBBO midpoint</w:t>
      </w:r>
    </w:p>
    <w:p>
      <w:pPr>
        <w:pStyle w:val="ListBullet"/>
      </w:pPr>
      <w:r>
        <w:t>Off-tick execution permitted (4 decimal places)</w:t>
      </w:r>
    </w:p>
    <w:p>
      <w:pPr>
        <w:pStyle w:val="ListBullet"/>
      </w:pPr>
      <w:r>
        <w:t>30-second activity window after cross initiation</w:t>
      </w:r>
    </w:p>
    <w:p>
      <w:pPr>
        <w:pStyle w:val="ListBullet"/>
      </w:pPr>
      <w:r>
        <w:t>CXXT trade code for Centre Point crosses</w:t>
      </w:r>
    </w:p>
    <w:p>
      <w:pPr>
        <w:pStyle w:val="ListBullet"/>
      </w:pPr>
      <w:r>
        <w:t>Rationale: Provides institutional price improvement without market fragmentation</w:t>
      </w:r>
    </w:p>
    <w:p>
      <w:pPr>
        <w:pStyle w:val="Heading3"/>
      </w:pPr>
      <w:r>
        <w:t>5.2 ASX Sweep Order</w:t>
      </w:r>
    </w:p>
    <w:p>
      <w:pPr>
        <w:pStyle w:val="ListBullet"/>
      </w:pPr>
      <w:r>
        <w:t>**ASX-unique**: Integrated dark-then-lit routing</w:t>
      </w:r>
    </w:p>
    <w:p>
      <w:pPr>
        <w:pStyle w:val="ListBullet"/>
      </w:pPr>
      <w:r>
        <w:t>First attempts Centre Point midpoint fill; remainder routes to lit order book</w:t>
      </w:r>
    </w:p>
    <w:p>
      <w:pPr>
        <w:pStyle w:val="ListBullet"/>
      </w:pPr>
      <w:r>
        <w:t>Single order achieves best execution across both venues</w:t>
      </w:r>
    </w:p>
    <w:p>
      <w:pPr>
        <w:pStyle w:val="ListBullet"/>
      </w:pPr>
      <w:r>
        <w:t>No equivalent on exchanges that don't operate integrated dark pools</w:t>
      </w:r>
    </w:p>
    <w:p>
      <w:pPr>
        <w:pStyle w:val="Heading3"/>
      </w:pPr>
      <w:r>
        <w:t>5.3 Market-to-Limit Default</w:t>
      </w:r>
    </w:p>
    <w:p>
      <w:pPr>
        <w:pStyle w:val="ListBullet"/>
      </w:pPr>
      <w:r>
        <w:t>ASX's "market order" is actually market-to-limit by default</w:t>
      </w:r>
    </w:p>
    <w:p>
      <w:pPr>
        <w:pStyle w:val="ListBullet"/>
      </w:pPr>
      <w:r>
        <w:t>Unique implicit price protection — prevents full sweep of order book</w:t>
      </w:r>
    </w:p>
    <w:p>
      <w:pPr>
        <w:pStyle w:val="ListBullet"/>
      </w:pPr>
      <w:r>
        <w:t>Different from pure market orders on KRX, NYSE, NASDAQ, TSE</w:t>
      </w:r>
    </w:p>
    <w:p>
      <w:pPr>
        <w:pStyle w:val="Heading3"/>
      </w:pPr>
      <w:r>
        <w:t>5.4 Centre Point Block with MAQ</w:t>
      </w:r>
    </w:p>
    <w:p>
      <w:pPr>
        <w:pStyle w:val="ListBullet"/>
      </w:pPr>
      <w:r>
        <w:t>Minimum Acceptable Quantity (MAQ) prevents partial fills on large orders</w:t>
      </w:r>
    </w:p>
    <w:p>
      <w:pPr>
        <w:pStyle w:val="ListBullet"/>
      </w:pPr>
      <w:r>
        <w:t>Anti-gaming: protects against "pinging" (small orders probing dark liquidity)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ASX Trade</w:t>
      </w:r>
    </w:p>
    <w:p>
      <w:pPr>
        <w:pStyle w:val="ListBullet"/>
      </w:pPr>
      <w:r>
        <w:t>Integrated platform for lit markets, Centre Point, and auctions</w:t>
      </w:r>
    </w:p>
    <w:p>
      <w:pPr>
        <w:pStyle w:val="ListBullet"/>
      </w:pPr>
      <w:r>
        <w:t>Protocols: OMNet, FIX, **OUCH** (low-latency, similar to NASDAQ)</w:t>
      </w:r>
    </w:p>
    <w:p>
      <w:pPr>
        <w:pStyle w:val="ListBullet"/>
      </w:pPr>
      <w:r>
        <w:t>CHESS: Clearing House Electronic Sub-register System (settlement infrastructure)</w:t>
      </w:r>
    </w:p>
    <w:p>
      <w:pPr>
        <w:pStyle w:val="ListBullet"/>
      </w:pPr>
      <w:r>
        <w:t>CHESS replacement project ongoing (distributed ledger technology exploration)</w:t>
      </w:r>
    </w:p>
    <w:p>
      <w:pPr>
        <w:pStyle w:val="Heading3"/>
      </w:pPr>
      <w:r>
        <w:t>Matching Algorithm</w:t>
      </w:r>
    </w:p>
    <w:p>
      <w:pPr>
        <w:pStyle w:val="ListBullet"/>
      </w:pPr>
      <w:r>
        <w:t>**Lit market**: Price-time priority</w:t>
      </w:r>
    </w:p>
    <w:p>
      <w:pPr>
        <w:pStyle w:val="ListBullet"/>
      </w:pPr>
      <w:r>
        <w:t>**Centre Point**: Midpoint price matching; priority by time of entry</w:t>
      </w:r>
    </w:p>
    <w:p>
      <w:pPr>
        <w:pStyle w:val="ListBullet"/>
      </w:pPr>
      <w:r>
        <w:t>**Auctions**: Single-price equilibrium (maximize volume)</w:t>
      </w:r>
    </w:p>
    <w:p>
      <w:pPr>
        <w:pStyle w:val="Heading3"/>
      </w:pPr>
      <w:r>
        <w:t>Opening Auction</w:t>
      </w:r>
    </w:p>
    <w:p>
      <w:pPr>
        <w:pStyle w:val="ListBullet"/>
      </w:pPr>
      <w:r>
        <w:t>**07:00–~10:00**: Pre-opening order accumulation (no matching)</w:t>
      </w:r>
    </w:p>
    <w:p>
      <w:pPr>
        <w:pStyle w:val="ListBullet"/>
      </w:pPr>
      <w:r>
        <w:t>**~09:59 + random 15 sec**: Staggered opening — securities open alphabetically over ~10 minutes</w:t>
      </w:r>
    </w:p>
    <w:p>
      <w:pPr>
        <w:pStyle w:val="ListBullet"/>
      </w:pPr>
      <w:r>
        <w:t>Single-price auction per security at opening</w:t>
      </w:r>
    </w:p>
    <w:p>
      <w:pPr>
        <w:pStyle w:val="Heading3"/>
      </w:pPr>
      <w:r>
        <w:t>Closing Auction</w:t>
      </w:r>
    </w:p>
    <w:p>
      <w:pPr>
        <w:pStyle w:val="ListBullet"/>
      </w:pPr>
      <w:r>
        <w:t>**16:00–16:10**: Pre-closing (order accumulation)</w:t>
      </w:r>
    </w:p>
    <w:p>
      <w:pPr>
        <w:pStyle w:val="ListBullet"/>
      </w:pPr>
      <w:r>
        <w:t>**16:10–16:12**: Closing single-price auction</w:t>
      </w:r>
    </w:p>
    <w:p>
      <w:pPr>
        <w:pStyle w:val="ListBullet"/>
      </w:pPr>
      <w:r>
        <w:t>Sets official closing price for index calculation</w:t>
      </w:r>
    </w:p>
    <w:p>
      <w:pPr>
        <w:pStyle w:val="Heading3"/>
      </w:pPr>
      <w:r>
        <w:t>Tick Size (Price Steps)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Price Range (A$)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Tick 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 to $0.10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$0.10–$2.00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$2.00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$0.01</w:t>
            </w:r>
          </w:p>
        </w:tc>
      </w:tr>
    </w:tbl>
    <w:p>
      <w:pPr>
        <w:pStyle w:val="Heading3"/>
      </w:pPr>
      <w:r>
        <w:t>Lot Size</w:t>
      </w:r>
    </w:p>
    <w:p>
      <w:pPr>
        <w:pStyle w:val="ListBullet"/>
      </w:pPr>
      <w:r>
        <w:t>Standard: 1 share (no minimum lot for most securities)</w:t>
      </w:r>
    </w:p>
    <w:p>
      <w:pPr>
        <w:pStyle w:val="ListBullet"/>
      </w:pPr>
      <w:r>
        <w:t>Odd lots: Supported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Anomalous Order Thresholds (AOT)</w:t>
      </w:r>
    </w:p>
    <w:p>
      <w:pPr>
        <w:pStyle w:val="ListBullet"/>
      </w:pPr>
      <w:r>
        <w:t>ASIC Market Integrity Rule — applied to all Australian markets</w:t>
      </w:r>
    </w:p>
    <w:p>
      <w:pPr>
        <w:pStyle w:val="ListBullet"/>
      </w:pPr>
      <w:r>
        <w:t>Reference price: VWAP of previous 2 minutes, updated every minute</w:t>
      </w:r>
    </w:p>
    <w:p>
      <w:pPr>
        <w:pStyle w:val="ListBullet"/>
      </w:pPr>
      <w:r>
        <w:t>Orders &gt; **±10% from reference price** rejected as anomalous</w:t>
      </w:r>
    </w:p>
    <w:p>
      <w:pPr>
        <w:pStyle w:val="ListBullet"/>
      </w:pPr>
      <w:r>
        <w:t>Prevents fat-finger errors and extreme mis-pricing</w:t>
      </w:r>
    </w:p>
    <w:p>
      <w:pPr>
        <w:pStyle w:val="Heading3"/>
      </w:pPr>
      <w:r>
        <w:t>7.2 Extreme Trade Range (ETR)</w:t>
      </w:r>
    </w:p>
    <w:p>
      <w:pPr>
        <w:pStyle w:val="ListBullet"/>
      </w:pPr>
      <w:r>
        <w:t>If trade would execute outside extreme range: **2-minute trading pause**</w:t>
      </w:r>
    </w:p>
    <w:p>
      <w:pPr>
        <w:pStyle w:val="ListBullet"/>
      </w:pPr>
      <w:r>
        <w:t>Individual security level (not market-wide)</w:t>
      </w:r>
    </w:p>
    <w:p>
      <w:pPr>
        <w:pStyle w:val="ListBullet"/>
      </w:pPr>
      <w:r>
        <w:t>Brief cooling-off for price discovery correction</w:t>
      </w:r>
    </w:p>
    <w:p>
      <w:pPr>
        <w:pStyle w:val="Heading3"/>
      </w:pPr>
      <w:r>
        <w:t>7.3 No Market-Wide Circuit Breaker</w:t>
      </w:r>
    </w:p>
    <w:p>
      <w:pPr>
        <w:pStyle w:val="ListBullet"/>
      </w:pPr>
      <w:r>
        <w:t>Australia does NOT have US-style market-wide circuit breakers</w:t>
      </w:r>
    </w:p>
    <w:p>
      <w:pPr>
        <w:pStyle w:val="ListBullet"/>
      </w:pPr>
      <w:r>
        <w:t>Individual security controls via AOT and ETR</w:t>
      </w:r>
    </w:p>
    <w:p>
      <w:pPr>
        <w:pStyle w:val="ListBullet"/>
      </w:pPr>
      <w:r>
        <w:t>ASIC can suspend trading in individual securities or market-wide as regulator</w:t>
      </w:r>
    </w:p>
    <w:p>
      <w:pPr>
        <w:pStyle w:val="Heading3"/>
      </w:pPr>
      <w:r>
        <w:t>7.4 "Meaningful Price Improvement" Rule (ASIC)</w:t>
      </w:r>
    </w:p>
    <w:p>
      <w:pPr>
        <w:pStyle w:val="ListBullet"/>
      </w:pPr>
      <w:r>
        <w:t>Dark pool trades below A$200,000: Must execute at NBBO midpoint or with ≥1 tick improvement</w:t>
      </w:r>
    </w:p>
    <w:p>
      <w:pPr>
        <w:pStyle w:val="ListBullet"/>
      </w:pPr>
      <w:r>
        <w:t>Ensures dark trading provides genuine price improvement</w:t>
      </w:r>
    </w:p>
    <w:p>
      <w:pPr>
        <w:pStyle w:val="ListBullet"/>
      </w:pPr>
      <w:r>
        <w:t>Unique Australian regulatory approach to dark pool governance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Pre-Opening (07:00–~10:00)</w:t>
      </w:r>
    </w:p>
    <w:p>
      <w:pPr>
        <w:pStyle w:val="ListBullet"/>
      </w:pPr>
      <w:r>
        <w:t>Order entry from 07:00; no matching</w:t>
      </w:r>
    </w:p>
    <w:p>
      <w:pPr>
        <w:pStyle w:val="ListBullet"/>
      </w:pPr>
      <w:r>
        <w:t>Staggered opening: securities open alphabetically from ~09:59 + random 15 sec</w:t>
      </w:r>
    </w:p>
    <w:p>
      <w:pPr>
        <w:pStyle w:val="Heading3"/>
      </w:pPr>
      <w:r>
        <w:t>8.2 Normal Trading (10:00–16:00)</w:t>
      </w:r>
    </w:p>
    <w:p>
      <w:pPr>
        <w:pStyle w:val="ListBullet"/>
      </w:pPr>
      <w:r>
        <w:t>Continuous matching: lit market + Centre Point</w:t>
      </w:r>
    </w:p>
    <w:p>
      <w:pPr>
        <w:pStyle w:val="ListBullet"/>
      </w:pPr>
      <w:r>
        <w:t>All order types available</w:t>
      </w:r>
    </w:p>
    <w:p>
      <w:pPr>
        <w:pStyle w:val="Heading3"/>
      </w:pPr>
      <w:r>
        <w:t>8.3 Pre-Closing / Closing Auction (16:00–16:12)</w:t>
      </w:r>
    </w:p>
    <w:p>
      <w:pPr>
        <w:pStyle w:val="ListBullet"/>
      </w:pPr>
      <w:r>
        <w:t>16:00–16:10: Pre-closing order accumulation</w:t>
      </w:r>
    </w:p>
    <w:p>
      <w:pPr>
        <w:pStyle w:val="ListBullet"/>
      </w:pPr>
      <w:r>
        <w:t>16:10–16:12: Single-price closing auction</w:t>
      </w:r>
    </w:p>
    <w:p>
      <w:pPr>
        <w:pStyle w:val="Heading3"/>
      </w:pPr>
      <w:r>
        <w:t>8.4 Centre Point (Dark)</w:t>
      </w:r>
    </w:p>
    <w:p>
      <w:pPr>
        <w:pStyle w:val="ListBullet"/>
      </w:pPr>
      <w:r>
        <w:t>Operates during normal trading hours</w:t>
      </w:r>
    </w:p>
    <w:p>
      <w:pPr>
        <w:pStyle w:val="ListBullet"/>
      </w:pPr>
      <w:r>
        <w:t>Midpoint matching at NBBO mid</w:t>
      </w:r>
    </w:p>
    <w:p>
      <w:pPr>
        <w:pStyle w:val="ListBullet"/>
      </w:pPr>
      <w:r>
        <w:t>Centre Point Block, Centre Point Limit, ASX Sweep order types</w:t>
      </w:r>
    </w:p>
    <w:p>
      <w:pPr>
        <w:pStyle w:val="ListBullet"/>
      </w:pPr>
      <w:r>
        <w:t>Australia's largest dark pool</w:t>
      </w:r>
    </w:p>
    <w:p>
      <w:pPr>
        <w:pStyle w:val="Heading3"/>
      </w:pPr>
      <w:r>
        <w:t>8.5 Trade Reporting Facility (TRF)</w:t>
      </w:r>
    </w:p>
    <w:p>
      <w:pPr>
        <w:pStyle w:val="ListBullet"/>
      </w:pPr>
      <w:r>
        <w:t>Off-market and administrative trades</w:t>
      </w:r>
    </w:p>
    <w:p>
      <w:pPr>
        <w:pStyle w:val="ListBullet"/>
      </w:pPr>
      <w:r>
        <w:t>Block trades, portfolio trades, late/out-of-hours trades</w:t>
      </w:r>
    </w:p>
    <w:p>
      <w:pPr>
        <w:pStyle w:val="ListBullet"/>
      </w:pPr>
      <w:r>
        <w:t>Reported post-trade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ETO (Exchange Traded Options) Market Makers</w:t>
      </w:r>
    </w:p>
    <w:p>
      <w:pPr>
        <w:pStyle w:val="ListBullet"/>
      </w:pPr>
      <w:r>
        <w:t>Contractual arrangements with ASX</w:t>
      </w:r>
    </w:p>
    <w:p>
      <w:pPr>
        <w:pStyle w:val="ListBullet"/>
      </w:pPr>
      <w:r>
        <w:t>Quoting obligations: minimum 50% on each benchmark, combined 70% average</w:t>
      </w:r>
    </w:p>
    <w:p>
      <w:pPr>
        <w:pStyle w:val="ListBullet"/>
      </w:pPr>
      <w:r>
        <w:t>Continuous quotes + response to quote requests</w:t>
      </w:r>
    </w:p>
    <w:p>
      <w:pPr>
        <w:pStyle w:val="ListBullet"/>
      </w:pPr>
      <w:r>
        <w:t>Minimum time-in-market and liquidity requirements</w:t>
      </w:r>
    </w:p>
    <w:p>
      <w:pPr>
        <w:pStyle w:val="ListBullet"/>
      </w:pPr>
      <w:r>
        <w:t>Maximum bid-ask spread limits</w:t>
      </w:r>
    </w:p>
    <w:p>
      <w:pPr>
        <w:pStyle w:val="ListBullet"/>
      </w:pPr>
      <w:r>
        <w:t>Nov 2025: Updated quoting obligations and special size levels</w:t>
      </w:r>
    </w:p>
    <w:p>
      <w:pPr>
        <w:pStyle w:val="Heading3"/>
      </w:pPr>
      <w:r>
        <w:t>9.2 ETP Market Makers</w:t>
      </w:r>
    </w:p>
    <w:p>
      <w:pPr>
        <w:pStyle w:val="ListBullet"/>
      </w:pPr>
      <w:r>
        <w:t>Similar structure to ETO MMs</w:t>
      </w:r>
    </w:p>
    <w:p>
      <w:pPr>
        <w:pStyle w:val="ListBullet"/>
      </w:pPr>
      <w:r>
        <w:t>Quoting obligations for ETFs and exchange-traded products</w:t>
      </w:r>
    </w:p>
    <w:p>
      <w:pPr>
        <w:pStyle w:val="ListBullet"/>
      </w:pPr>
      <w:r>
        <w:t>Ensures liquidity in index tracking products</w:t>
      </w:r>
    </w:p>
    <w:p>
      <w:pPr>
        <w:pStyle w:val="Heading3"/>
      </w:pPr>
      <w:r>
        <w:t>9.3 Equity Market — No MM Program</w:t>
      </w:r>
    </w:p>
    <w:p>
      <w:pPr>
        <w:pStyle w:val="ListBullet"/>
      </w:pPr>
      <w:r>
        <w:t>No mandatory market maker for general equities</w:t>
      </w:r>
    </w:p>
    <w:p>
      <w:pPr>
        <w:pStyle w:val="ListBullet"/>
      </w:pPr>
      <w:r>
        <w:t>Lit market liquidity from natural order flow</w:t>
      </w:r>
    </w:p>
    <w:p>
      <w:pPr>
        <w:pStyle w:val="ListBullet"/>
      </w:pPr>
      <w:r>
        <w:t>Centre Point provides additional anonymous dark liquidity</w:t>
      </w:r>
    </w:p>
    <w:p>
      <w:pPr>
        <w:pStyle w:val="ListBullet"/>
      </w:pPr>
      <w:r>
        <w:t>Similar to TSE, HKEX approach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ASX, "ASX Equities Trading", https://www.asx.com.au/markets/trade-our-cash-market/asx-equities-trading.html</w:t>
      </w:r>
    </w:p>
    <w:p>
      <w:r>
        <w:t>ASX, "Order Controls", https://www.asx.com.au/markets/trade-our-cash-market/asx-equities-trading/order-controls</w:t>
      </w:r>
    </w:p>
    <w:p>
      <w:r>
        <w:t>ASX, "ASX Centre Point", https://www.asx.com.au/markets/trade-our-cash-market/asx-equities-trading/asx-centre-point.html</w:t>
      </w:r>
    </w:p>
    <w:p>
      <w:r>
        <w:t>ASX, "ASX Trade New Order Types (PDF)", https://www.asx.com.au/documents/resources/asx_trade_new_order_types.pdf</w:t>
      </w:r>
    </w:p>
    <w:p>
      <w:r>
        <w:t>ASX, "Operating Rules Procedures — Draft (PDF)", https://www.asx.com.au/documents/rules/Draft_ASX_Operating_Rules_procedures.pdf</w:t>
      </w:r>
    </w:p>
    <w:p>
      <w:r>
        <w:t>ASX, "Operating Rules Procedures — 2010 (PDF)", https://www.asx.com.au/documents/rules/asx_or_procedures.pdf</w:t>
      </w:r>
    </w:p>
    <w:p>
      <w:pPr>
        <w:pStyle w:val="Heading3"/>
      </w:pPr>
      <w:r>
        <w:t>Web Sources (Priority 3 — Gap Fill)</w:t>
      </w:r>
    </w:p>
    <w:p>
      <w:r>
        <w:t>Australian Securities Exchange — Wikipedia, https://en.wikipedia.org/wiki/Australian_Securities_Exchange, Accessed 2026-03-27</w:t>
      </w:r>
    </w:p>
    <w:p>
      <w:r>
        <w:t>"Cash Market Trading Hours", https://www.asx.com.au/markets/market-resources/trading-hours-calendar/cash-market-trading-hours, Accessed 2026-03-27</w:t>
      </w:r>
    </w:p>
    <w:p>
      <w:r>
        <w:t>"ASX Centre Point", https://www.asx.com.au/markets/trade-our-cash-market/asx-equities-trading/asx-centre-point, Accessed 2026-03-27</w:t>
      </w:r>
    </w:p>
    <w:p>
      <w:r>
        <w:t>"Market Maker Arrangements", https://www.asx.com.au/markets/market-resources/market-maker-arrangements, Accessed 2026-03-27</w:t>
      </w:r>
    </w:p>
    <w:p>
      <w:r>
        <w:t>"ASX Capital Markets: 2025 Year in Review", https://www.asx.com.au/blog/listed-at-asx/asx-capital-markets-2025-year-in-review-and-2026-outlook, Accessed 2026-03-27</w:t>
      </w:r>
    </w:p>
    <w:p>
      <w:r>
        <w:t>"A Deep Dive into Public Dark Pool Trading in Australia", https://www.marketsmedia.com/a-deep-dive-into-public-dark-pool-trading-in-australia/, Accessed 2026-03-27</w:t>
      </w:r>
    </w:p>
    <w:p>
      <w:r>
        <w:t>"What do CX, CXXT mean?", https://www.commsec.com.au/support/help-centre/About-the-sharemarket/what-do-cx-cxxt-and-nxxt-mean.html, Accessed 2026-03-27</w:t>
      </w:r>
    </w:p>
    <w:p>
      <w:r>
        <w:t>"ASX Trade OUCH Message Specification (Apr 2025)", https://www.asxonline.com/content/dam/asxonline/public/documents/asx-trade-refresh-manuals/asx-trade-ouch-message-specification.pdf,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3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