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0066CC"/>
          <w:sz w:val="56"/>
        </w:rPr>
        <w:t>24시간 거래 체제 비교 분석 리포트</w:t>
      </w:r>
    </w:p>
    <w:p>
      <w:pPr>
        <w:jc w:val="center"/>
      </w:pPr>
      <w:r>
        <w:rPr>
          <w:color w:val="1A1A2E"/>
          <w:sz w:val="36"/>
        </w:rPr>
        <w:t>NYSE 뉴욕증권거래소</w:t>
      </w:r>
    </w:p>
    <w:p/>
    <w:p/>
    <w:p/>
    <w:p>
      <w:pPr>
        <w:jc w:val="center"/>
      </w:pPr>
      <w:r>
        <w:rPr>
          <w:color w:val="646464"/>
          <w:sz w:val="22"/>
        </w:rPr>
        <w:t>KRX vs 글로벌 주요 거래소</w:t>
      </w:r>
    </w:p>
    <w:p>
      <w:pPr>
        <w:jc w:val="center"/>
      </w:pPr>
      <w:r>
        <w:rPr>
          <w:color w:val="646464"/>
          <w:sz w:val="20"/>
        </w:rPr>
        <w:t>2026년 3월 기준 | EXTURE 3.0 기반 분석</w:t>
      </w:r>
    </w:p>
    <w:p>
      <w:r>
        <w:br w:type="page"/>
      </w:r>
    </w:p>
    <w:p>
      <w:pPr>
        <w:pStyle w:val="Heading1"/>
      </w:pPr>
      <w:r>
        <w:t>NYSE 및 NYSE Arca 확장 거래시간 체제 분석</w:t>
      </w:r>
    </w:p>
    <w:p>
      <w:pPr>
        <w:pStyle w:val="Heading2"/>
      </w:pPr>
      <w:r>
        <w:t>1. 기관 개요</w:t>
      </w:r>
    </w:p>
    <w:p>
      <w:pPr>
        <w:pStyle w:val="Heading3"/>
      </w:pPr>
      <w:r>
        <w:t>1.1 NYSE Group 구조</w:t>
      </w:r>
    </w:p>
    <w:p>
      <w:r>
        <w:t xml:space="preserve">뉴욕증권거래소(New York Stock Exchange, NYSE)는 </w:t>
      </w:r>
      <w:r>
        <w:rPr>
          <w:b/>
          <w:color w:val="0066CC"/>
        </w:rPr>
        <w:t>Intercontinental Exchange(ICE)</w:t>
      </w:r>
      <w:r>
        <w:t xml:space="preserve"> 산하의 글로벌 최대 주식 거래소 그룹이다. NYSE Group은 다음 네 개의 주요 거래소로 구성된다: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거래소</w:t>
            </w:r>
          </w:p>
        </w:tc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특징</w:t>
            </w:r>
          </w:p>
        </w:tc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주요 기능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NYSE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물리적 플로어 + 전자 거래 하이브리드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대형주 주 상장 시장, DMM(Designated Market Maker) 제도 운영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NYSE Arca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완전 전자식(Fully Electronic)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ETF 최대 상장 시장, 확장 거래시간 추진 주체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NYSE American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완전 전자식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중소형주(Small-Cap) 전문 거래소, 구 NYSE MKT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NYSE Chicago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완전 전자식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시카고 기반 지역 거래소, Maker-Taker 수수료 모델</w:t>
            </w:r>
          </w:p>
        </w:tc>
      </w:tr>
    </w:tbl>
    <w:p/>
    <w:p>
      <w:r>
        <w:t xml:space="preserve">NYSE는 시가총액 기준 약 </w:t>
      </w:r>
      <w:r>
        <w:rPr>
          <w:b/>
          <w:color w:val="0066CC"/>
        </w:rPr>
        <w:t>28조 달러</w:t>
      </w:r>
      <w:r>
        <w:t xml:space="preserve"> 이상의 상장 기업을 보유하고 있으며, 미국 전체 상장 주식의 약 </w:t>
      </w:r>
      <w:r>
        <w:rPr>
          <w:b/>
          <w:color w:val="0066CC"/>
        </w:rPr>
        <w:t>1.5백만 개</w:t>
      </w:r>
      <w:r>
        <w:t xml:space="preserve"> 이상의 거래 가능 종목(instruments)이 Pillar 매칭 엔진을 통해 처리된다. NYSE Closing Auction은 매일 수백억 달러 규모의 거래를 처리하며, 전체 통합(consolidated) 시장 거래량의 약 </w:t>
      </w:r>
      <w:r>
        <w:rPr>
          <w:b/>
          <w:color w:val="0066CC"/>
        </w:rPr>
        <w:t>10%</w:t>
      </w:r>
      <w:r>
        <w:t>를 차지한다.</w:t>
      </w:r>
    </w:p>
    <w:p>
      <w:pPr>
        <w:pStyle w:val="Heading3"/>
      </w:pPr>
      <w:r>
        <w:t>1.2 ICE 소속 및 글로벌 위상</w:t>
      </w:r>
    </w:p>
    <w:p>
      <w:r>
        <w:t>NYSE Group은 2013년 ICE에 인수된 이후 에너지, 금리, 주식, ETF, 옵션 등 다양한 자산 클래스를 아우르는 글로벌 거래소 네트워크의 핵심 축을 담당하고 있다. ICE의 기술 인프라 투자와 NYSE Pillar 플랫폼의 개발을 통해 초저지연(ultra-low-latency) 결정론적(deterministic) 매칭 아키텍처를 구현하였으며, 이를 기반으로 22시간 이상의 준연속(near-continuous) 거래 체제로의 전환을 추진 중이다.</w:t>
      </w:r>
    </w:p>
    <w:p>
      <w:pPr>
        <w:pStyle w:val="Heading2"/>
      </w:pPr>
      <w:r>
        <w:t>2. 현행 거래시간 제도</w:t>
      </w:r>
    </w:p>
    <w:p>
      <w:pPr>
        <w:pStyle w:val="Heading3"/>
      </w:pPr>
      <w:r>
        <w:t>2.1 정규 세션 (Core Trading Session: 09:30-16:00 ET)</w:t>
      </w:r>
    </w:p>
    <w:p>
      <w:r>
        <w:t>정규 세션은 미국 주식 시장의 핵심 유동성 이벤트가 집중되는 6.5시간의 거래 시간이다.</w:t>
      </w:r>
    </w:p>
    <w:p>
      <w:pPr>
        <w:pStyle w:val="Heading4"/>
      </w:pPr>
      <w:r>
        <w:t>Opening Auction 메커니즘</w:t>
      </w:r>
    </w:p>
    <w:p>
      <w:r>
        <w:t>본장 오픈 경매(Core Open Auction)는 야간 글로벌 거시경제 전개에 대한 가격 안정을 보장하기 위해 엄격한 시간적 동결(freeze) 프레임워크를 사용한다: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시간 (ET)</w:t>
            </w:r>
          </w:p>
        </w:tc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이벤트</w:t>
            </w:r>
          </w:p>
        </w:tc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상세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08:00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Auction Imbalance Information 배포 시작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미체결 주식에 대한 실시간 불균형 데이터를 1초 간격으로 게시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09:29:00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MOO/LOO 취소 거부 시작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시장가 오픈 주문(MOO) 및 지정가 오픈 주문(LOO)의 취소 또는 수량 감소 요청 일괄 거부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09:29:55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Imbalance Freeze 시작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새로운 MOO/LOO 주문 즉각 거부; 불균형 상쇄 지정가 주문은 흡수되나 공개 불균형 계산에서 의도적으로 마스킹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09:30:00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매칭 엔진 교차 체결(Cross)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사전 정의된 Auction Collars 내에서 엄격하게 제한; 주 상장 시장 경매 불가 시 10:00 ET까지 대기</w:t>
            </w:r>
          </w:p>
        </w:tc>
      </w:tr>
    </w:tbl>
    <w:p/>
    <w:p>
      <w:r>
        <w:t xml:space="preserve">Imbalance Freeze 기간(09:29:55~09:30:00)에 전송된 주문은 </w:t>
      </w:r>
      <w:r>
        <w:rPr>
          <w:b/>
          <w:color w:val="0066CC"/>
        </w:rPr>
        <w:t>Pending-Imbalance Freeze</w:t>
      </w:r>
      <w:r>
        <w:t xml:space="preserve"> 상태를 나타내는 FIX 또는 Binary 승인 메시지를 수신한다. 이 5초의 마이크로 윈도우는 알고리즘에 의한 시가 게임화(gamification)를 방지하기 위해 설계되었다.</w:t>
      </w:r>
    </w:p>
    <w:p>
      <w:pPr>
        <w:pStyle w:val="Heading4"/>
      </w:pPr>
      <w:r>
        <w:t>Closing Auction 메커니즘</w:t>
      </w:r>
    </w:p>
    <w:p>
      <w:r>
        <w:t xml:space="preserve">종가 경매(Closing Auction)는 뮤추얼 펀드 NAV 계산 및 파생상품 결제에 사용되는 </w:t>
      </w:r>
      <w:r>
        <w:rPr>
          <w:b/>
          <w:color w:val="0066CC"/>
        </w:rPr>
        <w:t>공식 종가(Official Closing Price)</w:t>
      </w:r>
      <w:r>
        <w:t>를 결정하는 거래일의 가장 중요한 유동성 이벤트이다.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시간 (ET)</w:t>
            </w:r>
          </w:p>
        </w:tc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이벤트</w:t>
            </w:r>
          </w:p>
        </w:tc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상세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~15:50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Closing Imbalance Period 시작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MOC/LOC 주문 자유 입력·수정·취소 마감; 이후 MOC/LOC 입력은 게시된 Significant Imbalance의 contra-side에만 허용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16:00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종가 경매 체결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경매 기준가: 거래일 마지막 통합 round-lot 가격; 'M' sale condition으로 OCP 배포</w:t>
            </w:r>
          </w:p>
        </w:tc>
      </w:tr>
    </w:tbl>
    <w:p/>
    <w:p>
      <w:pPr>
        <w:pStyle w:val="ListBullet"/>
      </w:pPr>
      <w:r/>
      <w:r>
        <w:rPr>
          <w:b/>
          <w:color w:val="0066CC"/>
        </w:rPr>
        <w:t>MOC (Market-On-Close)</w:t>
      </w:r>
      <w:r>
        <w:t>: 종가에 시장가로 체결되는 주문</w:t>
      </w:r>
    </w:p>
    <w:p>
      <w:pPr>
        <w:pStyle w:val="ListBullet"/>
      </w:pPr>
      <w:r/>
      <w:r>
        <w:rPr>
          <w:b/>
          <w:color w:val="0066CC"/>
        </w:rPr>
        <w:t>LOC (Limit-On-Close)</w:t>
      </w:r>
      <w:r>
        <w:t>: 종가에 지정가로 체결되는 주문</w:t>
      </w:r>
    </w:p>
    <w:p>
      <w:pPr>
        <w:pStyle w:val="ListBullet"/>
      </w:pPr>
      <w:r/>
      <w:r>
        <w:rPr>
          <w:b/>
          <w:color w:val="0066CC"/>
        </w:rPr>
        <w:t>D-Orders</w:t>
      </w:r>
      <w:r>
        <w:t>: NYSE 물리적 플로어 전용, 플로어 브로커를 통해 제출; NYSE Arca 전자 매칭 엔진에서는 처리되지 않음</w:t>
      </w:r>
    </w:p>
    <w:p>
      <w:pPr>
        <w:pStyle w:val="ListBullet"/>
      </w:pPr>
      <w:r/>
      <w:r>
        <w:rPr>
          <w:b/>
          <w:color w:val="0066CC"/>
        </w:rPr>
        <w:t>Closing Offset (CO) Orders</w:t>
      </w:r>
      <w:r>
        <w:t>: 다른 종가 주문에 양보하도록 설계된 엄격한 지정가 주문; 불균형 반대편에서만 체결</w:t>
      </w:r>
    </w:p>
    <w:p>
      <w:r>
        <w:t xml:space="preserve">NYSE Closing Auction은 전체 통합 시장 거래량의 약 </w:t>
      </w:r>
      <w:r>
        <w:rPr>
          <w:b/>
          <w:color w:val="0066CC"/>
        </w:rPr>
        <w:t>~10%</w:t>
      </w:r>
      <w:r>
        <w:t>를 차지하며, 매일 수십억 달러 규모의 거래를 처리한다.</w:t>
      </w:r>
    </w:p>
    <w:p>
      <w:pPr>
        <w:pStyle w:val="Heading3"/>
      </w:pPr>
      <w:r>
        <w:t>2.2 프리마켓 (Extended Early: 04:00-09:30 ET)</w:t>
      </w:r>
    </w:p>
    <w:p>
      <w:r>
        <w:t>현행 프리마켓 세션은 오전 4:00 ET에 시작되며, 주로 야간 뉴스 및 글로벌 매크로 이벤트에 대한 초기 가격 반응을 포착한다. Early Open Auction을 통해 세션이 개시되며, Indicative Match Price(IMP) 계산에 기반한 경매 메커니즘이 작동한다.</w:t>
      </w:r>
    </w:p>
    <w:p>
      <w:pPr>
        <w:pStyle w:val="Heading3"/>
      </w:pPr>
      <w:r>
        <w:t>2.3 애프터마켓 (Late Trading: 16:00-20:00 ET)</w:t>
      </w:r>
    </w:p>
    <w:p>
      <w:r>
        <w:t xml:space="preserve">Late Trading Session은 장 마감 후 실적 발표 반응 및 포트폴리오 리밸런싱을 포착한다. 이 세션에서의 체결 건에는 </w:t>
      </w:r>
      <w:r>
        <w:rPr>
          <w:b/>
          <w:color w:val="0066CC"/>
        </w:rPr>
        <w:t>'.T' 식별자(modifier)</w:t>
      </w:r>
      <w:r>
        <w:t>가 부착되어 다음을 보장한다:</w:t>
      </w:r>
    </w:p>
    <w:p>
      <w:pPr>
        <w:pStyle w:val="ListBullet"/>
      </w:pPr>
      <w:r>
        <w:t xml:space="preserve">야간 체결이 공식 일일 고가/저가/최종 거래가 계산에서 </w:t>
      </w:r>
      <w:r>
        <w:rPr>
          <w:b/>
          <w:color w:val="0066CC"/>
        </w:rPr>
        <w:t>제외</w:t>
      </w:r>
      <w:r/>
    </w:p>
    <w:p>
      <w:pPr>
        <w:pStyle w:val="ListBullet"/>
      </w:pPr>
      <w:r>
        <w:t xml:space="preserve">주요 시장 지수 및 벤치마크가 장외 시간의 비정상적 변동성으로부터 </w:t>
      </w:r>
      <w:r>
        <w:rPr>
          <w:b/>
          <w:color w:val="0066CC"/>
        </w:rPr>
        <w:t>격리</w:t>
      </w:r>
      <w:r/>
    </w:p>
    <w:p>
      <w:pPr>
        <w:pStyle w:val="ListBullet"/>
      </w:pPr>
      <w:r>
        <w:t>SIP(CTS/CQS)에 보고 시 '.T' sale condition이 명시적으로 추가</w:t>
      </w:r>
    </w:p>
    <w:p>
      <w:pPr>
        <w:pStyle w:val="Heading2"/>
      </w:pPr>
      <w:r>
        <w:t>3. NYSE Arca 22시간 거래 체제 (확장 계획)</w:t>
      </w:r>
    </w:p>
    <w:p>
      <w:pPr>
        <w:pStyle w:val="Heading3"/>
      </w:pPr>
      <w:r>
        <w:t>3.1 SEC 승인 경과</w:t>
      </w:r>
    </w:p>
    <w:p>
      <w:r>
        <w:t>NYSE Arca의 확장 거래시간 이니셔티브는 다음의 규제 경로를 통해 진행되었다: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규제 문서</w:t>
            </w:r>
          </w:p>
        </w:tc>
        <w:tc>
          <w:tcPr>
            <w:tcW w:type="dxa" w:w="4703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내용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SR-NYSEARCA-2024-89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SEC 규칙 제출: 임시 규칙 Rule 7.34-E(T) 채택 및 Rules 1.1, 7.34-E 개정 제안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Amendment No. 1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초기 22시간(01:30~23:30 ET) 모델에서 SIP/DTCC 조율을 통한 23시간 모델로 발전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Amendment No. 2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SEC 최종 승인 (Release No. 34-102400)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Rule 7.34-E(T)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확장된 거래 세션의 시간적 경계 및 주문 관리 규칙을 규정하는 임시 규칙</w:t>
            </w:r>
          </w:p>
        </w:tc>
      </w:tr>
    </w:tbl>
    <w:p/>
    <w:p>
      <w:r>
        <w:t xml:space="preserve">당초 22시간(01:30 ET ~ 23:30 ET)으로 제안되었으나, SIP 및 DTCC와의 조율을 거쳐 </w:t>
      </w:r>
      <w:r>
        <w:rPr>
          <w:b/>
          <w:color w:val="0066CC"/>
        </w:rPr>
        <w:t>21:00 ET ~ 20:00 ET(익일)</w:t>
      </w:r>
      <w:r>
        <w:t>의 23시간 체제를 목표로 발전하였다.</w:t>
      </w:r>
    </w:p>
    <w:p>
      <w:pPr>
        <w:pStyle w:val="Heading3"/>
      </w:pPr>
      <w:r>
        <w:t>3.2 확장된 세션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세션 명칭</w:t>
            </w:r>
          </w:p>
        </w:tc>
        <w:tc>
          <w:tcPr>
            <w:tcW w:type="dxa" w:w="188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현행 시간 (ET)</w:t>
            </w:r>
          </w:p>
        </w:tc>
        <w:tc>
          <w:tcPr>
            <w:tcW w:type="dxa" w:w="188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목표 확장 시간 (ET)</w:t>
            </w:r>
          </w:p>
        </w:tc>
        <w:tc>
          <w:tcPr>
            <w:tcW w:type="dxa" w:w="188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지속시간</w:t>
            </w:r>
          </w:p>
        </w:tc>
        <w:tc>
          <w:tcPr>
            <w:tcW w:type="dxa" w:w="188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운영 특성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Maintenance Pause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20:00 ~ 04:00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20:00 ~ 21:00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1시간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시스템 초기화, DB 백업, 거래일 전환, 기업행위 처리, 소프트웨어 배포</w:t>
            </w:r>
          </w:p>
        </w:tc>
      </w:tr>
      <w:tr>
        <w:tc>
          <w:tcPr>
            <w:tcW w:type="dxa" w:w="188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Extended Early Session</w:t>
            </w:r>
          </w:p>
        </w:tc>
        <w:tc>
          <w:tcPr>
            <w:tcW w:type="dxa" w:w="188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04:00 ~ 09:30</w:t>
            </w:r>
          </w:p>
        </w:tc>
        <w:tc>
          <w:tcPr>
            <w:tcW w:type="dxa" w:w="188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21:00 ~ 09:30</w:t>
            </w:r>
          </w:p>
        </w:tc>
        <w:tc>
          <w:tcPr>
            <w:tcW w:type="dxa" w:w="188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12.5시간</w:t>
            </w:r>
          </w:p>
        </w:tc>
        <w:tc>
          <w:tcPr>
            <w:tcW w:type="dxa" w:w="188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APAC/EMEA 가격 발견 촉진; 야간 글로벌 유동성 집계; LULD 대신 Double-Wide Collars 적용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Core Trading Session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09:30 ~ 16:00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09:30 ~ 16:00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6.5시간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주요 유동성 이벤트; 표준 LULD 변동성 메커니즘 활성</w:t>
            </w:r>
          </w:p>
        </w:tc>
      </w:tr>
      <w:tr>
        <w:tc>
          <w:tcPr>
            <w:tcW w:type="dxa" w:w="188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Late Trading Session</w:t>
            </w:r>
          </w:p>
        </w:tc>
        <w:tc>
          <w:tcPr>
            <w:tcW w:type="dxa" w:w="188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16:00 ~ 20:00</w:t>
            </w:r>
          </w:p>
        </w:tc>
        <w:tc>
          <w:tcPr>
            <w:tcW w:type="dxa" w:w="188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16:00 ~ 20:00</w:t>
            </w:r>
          </w:p>
        </w:tc>
        <w:tc>
          <w:tcPr>
            <w:tcW w:type="dxa" w:w="188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4시간</w:t>
            </w:r>
          </w:p>
        </w:tc>
        <w:tc>
          <w:tcPr>
            <w:tcW w:type="dxa" w:w="188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장 마감 후 실적 반응, 포트폴리오 리밸런싱; '.T' 식별자 활용</w:t>
            </w:r>
          </w:p>
        </w:tc>
      </w:tr>
    </w:tbl>
    <w:p/>
    <w:p>
      <w:r/>
      <w:r>
        <w:rPr>
          <w:b/>
          <w:color w:val="0066CC"/>
        </w:rPr>
        <w:t>총 거래 가능 시간: 23시간</w:t>
      </w:r>
      <w:r>
        <w:t xml:space="preserve"> (유지보수 점검 1시간 제외)</w:t>
      </w:r>
    </w:p>
    <w:p>
      <w:r>
        <w:t>진정한 24/7 영구 가동 모델을 추구하지 않는 이유는 Regulation NMS가 요구하는 결정론적 순서 지정(deterministic sequencing)과 충돌하는 비동기식 분산 원장 또는 핫스왑 가능한 이중화 매칭 엔진의 극도로 높은 비용과 운영 복잡성 때문이다.</w:t>
      </w:r>
    </w:p>
    <w:p>
      <w:pPr>
        <w:pStyle w:val="Heading3"/>
      </w:pPr>
      <w:r>
        <w:t>3.3 Trade Date 전환 로직</w:t>
      </w:r>
    </w:p>
    <w:p>
      <w:r/>
      <w:r>
        <w:rPr>
          <w:b/>
          <w:color w:val="0066CC"/>
        </w:rPr>
        <w:t>20:00 ET</w:t>
      </w:r>
      <w:r>
        <w:t>를 기준으로 논리적 거래일(Trade Date)이 변경된다. 이 변곡점은 DTCC의 UTC(Universal Trade Capture) 시스템과 동기화되어 T+1 결제 주기를 유지한다.</w:t>
      </w:r>
    </w:p>
    <w:p>
      <w:pPr>
        <w:pStyle w:val="Heading4"/>
      </w:pPr>
      <w:r>
        <w:t>FIX Tag 715 (Clearing Business Date) 적용</w:t>
      </w:r>
    </w:p>
    <w:p>
      <w:r>
        <w:t xml:space="preserve">DTCC는 확장된 FIX 메시징 스키마에서 </w:t>
      </w:r>
      <w:r>
        <w:rPr>
          <w:b/>
          <w:color w:val="0066CC"/>
        </w:rPr>
        <w:t>FIX Tag 715(Clearing Business Date)</w:t>
      </w:r>
      <w:r>
        <w:t>를 의무화하였다. 이 태그는 청산 참가자에게 체결의 로컬 타임스탬프를 무시하고 해당 트랜잭션에 적용 가능한 정확한 영업일을 명시적으로 지시한다.</w:t>
      </w:r>
    </w:p>
    <w:p>
      <w:pPr>
        <w:pStyle w:val="Heading4"/>
      </w:pPr>
      <w:r>
        <w:t>Trade Date/Settlement Date 전환 예시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체결 시각 (ET)</w:t>
            </w:r>
          </w:p>
        </w:tc>
        <w:tc>
          <w:tcPr>
            <w:tcW w:type="dxa" w:w="188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달력 날짜</w:t>
            </w:r>
          </w:p>
        </w:tc>
        <w:tc>
          <w:tcPr>
            <w:tcW w:type="dxa" w:w="188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할당 거래일 (TD)</w:t>
            </w:r>
          </w:p>
        </w:tc>
        <w:tc>
          <w:tcPr>
            <w:tcW w:type="dxa" w:w="188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Tag 715 청산일</w:t>
            </w:r>
          </w:p>
        </w:tc>
        <w:tc>
          <w:tcPr>
            <w:tcW w:type="dxa" w:w="188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결제일 (T+1)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화요일, 15:45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화요일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화요일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화요일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수요일</w:t>
            </w:r>
          </w:p>
        </w:tc>
      </w:tr>
      <w:tr>
        <w:tc>
          <w:tcPr>
            <w:tcW w:type="dxa" w:w="188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화요일, 19:55</w:t>
            </w:r>
          </w:p>
        </w:tc>
        <w:tc>
          <w:tcPr>
            <w:tcW w:type="dxa" w:w="188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화요일</w:t>
            </w:r>
          </w:p>
        </w:tc>
        <w:tc>
          <w:tcPr>
            <w:tcW w:type="dxa" w:w="188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화요일</w:t>
            </w:r>
          </w:p>
        </w:tc>
        <w:tc>
          <w:tcPr>
            <w:tcW w:type="dxa" w:w="188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화요일</w:t>
            </w:r>
          </w:p>
        </w:tc>
        <w:tc>
          <w:tcPr>
            <w:tcW w:type="dxa" w:w="188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수요일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화요일, 19:59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화요일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화요일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화요일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수요일</w:t>
            </w:r>
          </w:p>
        </w:tc>
      </w:tr>
      <w:tr>
        <w:tc>
          <w:tcPr>
            <w:tcW w:type="dxa" w:w="188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화요일, 20:00~21:00</w:t>
            </w:r>
          </w:p>
        </w:tc>
        <w:tc>
          <w:tcPr>
            <w:tcW w:type="dxa" w:w="188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-</w:t>
            </w:r>
          </w:p>
        </w:tc>
        <w:tc>
          <w:tcPr>
            <w:tcW w:type="dxa" w:w="188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System Maintenance Pause</w:t>
            </w:r>
          </w:p>
        </w:tc>
        <w:tc>
          <w:tcPr>
            <w:tcW w:type="dxa" w:w="188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-</w:t>
            </w:r>
          </w:p>
        </w:tc>
        <w:tc>
          <w:tcPr>
            <w:tcW w:type="dxa" w:w="188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-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화요일, 21:05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화요일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수요일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수요일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목요일</w:t>
            </w:r>
          </w:p>
        </w:tc>
      </w:tr>
      <w:tr>
        <w:tc>
          <w:tcPr>
            <w:tcW w:type="dxa" w:w="188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수요일, 01:15</w:t>
            </w:r>
          </w:p>
        </w:tc>
        <w:tc>
          <w:tcPr>
            <w:tcW w:type="dxa" w:w="188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수요일</w:t>
            </w:r>
          </w:p>
        </w:tc>
        <w:tc>
          <w:tcPr>
            <w:tcW w:type="dxa" w:w="188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수요일</w:t>
            </w:r>
          </w:p>
        </w:tc>
        <w:tc>
          <w:tcPr>
            <w:tcW w:type="dxa" w:w="188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수요일</w:t>
            </w:r>
          </w:p>
        </w:tc>
        <w:tc>
          <w:tcPr>
            <w:tcW w:type="dxa" w:w="188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목요일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수요일, 02:30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수요일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수요일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수요일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목요일</w:t>
            </w:r>
          </w:p>
        </w:tc>
      </w:tr>
      <w:tr>
        <w:tc>
          <w:tcPr>
            <w:tcW w:type="dxa" w:w="188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수요일, 09:30</w:t>
            </w:r>
          </w:p>
        </w:tc>
        <w:tc>
          <w:tcPr>
            <w:tcW w:type="dxa" w:w="188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수요일</w:t>
            </w:r>
          </w:p>
        </w:tc>
        <w:tc>
          <w:tcPr>
            <w:tcW w:type="dxa" w:w="188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수요일</w:t>
            </w:r>
          </w:p>
        </w:tc>
        <w:tc>
          <w:tcPr>
            <w:tcW w:type="dxa" w:w="188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수요일</w:t>
            </w:r>
          </w:p>
        </w:tc>
        <w:tc>
          <w:tcPr>
            <w:tcW w:type="dxa" w:w="188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목요일</w:t>
            </w:r>
          </w:p>
        </w:tc>
      </w:tr>
    </w:tbl>
    <w:p/>
    <w:p>
      <w:r>
        <w:t>이 엄격한 분리는 CNS(Continuous Net Settlement) 배치 프로세스, 일말 잔고 정산 루틴, 기업행위 권리(record date, ex-dividend date) 인식이 표준 일일 배치 사이클에 영향 없이 유지되도록 보장한다.</w:t>
      </w:r>
    </w:p>
    <w:p>
      <w:pPr>
        <w:pStyle w:val="Heading2"/>
      </w:pPr>
      <w:r>
        <w:t>4. Pillar 매칭엔진 기술 아키텍처</w:t>
      </w:r>
    </w:p>
    <w:p>
      <w:r>
        <w:t>NYSE Pillar는 주식 및 옵션 거래를 통합하는 결정론적(deterministic), 초저지연(ultra-low-latency) 매칭 아키텍처이다.</w:t>
      </w:r>
    </w:p>
    <w:p>
      <w:pPr>
        <w:pStyle w:val="Heading3"/>
      </w:pPr>
      <w:r>
        <w:t>4.1 Trading Unit (TXN) 구조: 14개 파티션</w:t>
      </w:r>
    </w:p>
    <w:p>
      <w:r>
        <w:t xml:space="preserve">Pillar 매칭 엔진은 단일 모놀리식 프로세스가 아닌, </w:t>
      </w:r>
      <w:r>
        <w:rPr>
          <w:b/>
          <w:color w:val="0066CC"/>
        </w:rPr>
        <w:t>14개의 독립적 Trading Unit(TXN)</w:t>
      </w:r>
      <w:r>
        <w:t>으로 분산 구성된다. 이 설계의 핵심 목적은 다음과 같다:</w:t>
      </w:r>
    </w:p>
    <w:p>
      <w:pPr>
        <w:pStyle w:val="ListBullet"/>
      </w:pPr>
      <w:r/>
      <w:r>
        <w:rPr>
          <w:b/>
          <w:color w:val="0066CC"/>
        </w:rPr>
        <w:t>지연시간 최소화</w:t>
      </w:r>
      <w:r>
        <w:t>: 단일 서버 클러스터의 병목 현상 제거</w:t>
      </w:r>
    </w:p>
    <w:p>
      <w:pPr>
        <w:pStyle w:val="ListBullet"/>
      </w:pPr>
      <w:r/>
      <w:r>
        <w:rPr>
          <w:b/>
          <w:color w:val="0066CC"/>
        </w:rPr>
        <w:t>단일 장애점(Single Point of Failure) 방지</w:t>
      </w:r>
      <w:r>
        <w:t>: 개별 TXN 장애가 전체 시스템에 영향을 미치지 않음</w:t>
      </w:r>
    </w:p>
    <w:p>
      <w:pPr>
        <w:pStyle w:val="ListBullet"/>
      </w:pPr>
      <w:r/>
      <w:r>
        <w:rPr>
          <w:b/>
          <w:color w:val="0066CC"/>
        </w:rPr>
        <w:t>결정론적 샤딩(Sharding)</w:t>
      </w:r>
      <w:r>
        <w:t>: 전체 1.5백만+ 종목이 14개 TXN에 결정론적으로 배분</w:t>
      </w:r>
    </w:p>
    <w:p>
      <w:pPr>
        <w:pStyle w:val="Heading3"/>
      </w:pPr>
      <w:r>
        <w:t>4.2 심볼 매핑 ($Market$SymbolMapping_YYYYMMDD.xml)</w:t>
      </w:r>
    </w:p>
    <w:p>
      <w:r>
        <w:t xml:space="preserve">매일 야간 유지보수 시간 중 </w:t>
      </w:r>
      <w:r>
        <w:rPr>
          <w:b/>
          <w:color w:val="0066CC"/>
        </w:rPr>
        <w:t>Symbol Index Mapping</w:t>
      </w:r>
      <w:r>
        <w:t xml:space="preserve"> 프로토콜이 실행된다:</w:t>
      </w:r>
    </w:p>
    <w:p>
      <w:pPr>
        <w:pStyle w:val="ListBullet"/>
      </w:pPr>
      <w:r>
        <w:t>파일 형식: `$Market$SymbolMapping_YYYYMMDD.xml`</w:t>
      </w:r>
    </w:p>
    <w:p>
      <w:pPr>
        <w:pStyle w:val="ListBullet"/>
      </w:pPr>
      <w:r>
        <w:t>공개 FTP 서버를 통해 배포</w:t>
      </w:r>
    </w:p>
    <w:p>
      <w:pPr>
        <w:pStyle w:val="ListBullet"/>
      </w:pPr>
      <w:r>
        <w:t>각 티커 심볼이 어느 TXN(서버 클러스터)에서 주문장을 관리할지 결정</w:t>
      </w:r>
    </w:p>
    <w:p>
      <w:pPr>
        <w:pStyle w:val="ListBullet"/>
      </w:pPr>
      <w:r/>
      <w:r>
        <w:rPr>
          <w:b/>
          <w:color w:val="0066CC"/>
        </w:rPr>
        <w:t>Symbol Index Mapping Message (Msg Type 3)</w:t>
      </w:r>
      <w:r>
        <w:t>: 최소 가격 단위(MPV), 가격 척도 코드(진정한 소수점 값 결정을 위해 가격을 10,000으로 나누어야 하는지 여부) 등의 참조 데이터 포함</w:t>
      </w:r>
    </w:p>
    <w:p>
      <w:pPr>
        <w:pStyle w:val="Heading3"/>
      </w:pPr>
      <w:r>
        <w:t>4.3 DealID 구조 (8바이트: SystemID + MarketID + TradeID)</w:t>
      </w:r>
    </w:p>
    <w:p>
      <w:r>
        <w:t>비동기적 22시간 타임라인에서 데이터 충돌 없이 수백만 건의 주문 및 체결을 추적하기 위해 복합 식별 전략을 사용한다: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구성 요소</w:t>
            </w:r>
          </w:p>
        </w:tc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크기</w:t>
            </w:r>
          </w:p>
        </w:tc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설명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SystemID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1 byte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원천 Pillar 심볼 파티션의 고유 ID (Symbol Index Mapping에서 파생)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MarketID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2 bytes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원천 거래소 ID (NYSE, NYSE Arca, NYSE American 등 식별)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TradeID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4 bytes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XDP Market Data 피드에서 발행하는 체결 ID (개별 TXN 내에서만 고유)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DealID (합계)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8 bytes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FIX Tag 9483에 매핑; 전체 거래소 컴플렉스에 걸쳐 절대적 글로벌 고유성 보장</w:t>
            </w:r>
          </w:p>
        </w:tc>
      </w:tr>
    </w:tbl>
    <w:p/>
    <w:p>
      <w:r>
        <w:t>이 구조는 중앙 집중식 지연 유발 시퀀스 생성기 없이 모든 주문 및 체결에 대해 글로벌 고유성을 달성한다.</w:t>
      </w:r>
    </w:p>
    <w:p>
      <w:pPr>
        <w:pStyle w:val="Heading3"/>
      </w:pPr>
      <w:r>
        <w:t>4.4 Binary Gateway 프로토콜 (MsgType 100-103)</w:t>
      </w:r>
    </w:p>
    <w:p>
      <w:r>
        <w:t>Pillar Integrated Feed의 주문 상태 관리는 다음 바이너리 메시지 유형으로 처리된다: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MsgType</w:t>
            </w:r>
          </w:p>
        </w:tc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명칭</w:t>
            </w:r>
          </w:p>
        </w:tc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기능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100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Add Order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신규 유동성을 주문장에 추가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101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Modify Order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기존 대기 주문의 가격 또는 수량 조정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102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Delete Order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주문 완전 제거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103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Order Execution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매칭 발생 신호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1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Sequence Number Reset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일일 유지보수 후 시퀀스 번호 초기화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3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Symbol Index Mapping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심볼-TXN 매핑 정보 및 참조 데이터 배포</w:t>
            </w:r>
          </w:p>
        </w:tc>
      </w:tr>
    </w:tbl>
    <w:p/>
    <w:p>
      <w:r/>
      <w:r>
        <w:rPr>
          <w:b/>
          <w:color w:val="0066CC"/>
        </w:rPr>
        <w:t>OrderID</w:t>
      </w:r>
      <w:r>
        <w:t>: "good for current day only"로 정의되어 있으며, 매일 유지보수 시간에 시퀀스가 리셋된다. 레거시 일정에서 NYSE Arca 시퀀스 리셋은 02:03 ET, NYSE American은 02:01 ET에 수행되었으며, 확장 체제에서는 유지보수 시간(20:00~21:00 ET) 종료 시점으로 재조정된다.</w:t>
      </w:r>
    </w:p>
    <w:p>
      <w:pPr>
        <w:pStyle w:val="Heading3"/>
      </w:pPr>
      <w:r>
        <w:t>4.5 FIX Gateway 프로토콜</w:t>
      </w:r>
    </w:p>
    <w:p>
      <w:r>
        <w:t xml:space="preserve">참가자 연결은 </w:t>
      </w:r>
      <w:r>
        <w:rPr>
          <w:b/>
          <w:color w:val="0066CC"/>
        </w:rPr>
        <w:t>Pillar FIX Gateway(FIX 4.2/4.4)</w:t>
      </w:r>
      <w:r>
        <w:t xml:space="preserve"> 및 </w:t>
      </w:r>
      <w:r>
        <w:rPr>
          <w:b/>
          <w:color w:val="0066CC"/>
        </w:rPr>
        <w:t>Pillar Native Binary Gateway</w:t>
      </w:r>
      <w:r>
        <w:t>를 통해 관리된다:</w:t>
      </w:r>
    </w:p>
    <w:p>
      <w:pPr>
        <w:pStyle w:val="ListBullet"/>
      </w:pPr>
      <w:r/>
      <w:r>
        <w:rPr>
          <w:b/>
          <w:color w:val="0066CC"/>
        </w:rPr>
        <w:t>듀얼 IP 배포 모델</w:t>
      </w:r>
      <w:r>
        <w:t>: Primary/Secondary 대상 IP를 통한 고가용성 보장</w:t>
      </w:r>
    </w:p>
    <w:p>
      <w:pPr>
        <w:pStyle w:val="ListBullet"/>
      </w:pPr>
      <w:r/>
      <w:r>
        <w:rPr>
          <w:b/>
          <w:color w:val="0066CC"/>
        </w:rPr>
        <w:t>Drop Copy</w:t>
      </w:r>
      <w:r>
        <w:t>: 별도의 FIX Gateway 인터페이스를 통해 모든 주문 활동의 실시간 사본 제공</w:t>
      </w:r>
    </w:p>
    <w:p>
      <w:pPr>
        <w:pStyle w:val="ListBullet"/>
      </w:pPr>
      <w:r/>
      <w:r>
        <w:rPr>
          <w:b/>
          <w:color w:val="0066CC"/>
        </w:rPr>
        <w:t>세션 연속성</w:t>
      </w:r>
      <w:r>
        <w:t>: Secondary IP 로그인 시 Primary IP에서의 마지막 애플리케이션 계층 메시지부터 시퀀스 번호가 계속됨</w:t>
      </w:r>
    </w:p>
    <w:p>
      <w:pPr>
        <w:pStyle w:val="Heading2"/>
      </w:pPr>
      <w:r>
        <w:t>5. 주문 관리 및 세션 전환</w:t>
      </w:r>
    </w:p>
    <w:p>
      <w:pPr>
        <w:pStyle w:val="Heading3"/>
      </w:pPr>
      <w:r>
        <w:t>5.1 FIX Tag 336 (TradingSessionID) 및 Tag 59 (TimeInForce)</w:t>
      </w:r>
    </w:p>
    <w:p>
      <w:r>
        <w:t>NYSE Pillar 아키텍처는 주문의 실행 경계를 다음 FIX 태그로 규정한다: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FIX 태그</w:t>
            </w:r>
          </w:p>
        </w:tc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명칭</w:t>
            </w:r>
          </w:p>
        </w:tc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역할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Tag 336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TradingSessionID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주문이 체결 가능한 세션을 명시적으로 지정 (Extended Early, Core, Late)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Tag 59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TimeInForce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주문 유효기간 설정 (Day=0, GTC, GTD 등)</w:t>
            </w:r>
          </w:p>
        </w:tc>
      </w:tr>
    </w:tbl>
    <w:p/>
    <w:p>
      <w:r/>
      <w:r>
        <w:rPr>
          <w:b/>
          <w:color w:val="0066CC"/>
        </w:rPr>
        <w:t>세션 지정 규칙</w:t>
      </w:r>
      <w:r>
        <w:t xml:space="preserve">: 연장 시간대에 주문 효력을 유지하려면 참가자가 </w:t>
      </w:r>
      <w:r>
        <w:rPr>
          <w:b/>
          <w:color w:val="0066CC"/>
        </w:rPr>
        <w:t>특정 연장 시간대 식별자(Tag 336)</w:t>
      </w:r>
      <w:r>
        <w:t xml:space="preserve">를 명시적으로 지정해야 한다. Extended Early Session 지정이 없는 주문이 해당 시간에 제출되면 Pillar Gateway가 </w:t>
      </w:r>
      <w:r>
        <w:rPr>
          <w:b/>
          <w:color w:val="0066CC"/>
        </w:rPr>
        <w:t>체계적으로 거부(reject)</w:t>
      </w:r>
      <w:r>
        <w:t>한다.</w:t>
      </w:r>
    </w:p>
    <w:p>
      <w:pPr>
        <w:pStyle w:val="Heading3"/>
      </w:pPr>
      <w:r>
        <w:t>5.2 GTC 주문의 세션 간 유지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주문 유형</w:t>
            </w:r>
          </w:p>
        </w:tc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유지보수 시간(20:00~21:00 ET) 동작</w:t>
            </w:r>
          </w:p>
        </w:tc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비고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Day Order (TIF=0)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20:00 ET Late Session 종료 시 매칭 엔진 RAM에서 일괄 삭제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다음 세션으로 이월 불가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GTC (Good-Til-Cancelled)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디스크에 영구 저장; DR 클러스터(시카고 Cermak 데이터 센터)에 다크 파이버로 동시 복제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30~90일간 지속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GTD (Good-Til-Date)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GTC와 동일한 지속 메커니즘; 지정 일자까지 유효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-</w:t>
            </w:r>
          </w:p>
        </w:tc>
      </w:tr>
    </w:tbl>
    <w:p/>
    <w:p>
      <w:r/>
      <w:r>
        <w:rPr>
          <w:b/>
          <w:color w:val="0066CC"/>
        </w:rPr>
        <w:t>콜드 스타트 시 주문장 복원 프로세스</w:t>
      </w:r>
      <w:r>
        <w:t xml:space="preserve"> (21:00 ET):</w:t>
      </w:r>
    </w:p>
    <w:p>
      <w:pPr>
        <w:pStyle w:val="ListNumber"/>
      </w:pPr>
      <w:r>
        <w:t>매칭 엔진이 영구 데이터 저장소에서 GTC 주문을 로드</w:t>
      </w:r>
    </w:p>
    <w:p>
      <w:pPr>
        <w:pStyle w:val="ListNumber"/>
      </w:pPr>
      <w:r/>
      <w:r>
        <w:rPr>
          <w:b/>
          <w:color w:val="0066CC"/>
        </w:rPr>
        <w:t>Restatement 메시지</w:t>
      </w:r>
      <w:r>
        <w:t xml:space="preserve"> 생성: `ExecTransType = 3 (Status)`, `ExecType = D (Restated)`</w:t>
      </w:r>
    </w:p>
    <w:p>
      <w:pPr>
        <w:pStyle w:val="ListNumber"/>
      </w:pPr>
      <w:r>
        <w:t>FIX Drop Copy 및 독점 데이터 피드를 통해 참가자에게 복원 확인 브로드캐스트</w:t>
      </w:r>
    </w:p>
    <w:p>
      <w:pPr>
        <w:pStyle w:val="ListNumber"/>
      </w:pPr>
      <w:r>
        <w:t xml:space="preserve">대량의 </w:t>
      </w:r>
      <w:r>
        <w:rPr>
          <w:b/>
          <w:color w:val="0066CC"/>
        </w:rPr>
        <w:t>Add Order (MsgType 100)</w:t>
      </w:r>
      <w:r>
        <w:t xml:space="preserve"> 메시지 burst 발생 (Extended Early Auction 시작 수 밀리초 전)</w:t>
      </w:r>
    </w:p>
    <w:p>
      <w:r/>
      <w:r>
        <w:rPr>
          <w:b/>
          <w:color w:val="0066CC"/>
        </w:rPr>
        <w:t>주문 수정 시 큐 우선순위</w:t>
      </w:r>
      <w:r>
        <w:t>:</w:t>
      </w:r>
    </w:p>
    <w:p>
      <w:pPr>
        <w:pStyle w:val="ListBullet"/>
      </w:pPr>
      <w:r/>
      <w:r>
        <w:rPr>
          <w:b/>
          <w:color w:val="0066CC"/>
        </w:rPr>
        <w:t>가격 변경 또는 표시 수량 증가</w:t>
      </w:r>
      <w:r>
        <w:t xml:space="preserve">: 시간 우선순위(time priority) </w:t>
      </w:r>
      <w:r>
        <w:rPr>
          <w:b/>
          <w:color w:val="0066CC"/>
        </w:rPr>
        <w:t>즉시 상실</w:t>
      </w:r>
      <w:r/>
    </w:p>
    <w:p>
      <w:pPr>
        <w:pStyle w:val="ListBullet"/>
      </w:pPr>
      <w:r/>
      <w:r>
        <w:rPr>
          <w:b/>
          <w:color w:val="0066CC"/>
        </w:rPr>
        <w:t>수량 감소만</w:t>
      </w:r>
      <w:r>
        <w:t xml:space="preserve">: 원래 큐 위치 </w:t>
      </w:r>
      <w:r>
        <w:rPr>
          <w:b/>
          <w:color w:val="0066CC"/>
        </w:rPr>
        <w:t>유지</w:t>
      </w:r>
      <w:r/>
    </w:p>
    <w:p>
      <w:pPr>
        <w:pStyle w:val="Heading3"/>
      </w:pPr>
      <w:r>
        <w:t>5.3 MOO/LOO/MOC/LOC 주문의 세션 제한</w:t>
      </w:r>
    </w:p>
    <w:p>
      <w:r>
        <w:t>경매 전용 주문은 특정 본장 유동성 이벤트에 근본적으로 연결된다: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주문 유형</w:t>
            </w:r>
          </w:p>
        </w:tc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체결 가능 세션</w:t>
            </w:r>
          </w:p>
        </w:tc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연장 프리마켓 중 동작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MOO (Market-On-Open)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Core Open Auction (09:30 ET)만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접수되나 즉각적 연속 거래 자격 박탈; 09:30 경매까지 수동 대기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LOO (Limit-On-Open)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Core Open Auction (09:30 ET)만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동일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MOC (Market-On-Close)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Closing Auction (16:00 ET)만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해당 시간대에 입력 불가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LOC (Limit-On-Close)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Closing Auction (16:00 ET)만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해당 시간대에 입력 불가</w:t>
            </w:r>
          </w:p>
        </w:tc>
      </w:tr>
    </w:tbl>
    <w:p/>
    <w:p>
      <w:pPr>
        <w:pStyle w:val="Heading3"/>
      </w:pPr>
      <w:r>
        <w:t>5.4 Cancel on Disconnect (COD) 기능</w:t>
      </w:r>
    </w:p>
    <w:p>
      <w:r>
        <w:t xml:space="preserve">네트워크 장애로 브로커-딜러의 연결이 끊어지면, Pillar Gateway가 </w:t>
      </w:r>
      <w:r>
        <w:rPr>
          <w:b/>
          <w:color w:val="0066CC"/>
        </w:rPr>
        <w:t>경매 주문을 제외한</w:t>
      </w:r>
      <w:r>
        <w:t xml:space="preserve"> 모든 대기 주문에 대해 즉각적이고 자동적인 취소를 개시한다. 이 프로토콜의 핵심 목적:</w:t>
      </w:r>
    </w:p>
    <w:p>
      <w:pPr>
        <w:pStyle w:val="ListBullet"/>
      </w:pPr>
      <w:r>
        <w:t>야간 시간대의 얇은 유동성 속에서 약탈적 알고리즘에 의한 stale quote 체결 방지</w:t>
      </w:r>
    </w:p>
    <w:p>
      <w:pPr>
        <w:pStyle w:val="ListBullet"/>
      </w:pPr>
      <w:r>
        <w:t>참가자의 의도치 않은 야간 노출(exposure) 차단</w:t>
      </w:r>
    </w:p>
    <w:p>
      <w:pPr>
        <w:pStyle w:val="ListBullet"/>
      </w:pPr>
      <w:r>
        <w:t>Secondary IP 로그인 시 시퀀스 번호가 Primary IP의 마지막 메시지부터 이어져 주문 상태 매끄러운 보존</w:t>
      </w:r>
    </w:p>
    <w:p>
      <w:pPr>
        <w:pStyle w:val="Heading3"/>
      </w:pPr>
      <w:r>
        <w:t>5.5 DoS 보호 (100회 실패 시 60초 차단)</w:t>
      </w:r>
    </w:p>
    <w:p>
      <w:r>
        <w:t>Pillar Gateway는 엄격한 서비스 거부(DoS) 방어 메커니즘을 시행한다: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조건</w:t>
            </w:r>
          </w:p>
        </w:tc>
        <w:tc>
          <w:tcPr>
            <w:tcW w:type="dxa" w:w="4703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동작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특정 SenderCompID 또는 Target IP에서 100회 로그인 실패 또는 세션 레벨 거부 발생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DoS 모드 진입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DoS 모드 진입 시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해당 SenderCompID의 모든 오픈 주문을 COD 설정에 따라 즉시 취소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냉각 기간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해당 Target IP로부터의 모든 연결 시도를 60초간 거부</w:t>
            </w:r>
          </w:p>
        </w:tc>
      </w:tr>
    </w:tbl>
    <w:p/>
    <w:p>
      <w:r>
        <w:t>또한 Binary Gateway는 메시지 레이트 스로틀링(throttling)을 통해 매칭 엔진을 보호한다: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설정 모드</w:t>
            </w:r>
          </w:p>
        </w:tc>
        <w:tc>
          <w:tcPr>
            <w:tcW w:type="dxa" w:w="4703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동작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Queue and Process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초과 메시지를 Gateway 메모리에 버퍼링, 엔진 읽기 속도에 맞춰 시간순 처리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Queue and Reject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초과 신규 주문은 `&lt;78 - Throttle Reject&gt;` 코드로 즉시 거부; 단, 취소 요청 및 cancel-replace는 여전히 큐잉 후 처리</w:t>
            </w:r>
          </w:p>
        </w:tc>
      </w:tr>
    </w:tbl>
    <w:p/>
    <w:p>
      <w:pPr>
        <w:pStyle w:val="Heading2"/>
      </w:pPr>
      <w:r>
        <w:t>6. 리스크 관리 및 변동성 통제</w:t>
      </w:r>
    </w:p>
    <w:p>
      <w:pPr>
        <w:pStyle w:val="Heading3"/>
      </w:pPr>
      <w:r>
        <w:t>6.1 Market-Wide Circuit Breaker (MWCB): 7%/13%/20%</w:t>
      </w:r>
    </w:p>
    <w:p>
      <w:r>
        <w:t>S&amp;P 500 지수 기준으로 작동하는 시장 전체 서킷 브레이커: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레벨</w:t>
            </w:r>
          </w:p>
        </w:tc>
        <w:tc>
          <w:tcPr>
            <w:tcW w:type="dxa" w:w="235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하락 폭</w:t>
            </w:r>
          </w:p>
        </w:tc>
        <w:tc>
          <w:tcPr>
            <w:tcW w:type="dxa" w:w="235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동작</w:t>
            </w:r>
          </w:p>
        </w:tc>
        <w:tc>
          <w:tcPr>
            <w:tcW w:type="dxa" w:w="235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적용 시간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Level 1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7%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15분 거래 중단 (15:25 ET 이전)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정규 세션만</w:t>
            </w:r>
          </w:p>
        </w:tc>
      </w:tr>
      <w:tr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Level 2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13%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15분 거래 중단 (15:25 ET 이전)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정규 세션만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Level 3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20%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당일 잔여 세션 거래 완전 중단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정규 세션만</w:t>
            </w:r>
          </w:p>
        </w:tc>
      </w:tr>
    </w:tbl>
    <w:p/>
    <w:p>
      <w:r/>
      <w:r>
        <w:rPr>
          <w:b/>
          <w:color w:val="0066CC"/>
        </w:rPr>
        <w:t>중요</w:t>
      </w:r>
      <w:r>
        <w:t xml:space="preserve">: MWCB는 역사적으로 정규 거래 시간(09:30~16:00 ET)에만 적용되도록 설계되었다. 현행 시간외 세션에서는 이 산업 전반의 메커니즘이 </w:t>
      </w:r>
      <w:r>
        <w:rPr>
          <w:b/>
          <w:color w:val="0066CC"/>
        </w:rPr>
        <w:t>완전 비활성</w:t>
      </w:r>
      <w:r>
        <w:t xml:space="preserve"> 상태이다.</w:t>
      </w:r>
    </w:p>
    <w:p>
      <w:pPr>
        <w:pStyle w:val="Heading3"/>
      </w:pPr>
      <w:r>
        <w:t>6.2 Limit Up-Limit Down (LULD) -- 정규시간만 적용</w:t>
      </w:r>
    </w:p>
    <w:p>
      <w:r>
        <w:t>LULD 메커니즘은 후행 5분 평균 기준 가격에 기초하여 허용 가능한 가격 밴드를 동적으로 재계산한다: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Tier 1 (S&amp;P 500, Russell 1000 등)</w:t>
            </w:r>
          </w:p>
        </w:tc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Tier 2 (기타)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가격 밴드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일반적으로 5%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더 넓은 밴드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적용 시간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정규 세션(09:30~16:00 ET)에만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동일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연장 세션 적용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미적용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미적용</w:t>
            </w:r>
          </w:p>
        </w:tc>
      </w:tr>
    </w:tbl>
    <w:p/>
    <w:p>
      <w:r>
        <w:t>연장 프리마켓 세션(오전 3시 등)에 5%의 좁은 밴드를 강제하면 지속적이고 연쇄적인 거래 정지가 발생하여 야간 시장의 효용성을 심각하게 저하시키므로, LULD는 의도적으로 시간외 세션에 적용되지 않는다.</w:t>
      </w:r>
    </w:p>
    <w:p>
      <w:pPr>
        <w:pStyle w:val="Heading3"/>
      </w:pPr>
      <w:r>
        <w:t>6.3 확장시간 Double-Wide Collars (20%/10%/6%)</w:t>
      </w:r>
    </w:p>
    <w:p>
      <w:r>
        <w:t xml:space="preserve">LULD가 적용되지 않는 연장 세션에서의 가격 보호를 위해 NYSE Arca는 Pillar Gateway 내 독점적 </w:t>
      </w:r>
      <w:r>
        <w:rPr>
          <w:b/>
          <w:color w:val="0066CC"/>
        </w:rPr>
        <w:t>Limit Order Price Protection</w:t>
      </w:r>
      <w:r>
        <w:t>에 의존한다: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기준 가격 범위</w:t>
            </w:r>
          </w:p>
        </w:tc>
        <w:tc>
          <w:tcPr>
            <w:tcW w:type="dxa" w:w="4703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Double-Wide Collar 비율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고가 증권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6%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중가 증권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10%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저가 증권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20%</w:t>
            </w:r>
          </w:p>
        </w:tc>
      </w:tr>
    </w:tbl>
    <w:p/>
    <w:p>
      <w:r>
        <w:t>기업들은 기본 증권의 기준 가격에 따라 지정가 주문 거부 임계값을 동적으로 확장하는 "Double-Wide" 가격 확인을 프로그래밍 방식으로 구성할 수 있다.</w:t>
      </w:r>
    </w:p>
    <w:p>
      <w:pPr>
        <w:pStyle w:val="Heading3"/>
      </w:pPr>
      <w:r>
        <w:t>6.4 Pillar Risk Controls (Risk Entities, SubID, GRMP)</w:t>
      </w:r>
    </w:p>
    <w:p>
      <w:pPr>
        <w:pStyle w:val="Heading4"/>
      </w:pPr>
      <w:r>
        <w:t>Risk Entity 구조</w:t>
      </w:r>
    </w:p>
    <w:p>
      <w:r>
        <w:t>Pillar는 다음 세 가지 요소를 연결하여 프로그래밍 방식의 "Risk Entity"를 생성한다: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요소</w:t>
            </w:r>
          </w:p>
        </w:tc>
        <w:tc>
          <w:tcPr>
            <w:tcW w:type="dxa" w:w="4703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설명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Symbol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기본 증권 기호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MPID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브로커의 Market Participant Identifier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SubID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4자리 영숫자 식별자 (선택적)</w:t>
            </w:r>
          </w:p>
        </w:tc>
      </w:tr>
    </w:tbl>
    <w:p/>
    <w:p>
      <w:pPr>
        <w:pStyle w:val="Heading4"/>
      </w:pPr>
      <w:r>
        <w:t>주요 제한 사항 및 파라미터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파라미터</w:t>
            </w:r>
          </w:p>
        </w:tc>
        <w:tc>
          <w:tcPr>
            <w:tcW w:type="dxa" w:w="4703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값/범위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MPID/SubID 쌍당 최대 심볼 수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400개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슬라이딩 윈도우 시간 범위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100ms ~ 300s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모니터링 지표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거래량, 총 주식 거래량, 백분율 한도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한도 위반 시 자동 동작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Cancel Non-Auction Orders &amp; Block 명령 실행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위반 추적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GRMP (Gross Risk Multiplier) 카운터 증가</w:t>
            </w:r>
          </w:p>
        </w:tc>
      </w:tr>
    </w:tbl>
    <w:p/>
    <w:p>
      <w:r>
        <w:t>이 아키텍처를 통해 청산 회사는 APAC 시간대에서 활동하는 특정 퀀트 데스크의 총 명목 노출을 회사 전체 주간 운영과 독립적으로 조절할 수 있다. 한도 위반 시 위반 엔티티의 야간 유동성 프로필이 즉시 0으로 만들어지며 GRMP 카운터가 증가한다.</w:t>
      </w:r>
    </w:p>
    <w:p>
      <w:pPr>
        <w:pStyle w:val="Heading2"/>
      </w:pPr>
      <w:r>
        <w:t>7. 청산 및 결제 연동 (DTCC/NSCC)</w:t>
      </w:r>
    </w:p>
    <w:p>
      <w:pPr>
        <w:pStyle w:val="Heading3"/>
      </w:pPr>
      <w:r>
        <w:t>7.1 UTC 24x5 Phase 1 (2024.9) / Phase 2 (2026.6 목표)</w:t>
      </w:r>
    </w:p>
    <w:p>
      <w:r>
        <w:t>DTCC의 주식 청산 자회사인 NSCC는 UTC(Universal Trade Capture) 시스템을 24x5 일정으로 근본적으로 변경 중이다: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단계</w:t>
            </w:r>
          </w:p>
        </w:tc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시기</w:t>
            </w:r>
          </w:p>
        </w:tc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내용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Phase 1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2024년 9월 구현 완료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UTC 시스템 개장 시간을 01:30 ET로 확대; 레거시 04:00 ET 대비 2.5시간 조기 야간 거래 제출 가능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Phase 2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2026년 6월 목표 (규제 검토 대기)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UTC를 일요일 20:00 ET ~ 금요일 20:00 ET 완전 24x5 운영으로 전환</w:t>
            </w:r>
          </w:p>
        </w:tc>
      </w:tr>
    </w:tbl>
    <w:p/>
    <w:p>
      <w:r>
        <w:t>Phase 2 완료 시:</w:t>
      </w:r>
    </w:p>
    <w:p>
      <w:pPr>
        <w:pStyle w:val="ListBullet"/>
      </w:pPr>
      <w:r>
        <w:t>UTC가 FIX 및 MQ 메시지를 지속적으로 수신</w:t>
      </w:r>
    </w:p>
    <w:p>
      <w:pPr>
        <w:pStyle w:val="ListBullet"/>
      </w:pPr>
      <w:r>
        <w:t xml:space="preserve">NSCC의 CCP(Central Counterparty) 보증이 야간 거래에 </w:t>
      </w:r>
      <w:r>
        <w:rPr>
          <w:b/>
          <w:color w:val="0066CC"/>
        </w:rPr>
        <w:t>즉각적으로 적용</w:t>
      </w:r>
      <w:r/>
    </w:p>
    <w:p>
      <w:pPr>
        <w:pStyle w:val="ListBullet"/>
      </w:pPr>
      <w:r/>
      <w:r>
        <w:rPr>
          <w:b/>
          <w:color w:val="0066CC"/>
        </w:rPr>
        <w:t>즉각적인 계약 갱신(novation)</w:t>
      </w:r>
      <w:r>
        <w:t>: 과거 야간 장외 ATS에서의 양자간 신용 위험 제거</w:t>
      </w:r>
    </w:p>
    <w:p>
      <w:pPr>
        <w:pStyle w:val="Heading3"/>
      </w:pPr>
      <w:r>
        <w:t>7.2 T+1 결제 체제</w:t>
      </w:r>
    </w:p>
    <w:p>
      <w:r>
        <w:t>2024년 5월 도입된 T+1 결제 주기는 23시간 프레임워크 내에서도 엄격하게 유지된다:</w:t>
      </w:r>
    </w:p>
    <w:p>
      <w:pPr>
        <w:pStyle w:val="ListBullet"/>
      </w:pPr>
      <w:r/>
      <w:r>
        <w:rPr>
          <w:b/>
          <w:color w:val="0066CC"/>
        </w:rPr>
        <w:t>20:00 ET Trade Date Cutoff</w:t>
      </w:r>
      <w:r>
        <w:t>: 불변의 거래일 전환 기준점</w:t>
      </w:r>
    </w:p>
    <w:p>
      <w:pPr>
        <w:pStyle w:val="ListBullet"/>
      </w:pPr>
      <w:r>
        <w:t xml:space="preserve">NSCC 리스크 시스템: </w:t>
      </w:r>
      <w:r>
        <w:rPr>
          <w:b/>
          <w:color w:val="0066CC"/>
        </w:rPr>
        <w:t>15분마다</w:t>
      </w:r>
      <w:r>
        <w:t xml:space="preserve"> 회원 노출 평가 및 동적 증거금 콜(margin call) 발행 가능</w:t>
      </w:r>
    </w:p>
    <w:p>
      <w:pPr>
        <w:pStyle w:val="ListBullet"/>
      </w:pPr>
      <w:r/>
      <w:r>
        <w:rPr>
          <w:b/>
          <w:color w:val="0066CC"/>
        </w:rPr>
        <w:t>Margin Requirement Differential (MRD) charge</w:t>
      </w:r>
      <w:r>
        <w:t>: 본장 유동성 도착 전 야간 포지션의 비순환(un-netted) 위험 해소</w:t>
      </w:r>
    </w:p>
    <w:p>
      <w:pPr>
        <w:pStyle w:val="Heading3"/>
      </w:pPr>
      <w:r>
        <w:t>7.3 별도 9A/9B 야간 청산 관계</w:t>
      </w:r>
    </w:p>
    <w:p>
      <w:r>
        <w:t xml:space="preserve">야간 세션 참가자는 </w:t>
      </w:r>
      <w:r>
        <w:rPr>
          <w:b/>
          <w:color w:val="0066CC"/>
        </w:rPr>
        <w:t>완전히 분리된</w:t>
      </w:r>
      <w:r>
        <w:t xml:space="preserve"> Correspondent Clearing(CORR) 및 Qualified Special Representative(QSR) 9A/9B 관계를 설정해야 한다: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주간 청산</w:t>
            </w:r>
          </w:p>
        </w:tc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야간 청산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9A/9B 관계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기존 주간 운영용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별도 설정 필수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목적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표준 본장 거래 청산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APAC 시간대 알고리즘 오류/대규모 방향성 베팅이 주간 증거금 한도를 침범하지 않도록 리스크 구획화</w:t>
            </w:r>
          </w:p>
        </w:tc>
      </w:tr>
    </w:tbl>
    <w:p/>
    <w:p>
      <w:pPr>
        <w:pStyle w:val="Heading3"/>
      </w:pPr>
      <w:r>
        <w:t>7.4 High-Value Threshold</w:t>
      </w:r>
    </w:p>
    <w:p>
      <w:r>
        <w:t>UTC 시스템은 대규모 오류 거래를 차단하기 위한 하드코딩된 유효성 검사를 구현한다: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시간대</w:t>
            </w:r>
          </w:p>
        </w:tc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임계값</w:t>
            </w:r>
          </w:p>
        </w:tc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대상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야간 (Overnight)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$1 Billion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장외(OTC) Correspondent Clearing 트랜잭션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주간 (Daytime)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$1.5 Billion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동일</w:t>
            </w:r>
          </w:p>
        </w:tc>
      </w:tr>
    </w:tbl>
    <w:p/>
    <w:p>
      <w:r>
        <w:t>이 임계값을 초과하는 거래는 자동으로 플래그되어 억제(contain)되며, "fat finger" 입력이 하위 CNS 체인을 손상시키기 전에 차단된다.</w:t>
      </w:r>
    </w:p>
    <w:p>
      <w:pPr>
        <w:pStyle w:val="Heading2"/>
      </w:pPr>
      <w:r>
        <w:t>8. 시장 데이터 배포</w:t>
      </w:r>
    </w:p>
    <w:p>
      <w:pPr>
        <w:pStyle w:val="Heading3"/>
      </w:pPr>
      <w:r>
        <w:t>8.1 SIP (CTS/CQS) 확장 -- 일~금 21:00-20:00 ET</w:t>
      </w:r>
    </w:p>
    <w:p>
      <w:r>
        <w:t xml:space="preserve">확장 거래시간의 실행 가능성은 통합 시장 데이터의 지속적 가용성에 전적으로 의존한다. SEC 및 SIFMA는 SIP가 완전 가동되지 않으면 NYSE Arca가 확장 세션을 운영할 수 </w:t>
      </w:r>
      <w:r>
        <w:rPr>
          <w:b/>
          <w:color w:val="0066CC"/>
        </w:rPr>
        <w:t>없다</w:t>
      </w:r>
      <w:r>
        <w:t>고 강조하였다.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현행</w:t>
            </w:r>
          </w:p>
        </w:tc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확장 목표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SIP 운영시간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~04:00~20:00 ET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일요일 21:00 ET ~ 금요일 20:00 ET (23시간 패러다임)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데이터 품질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본장과 동일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본장과 동등한 지연시간, 신뢰성, 범위 보장 필수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야간 체결 식별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'.T' sale condition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야간 체결이 Last Sale eligible이 아님을 명시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공식 종가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'M' sale condition (16:00 ET Closing Auction)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변경 없음: OCP는 16:00 ET에 고정</w:t>
            </w:r>
          </w:p>
        </w:tc>
      </w:tr>
    </w:tbl>
    <w:p/>
    <w:p>
      <w:pPr>
        <w:pStyle w:val="Heading3"/>
      </w:pPr>
      <w:r>
        <w:t>8.2 NYSE Integrated Feed (XDP)</w:t>
      </w:r>
    </w:p>
    <w:p>
      <w:r>
        <w:t>NYSE Arca의 독점(proprietary) 데이터 피드:</w:t>
      </w:r>
    </w:p>
    <w:p>
      <w:pPr>
        <w:pStyle w:val="ListBullet"/>
      </w:pPr>
      <w:r/>
      <w:r>
        <w:rPr>
          <w:b/>
          <w:color w:val="0066CC"/>
        </w:rPr>
        <w:t>Pillar Integrated Feed</w:t>
      </w:r>
      <w:r>
        <w:t>: 심층 주문장(deep book) 가시성 제공</w:t>
      </w:r>
    </w:p>
    <w:p>
      <w:pPr>
        <w:pStyle w:val="ListBullet"/>
      </w:pPr>
      <w:r/>
      <w:r>
        <w:rPr>
          <w:b/>
          <w:color w:val="0066CC"/>
        </w:rPr>
        <w:t>BQT (Best Quote and Trade) Feed</w:t>
      </w:r>
      <w:r>
        <w:t>: 최우선 호가 및 체결 정보</w:t>
      </w:r>
    </w:p>
    <w:p>
      <w:pPr>
        <w:pStyle w:val="ListBullet"/>
      </w:pPr>
      <w:r>
        <w:t>연속 운영: 23시간 내내 비스로틀(un-throttled) 데이터 제공</w:t>
      </w:r>
    </w:p>
    <w:p>
      <w:pPr>
        <w:pStyle w:val="ListBullet"/>
      </w:pPr>
      <w:r>
        <w:t xml:space="preserve">참가자는 세션 경계 전반에 걸쳐 </w:t>
      </w:r>
      <w:r>
        <w:rPr>
          <w:b/>
          <w:color w:val="0066CC"/>
        </w:rPr>
        <w:t>8바이트 OrderID</w:t>
      </w:r>
      <w:r>
        <w:t xml:space="preserve"> 및 </w:t>
      </w:r>
      <w:r>
        <w:rPr>
          <w:b/>
          <w:color w:val="0066CC"/>
        </w:rPr>
        <w:t>4바이트 TradeID</w:t>
      </w:r>
      <w:r>
        <w:t xml:space="preserve"> 페이로드를 엄격하게 매핑해야 함</w:t>
      </w:r>
    </w:p>
    <w:p>
      <w:pPr>
        <w:pStyle w:val="Heading3"/>
      </w:pPr>
      <w:r>
        <w:t>8.3 MoldUdp64 프로토콜</w:t>
      </w:r>
    </w:p>
    <w:p>
      <w:r>
        <w:t xml:space="preserve">UTP 및 CTA SIP 데이터는 </w:t>
      </w:r>
      <w:r>
        <w:rPr>
          <w:b/>
          <w:color w:val="0066CC"/>
        </w:rPr>
        <w:t>MoldUdp64</w:t>
      </w:r>
      <w:r>
        <w:t xml:space="preserve"> 프로토콜을 통해 게시된다:</w:t>
      </w:r>
    </w:p>
    <w:p>
      <w:pPr>
        <w:pStyle w:val="ListBullet"/>
      </w:pPr>
      <w:r>
        <w:t xml:space="preserve">바이너리 페이로드의 </w:t>
      </w:r>
      <w:r>
        <w:rPr>
          <w:b/>
          <w:color w:val="0066CC"/>
        </w:rPr>
        <w:t>순차적 전달</w:t>
      </w:r>
      <w:r>
        <w:t xml:space="preserve"> 보장</w:t>
      </w:r>
    </w:p>
    <w:p>
      <w:pPr>
        <w:pStyle w:val="ListBullet"/>
      </w:pPr>
      <w:r>
        <w:t>NBBO(National Best Bid and Offer) 업데이트를 포함</w:t>
      </w:r>
    </w:p>
    <w:p>
      <w:pPr>
        <w:pStyle w:val="ListBullet"/>
      </w:pPr>
      <w:r>
        <w:t>23시간 세션 동안 VWAP(Volume Weighted Average Price) 및 기관 거래 추적에 필수적인 결정론적 시퀀싱 제공</w:t>
      </w:r>
    </w:p>
    <w:p>
      <w:pPr>
        <w:pStyle w:val="Heading2"/>
      </w:pPr>
      <w:r>
        <w:t>9. Maintenance Pause (20:00-21:00 ET) 상세</w:t>
      </w:r>
    </w:p>
    <w:p>
      <w:r>
        <w:t xml:space="preserve">매일 1시간의 유지보수 시간은 NYSE Arca 확장 체제의 </w:t>
      </w:r>
      <w:r>
        <w:rPr>
          <w:b/>
          <w:color w:val="0066CC"/>
        </w:rPr>
        <w:t>아키텍처 핵심</w:t>
      </w:r>
      <w:r>
        <w:t>이다. 외부 FIX 트래픽을 정확히 60분간 중단함으로써 라이브 매칭 엔진에서 실행하기에는 위험한 기능들을 안전하게 수행한다.</w:t>
      </w:r>
    </w:p>
    <w:p>
      <w:pPr>
        <w:pStyle w:val="Heading3"/>
      </w:pPr>
      <w:r>
        <w:t>자동화 작업 파이프라인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순서</w:t>
            </w:r>
          </w:p>
        </w:tc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작업</w:t>
            </w:r>
          </w:p>
        </w:tc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상세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1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데이터베이스 백업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모든 영구 주문, 사용자 구성, 라우팅 지시, 리스크 한도 활용 상태 스냅샷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2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시퀀스 리셋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FIX 시퀀스 번호, 매칭 엔진 실행 ID, XDP 피드 Symbol Sequence Numbers를 1로 초기화 (MsgType 1); 정수 오버플로 방지 및 깨끗한 진단 기준선 제공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3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기업행위 처리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배당금 적용, 주식 분할 실행, 심볼 변경, 배당락 조정 계산; 조정된 종가 및 참조 데이터를 SIP의 Symbol Reference Data 메시지(CQS/CTS)로 배포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4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소프트웨어 배포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OS 패치, 매칭 엔진 로직 업데이트, 네트워크 라우팅 최적화; 자동화된 회귀 테스트 실행; 21:00 오픈 전 오류 시 이전 상태로 즉각 롤백 가능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5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심볼 매핑 파일 배포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`$Market$SymbolMapping_YYYYMMDD.xml`을 공개 FTP 서버에 게시</w:t>
            </w:r>
          </w:p>
        </w:tc>
      </w:tr>
    </w:tbl>
    <w:p/>
    <w:p>
      <w:pPr>
        <w:pStyle w:val="Heading3"/>
      </w:pPr>
      <w:r>
        <w:t>콜드 스타트 시 주문장 복원 프로세스</w:t>
      </w:r>
    </w:p>
    <w:p>
      <w:r>
        <w:t>매칭 엔진의 "sleep/wake" 시퀀스:</w:t>
      </w:r>
    </w:p>
    <w:p>
      <w:pPr>
        <w:pStyle w:val="ListNumber"/>
      </w:pPr>
      <w:r/>
      <w:r>
        <w:rPr>
          <w:b/>
          <w:color w:val="0066CC"/>
        </w:rPr>
        <w:t>20:00 ET</w:t>
      </w:r>
      <w:r>
        <w:t>: 일시적 상태 데이터 RAM에서 삭제; 영구 데이터(GTC 주문 등) 로컬 디스크 저장 + Cermak DR 클러스터로 다크 파이버 동시 복제</w:t>
      </w:r>
    </w:p>
    <w:p>
      <w:pPr>
        <w:pStyle w:val="ListNumber"/>
      </w:pPr>
      <w:r/>
      <w:r>
        <w:rPr>
          <w:b/>
          <w:color w:val="0066CC"/>
        </w:rPr>
        <w:t>20:00~21:00 ET</w:t>
      </w:r>
      <w:r>
        <w:t>: 위 자동화 작업 파이프라인 실행</w:t>
      </w:r>
    </w:p>
    <w:p>
      <w:pPr>
        <w:pStyle w:val="ListNumber"/>
      </w:pPr>
      <w:r/>
      <w:r>
        <w:rPr>
          <w:b/>
          <w:color w:val="0066CC"/>
        </w:rPr>
        <w:t>~20:55 ET</w:t>
      </w:r>
      <w:r>
        <w:t>: Extended Early Session 주문 접수 시작 (5분 주문 축적 윈도우)</w:t>
      </w:r>
    </w:p>
    <w:p>
      <w:pPr>
        <w:pStyle w:val="ListNumber"/>
      </w:pPr>
      <w:r/>
      <w:r>
        <w:rPr>
          <w:b/>
          <w:color w:val="0066CC"/>
        </w:rPr>
        <w:t>21:00 ET</w:t>
      </w:r>
      <w:r>
        <w:t>: 콜드 스타트 완료</w:t>
      </w:r>
    </w:p>
    <w:p>
      <w:pPr>
        <w:pStyle w:val="ListBullet"/>
      </w:pPr>
      <w:r>
        <w:t>영구 데이터 저장소에서 GTC 주문 로드</w:t>
      </w:r>
    </w:p>
    <w:p>
      <w:pPr>
        <w:pStyle w:val="ListBullet"/>
      </w:pPr>
      <w:r/>
      <w:r>
        <w:rPr>
          <w:b/>
          <w:color w:val="0066CC"/>
        </w:rPr>
        <w:t>Restatement 메시지 생성</w:t>
      </w:r>
      <w:r>
        <w:t>: `ExecTransType = 3 (Status)`, `ExecType = D (Restated)`</w:t>
      </w:r>
    </w:p>
    <w:p>
      <w:pPr>
        <w:pStyle w:val="ListBullet"/>
      </w:pPr>
      <w:r>
        <w:t>FIX Drop Copy 및 독점 피드를 통해 참가자에게 복원 확인 브로드캐스트</w:t>
      </w:r>
    </w:p>
    <w:p>
      <w:pPr>
        <w:pStyle w:val="ListBullet"/>
      </w:pPr>
      <w:r>
        <w:t>대량 Add Order (MsgType 100) 메시지 burst</w:t>
      </w:r>
    </w:p>
    <w:p>
      <w:pPr>
        <w:pStyle w:val="ListBullet"/>
      </w:pPr>
      <w:r>
        <w:t>Extended Early Open Auction 실행</w:t>
      </w:r>
    </w:p>
    <w:p>
      <w:pPr>
        <w:pStyle w:val="Heading2"/>
      </w:pPr>
      <w:r>
        <w:t>10. KRX와의 비교</w:t>
      </w:r>
    </w:p>
    <w:p>
      <w:pPr>
        <w:pStyle w:val="Heading3"/>
      </w:pPr>
      <w:r>
        <w:t>10.1 종합 비교표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비교 항목</w:t>
            </w:r>
          </w:p>
        </w:tc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NYSE / NYSE Arca</w:t>
            </w:r>
          </w:p>
        </w:tc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KRX (현행)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총 거래시간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23시간 (목표)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6.5시간 (09:00~15:30 KST)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정규 세션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09:30~16:00 ET (6.5h)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09:00~15:30 KST (6.5h)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프리마켓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21:00 ET(전일)~09:30 ET (12.5h 목표)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08:00~09:00 KST (동시호가, 1h)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애프터마켓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16:00~20:00 ET (4h)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15:30~16:00 KST (장 마감 동시호가, 0.5h)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유지보수 시간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20:00~21:00 ET (1h)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해당 없음 (야간 전체 비운영)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오프닝 옥션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Imbalance Info 08:00 시작, Freeze 09:29:55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동시호가 08:00~09:00 (단일가매매)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클로징 옥션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Closing Imbalance 15:50 시작, D-Orders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장 마감 동시호가 15:20~15:30 (단일가매매)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매칭 엔진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Pillar (14 TXN 분산 파티션)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EXTURE 3.0 (시장별 멀티 매칭, 50µs)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서킷 브레이커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MWCB 7%/13%/20% (정규시간만)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KOSPI 8%/15%/20% (3단계)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변동성 완화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LULD (정규), Double-Wide Collars (연장)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VI (Volatility Interruption) + 정적 가격제한폭 (±30%)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결제 주기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T+1 (2024.5 시행)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T+2 (일부 T+1 논의 중)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청산기관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DTCC/NSCC (UTC 24x5)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KSD (한국예탁결제원)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야간 체결 식별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'.T' sale condition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해당 없음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주문 프로토콜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FIX 4.2/4.4 + Native Binary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FIX + 독자 프로토콜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시장 데이터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SIP(CTS/CQS) + XDP(Proprietary)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KOSCOM 통합 데이터 피드</w:t>
            </w:r>
          </w:p>
        </w:tc>
      </w:tr>
    </w:tbl>
    <w:p/>
    <w:p>
      <w:pPr>
        <w:pStyle w:val="Heading3"/>
      </w:pPr>
      <w:r>
        <w:t>10.2 KRX 도입 시 참고할 핵심 시사점</w:t>
      </w:r>
    </w:p>
    <w:p>
      <w:pPr>
        <w:pStyle w:val="Heading4"/>
      </w:pPr>
      <w:r>
        <w:t>(1) 동적 가격 제한폭 (Dynamic Collars) 도입 필요</w:t>
      </w:r>
    </w:p>
    <w:p>
      <w:pPr>
        <w:pStyle w:val="ListBullet"/>
      </w:pPr>
      <w:r>
        <w:t>현행 KRX의 정적 일일 상하한가(±30%)를 야간에 그대로 적용하는 것은 부적절</w:t>
      </w:r>
    </w:p>
    <w:p>
      <w:pPr>
        <w:pStyle w:val="ListBullet"/>
      </w:pPr>
      <w:r>
        <w:t xml:space="preserve">NYSE Arca의 Double-Wide Collars(20%/10%/6%) 모델을 벤치마킹하여 </w:t>
      </w:r>
      <w:r>
        <w:rPr>
          <w:b/>
          <w:color w:val="0066CC"/>
        </w:rPr>
        <w:t>유동성 깊이에 따라 동적으로 확장되는 가격 제한폭</w:t>
      </w:r>
      <w:r>
        <w:t xml:space="preserve"> 설계 필요</w:t>
      </w:r>
    </w:p>
    <w:p>
      <w:pPr>
        <w:pStyle w:val="ListBullet"/>
      </w:pPr>
      <w:r>
        <w:t>야간 전용 "LULD-Lite" 알고리즘 구현 권장: 임계값(예: ±10%) 위반 시 해당 종목 연속 거래 중단 -&gt; 5분 동결 -&gt; 재개장 경매</w:t>
      </w:r>
    </w:p>
    <w:p>
      <w:pPr>
        <w:pStyle w:val="Heading4"/>
      </w:pPr>
      <w:r>
        <w:t>(2) 시장 데이터 동등성 확보</w:t>
      </w:r>
    </w:p>
    <w:p>
      <w:pPr>
        <w:pStyle w:val="ListBullet"/>
      </w:pPr>
      <w:r>
        <w:t>야간 세션 데이터 품질이 정규 세션 대비 열화되어서는 안 됨</w:t>
      </w:r>
    </w:p>
    <w:p>
      <w:pPr>
        <w:pStyle w:val="ListBullet"/>
      </w:pPr>
      <w:r>
        <w:t>KOSCOM과의 기술적 합의를 통해 야간 체결 건의 분류 체계 구축</w:t>
      </w:r>
    </w:p>
    <w:p>
      <w:pPr>
        <w:pStyle w:val="ListBullet"/>
      </w:pPr>
      <w:r>
        <w:t xml:space="preserve">KOSPI 200 등 국내 지수 계산에서 야간 가격 데이터를 </w:t>
      </w:r>
      <w:r>
        <w:rPr>
          <w:b/>
          <w:color w:val="0066CC"/>
        </w:rPr>
        <w:t>격리</w:t>
      </w:r>
      <w:r>
        <w:t>하는 식별자 프로토콜 필수</w:t>
      </w:r>
    </w:p>
    <w:p>
      <w:pPr>
        <w:pStyle w:val="ListBullet"/>
      </w:pPr>
      <w:r>
        <w:t>야간 체결 건의 '.T' 유사 식별자 도입으로 기술적 분석 차트, 자동 증거금 계산의 왜곡 방지</w:t>
      </w:r>
    </w:p>
    <w:p>
      <w:pPr>
        <w:pStyle w:val="Heading4"/>
      </w:pPr>
      <w:r>
        <w:t>(3) 청산 인프라 현대화</w:t>
      </w:r>
    </w:p>
    <w:p>
      <w:pPr>
        <w:pStyle w:val="ListBullet"/>
      </w:pPr>
      <w:r>
        <w:t>KSD의 UTC 동등 시스템을 24x5로 확장하는 로드맵 수립</w:t>
      </w:r>
    </w:p>
    <w:p>
      <w:pPr>
        <w:pStyle w:val="ListBullet"/>
      </w:pPr>
      <w:r>
        <w:t>T+1 결제 전환과 연장 거래시간의 동시 추진 시 FIX Tag 715 수준의 Clearing Business Date 메커니즘 도입</w:t>
      </w:r>
    </w:p>
    <w:p>
      <w:pPr>
        <w:pStyle w:val="ListBullet"/>
      </w:pPr>
      <w:r>
        <w:t>야간 전용 9A/9B 유사 청산 관계의 분리 설정</w:t>
      </w:r>
    </w:p>
    <w:p>
      <w:pPr>
        <w:pStyle w:val="ListBullet"/>
      </w:pPr>
      <w:r>
        <w:t>15분 주기 증거금 재계산 및 동적 마진콜 역량 구축</w:t>
      </w:r>
    </w:p>
    <w:p>
      <w:pPr>
        <w:pStyle w:val="Heading4"/>
      </w:pPr>
      <w:r>
        <w:t>(4) 운영 인력 체계 재구성</w:t>
      </w:r>
    </w:p>
    <w:p>
      <w:pPr>
        <w:pStyle w:val="ListBullet"/>
      </w:pPr>
      <w:r>
        <w:t>"Follow-the-Sun" 3교대 운영 모델 도입</w:t>
      </w:r>
    </w:p>
    <w:p>
      <w:pPr>
        <w:pStyle w:val="ListBullet"/>
      </w:pPr>
      <w:r>
        <w:t>야간 전담 Market Surveillance, IT Operations, 회원 지원 팀 설치</w:t>
      </w:r>
    </w:p>
    <w:p>
      <w:pPr>
        <w:pStyle w:val="ListBullet"/>
      </w:pPr>
      <w:r>
        <w:t>야간 감시는 ML 기반 결정론적 경보 메커니즘으로 전환 (스푸핑, 레이어링, 시세조종 탐지)</w:t>
      </w:r>
    </w:p>
    <w:p>
      <w:pPr>
        <w:pStyle w:val="ListBullet"/>
      </w:pPr>
      <w:r>
        <w:t>야간 근무자 건강관리, 피로 관리, 경력 개발 경로 제도화</w:t>
      </w:r>
    </w:p>
    <w:p>
      <w:pPr>
        <w:pStyle w:val="Heading4"/>
      </w:pPr>
      <w:r>
        <w:t>(5) 리테일 투자자 보호</w:t>
      </w:r>
    </w:p>
    <w:p>
      <w:pPr>
        <w:pStyle w:val="ListBullet"/>
      </w:pPr>
      <w:r>
        <w:t xml:space="preserve">야간 거래의 구체적 위험(유동성 감소, 변동성 확대, 넓은 스프레드, NBBO 보호 부재)에 대한 </w:t>
      </w:r>
      <w:r>
        <w:rPr>
          <w:b/>
          <w:color w:val="0066CC"/>
        </w:rPr>
        <w:t>필수 고지</w:t>
      </w:r>
      <w:r>
        <w:t xml:space="preserve"> 규정 마련</w:t>
      </w:r>
    </w:p>
    <w:p>
      <w:pPr>
        <w:pStyle w:val="ListBullet"/>
      </w:pPr>
      <w:r>
        <w:t>개인 투자자의 야간 주문 라우팅 전 명시적 위험 동의 절차 의무화</w:t>
      </w:r>
    </w:p>
    <w:p>
      <w:pPr>
        <w:pStyle w:val="Heading2"/>
      </w:pPr>
      <w:r>
        <w:t>참고자료</w:t>
      </w:r>
    </w:p>
    <w:p>
      <w:pPr>
        <w:pStyle w:val="Heading3"/>
      </w:pPr>
      <w:r>
        <w:t>SEC 규제 문서</w:t>
      </w:r>
    </w:p>
    <w:p>
      <w:pPr>
        <w:pStyle w:val="ListBullet"/>
      </w:pPr>
      <w:r>
        <w:t xml:space="preserve">Self-Regulatory Organizations; NYSE Arca, Inc.; Notice of Filing of Proposed Rule Change (SR-NYSEARCA-2024-89): </w:t>
      </w:r>
      <w:hyperlink r:id="rId9">
        <w:r>
          <w:rPr>
            <w:color w:val="0066CC"/>
            <w:u w:val="single"/>
            <w:sz w:val="18"/>
            <w:rFonts w:ascii="Malgun Gothic" w:eastAsia="Malgun Gothic"/>
          </w:rPr>
          <w:t>federalregister.gov/documents/2024/11/14/2024-264...</w:t>
        </w:r>
      </w:hyperlink>
      <w:r/>
    </w:p>
    <w:p>
      <w:pPr>
        <w:pStyle w:val="ListBullet"/>
      </w:pPr>
      <w:r>
        <w:t xml:space="preserve">SEC Release No. 34-101985: </w:t>
      </w:r>
      <w:hyperlink r:id="rId10">
        <w:r>
          <w:rPr>
            <w:color w:val="0066CC"/>
            <w:u w:val="single"/>
            <w:sz w:val="18"/>
            <w:rFonts w:ascii="Malgun Gothic" w:eastAsia="Malgun Gothic"/>
          </w:rPr>
          <w:t>sec.gov/files/rules/sro/nysearca/2024...</w:t>
        </w:r>
      </w:hyperlink>
      <w:r/>
    </w:p>
    <w:p>
      <w:pPr>
        <w:pStyle w:val="ListBullet"/>
      </w:pPr>
      <w:r>
        <w:t xml:space="preserve">Amendment No. 1: </w:t>
      </w:r>
      <w:hyperlink r:id="rId11">
        <w:r>
          <w:rPr>
            <w:color w:val="0066CC"/>
            <w:u w:val="single"/>
            <w:sz w:val="18"/>
            <w:rFonts w:ascii="Malgun Gothic" w:eastAsia="Malgun Gothic"/>
          </w:rPr>
          <w:t>federalregister.gov/documents/2024/12/30/2024-309...</w:t>
        </w:r>
      </w:hyperlink>
      <w:r/>
    </w:p>
    <w:p>
      <w:pPr>
        <w:pStyle w:val="ListBullet"/>
      </w:pPr>
      <w:r>
        <w:t xml:space="preserve">Amendment No. 2 and Order Granting Approval (Release No. 34-102400): </w:t>
      </w:r>
      <w:hyperlink r:id="rId12">
        <w:r>
          <w:rPr>
            <w:color w:val="0066CC"/>
            <w:u w:val="single"/>
            <w:sz w:val="18"/>
            <w:rFonts w:ascii="Malgun Gothic" w:eastAsia="Malgun Gothic"/>
          </w:rPr>
          <w:t>sec.gov/files/rules/sro/nysearca/2025...</w:t>
        </w:r>
      </w:hyperlink>
      <w:r/>
    </w:p>
    <w:p>
      <w:pPr>
        <w:pStyle w:val="ListBullet"/>
      </w:pPr>
      <w:r>
        <w:t xml:space="preserve">SR-NYSEARCA-2024-89 Am. 2: </w:t>
      </w:r>
      <w:hyperlink r:id="rId13">
        <w:r>
          <w:rPr>
            <w:color w:val="0066CC"/>
            <w:u w:val="single"/>
            <w:sz w:val="18"/>
            <w:rFonts w:ascii="Malgun Gothic" w:eastAsia="Malgun Gothic"/>
          </w:rPr>
          <w:t>nyse.com/publicdocs/nyse/markets/nyse-...</w:t>
        </w:r>
      </w:hyperlink>
      <w:r/>
    </w:p>
    <w:p>
      <w:pPr>
        <w:pStyle w:val="ListBullet"/>
      </w:pPr>
      <w:r>
        <w:t xml:space="preserve">Federal Register Filing: </w:t>
      </w:r>
      <w:hyperlink r:id="rId14">
        <w:r>
          <w:rPr>
            <w:color w:val="0066CC"/>
            <w:u w:val="single"/>
            <w:sz w:val="18"/>
            <w:rFonts w:ascii="Malgun Gothic" w:eastAsia="Malgun Gothic"/>
          </w:rPr>
          <w:t>public-inspection.federalregister.gov/2025-02688.pdf</w:t>
        </w:r>
      </w:hyperlink>
      <w:r/>
    </w:p>
    <w:p>
      <w:pPr>
        <w:pStyle w:val="ListBullet"/>
      </w:pPr>
      <w:r>
        <w:t xml:space="preserve">Rule 7.34-E(T) Exhibit 5: </w:t>
      </w:r>
      <w:hyperlink r:id="rId15">
        <w:r>
          <w:rPr>
            <w:color w:val="0066CC"/>
            <w:u w:val="single"/>
            <w:sz w:val="18"/>
            <w:rFonts w:ascii="Malgun Gothic" w:eastAsia="Malgun Gothic"/>
          </w:rPr>
          <w:t>sec.gov/files/rules/sro/nysearca/2024...</w:t>
        </w:r>
      </w:hyperlink>
      <w:r/>
    </w:p>
    <w:p>
      <w:pPr>
        <w:pStyle w:val="Heading3"/>
      </w:pPr>
      <w:r>
        <w:t>NYSE 공식 문서</w:t>
      </w:r>
    </w:p>
    <w:p>
      <w:pPr>
        <w:pStyle w:val="ListBullet"/>
      </w:pPr>
      <w:r>
        <w:t xml:space="preserve">Extended Hours Trading: </w:t>
      </w:r>
      <w:hyperlink r:id="rId16">
        <w:r>
          <w:rPr>
            <w:color w:val="0066CC"/>
            <w:u w:val="single"/>
            <w:sz w:val="18"/>
            <w:rFonts w:ascii="Malgun Gothic" w:eastAsia="Malgun Gothic"/>
          </w:rPr>
          <w:t>nyse.com/extended-hours-trading</w:t>
        </w:r>
      </w:hyperlink>
      <w:r/>
    </w:p>
    <w:p>
      <w:pPr>
        <w:pStyle w:val="ListBullet"/>
      </w:pPr>
      <w:r>
        <w:t xml:space="preserve">Extended-Hours Trading FAQ: </w:t>
      </w:r>
      <w:hyperlink r:id="rId17">
        <w:r>
          <w:rPr>
            <w:color w:val="0066CC"/>
            <w:u w:val="single"/>
            <w:sz w:val="18"/>
            <w:rFonts w:ascii="Malgun Gothic" w:eastAsia="Malgun Gothic"/>
          </w:rPr>
          <w:t>nyse.com/publicdocs/nyse/NYSE_Extended...</w:t>
        </w:r>
      </w:hyperlink>
      <w:r/>
    </w:p>
    <w:p>
      <w:pPr>
        <w:pStyle w:val="ListBullet"/>
      </w:pPr>
      <w:r>
        <w:t xml:space="preserve">NYSE Closing Auction Insights: </w:t>
      </w:r>
      <w:hyperlink r:id="rId18">
        <w:r>
          <w:rPr>
            <w:color w:val="0066CC"/>
            <w:u w:val="single"/>
            <w:sz w:val="18"/>
            <w:rFonts w:ascii="Malgun Gothic" w:eastAsia="Malgun Gothic"/>
          </w:rPr>
          <w:t>nyse.com/data-insights/nyse-closing-au...</w:t>
        </w:r>
      </w:hyperlink>
      <w:r/>
    </w:p>
    <w:p>
      <w:pPr>
        <w:pStyle w:val="ListBullet"/>
      </w:pPr>
      <w:r>
        <w:t xml:space="preserve">NYSE Rules: </w:t>
      </w:r>
      <w:hyperlink r:id="rId19">
        <w:r>
          <w:rPr>
            <w:color w:val="0066CC"/>
            <w:u w:val="single"/>
            <w:sz w:val="18"/>
            <w:rFonts w:ascii="Malgun Gothic" w:eastAsia="Malgun Gothic"/>
          </w:rPr>
          <w:t>nyse.com/publicdocs/nyse/regulation/ny...</w:t>
        </w:r>
      </w:hyperlink>
      <w:r/>
    </w:p>
    <w:p>
      <w:pPr>
        <w:pStyle w:val="ListBullet"/>
      </w:pPr>
      <w:r>
        <w:t xml:space="preserve">Auctions: </w:t>
      </w:r>
      <w:hyperlink r:id="rId20">
        <w:r>
          <w:rPr>
            <w:color w:val="0066CC"/>
            <w:u w:val="single"/>
            <w:sz w:val="18"/>
            <w:rFonts w:ascii="Malgun Gothic" w:eastAsia="Malgun Gothic"/>
          </w:rPr>
          <w:t>nyse.com/trade/auctions</w:t>
        </w:r>
      </w:hyperlink>
      <w:r/>
    </w:p>
    <w:p>
      <w:pPr>
        <w:pStyle w:val="ListBullet"/>
      </w:pPr>
      <w:r>
        <w:t xml:space="preserve">Opening and Closing Auctions Fact Sheet: </w:t>
      </w:r>
      <w:hyperlink r:id="rId21">
        <w:r>
          <w:rPr>
            <w:color w:val="0066CC"/>
            <w:u w:val="single"/>
            <w:sz w:val="18"/>
            <w:rFonts w:ascii="Malgun Gothic" w:eastAsia="Malgun Gothic"/>
          </w:rPr>
          <w:t>nyse.com/publicdocs/nyse/markets/nyse/...</w:t>
        </w:r>
      </w:hyperlink>
      <w:r/>
    </w:p>
    <w:p>
      <w:pPr>
        <w:pStyle w:val="ListBullet"/>
      </w:pPr>
      <w:r>
        <w:t xml:space="preserve">Trading Information: </w:t>
      </w:r>
      <w:hyperlink r:id="rId22">
        <w:r>
          <w:rPr>
            <w:color w:val="0066CC"/>
            <w:u w:val="single"/>
            <w:sz w:val="18"/>
            <w:rFonts w:ascii="Malgun Gothic" w:eastAsia="Malgun Gothic"/>
          </w:rPr>
          <w:t>nyse.com/trade/trading-information</w:t>
        </w:r>
      </w:hyperlink>
      <w:r/>
    </w:p>
    <w:p>
      <w:pPr>
        <w:pStyle w:val="Heading3"/>
      </w:pPr>
      <w:r>
        <w:t>NYSE Pillar 기술 사양</w:t>
      </w:r>
    </w:p>
    <w:p>
      <w:pPr>
        <w:pStyle w:val="ListBullet"/>
      </w:pPr>
      <w:r>
        <w:t xml:space="preserve">NYSE Pillar: </w:t>
      </w:r>
      <w:hyperlink r:id="rId23">
        <w:r>
          <w:rPr>
            <w:color w:val="0066CC"/>
            <w:u w:val="single"/>
            <w:sz w:val="18"/>
            <w:rFonts w:ascii="Malgun Gothic" w:eastAsia="Malgun Gothic"/>
          </w:rPr>
          <w:t>nyse.com/pillar</w:t>
        </w:r>
      </w:hyperlink>
      <w:r/>
    </w:p>
    <w:p>
      <w:pPr>
        <w:pStyle w:val="ListBullet"/>
      </w:pPr>
      <w:r>
        <w:t xml:space="preserve">Pillar Risk Controls: </w:t>
      </w:r>
      <w:hyperlink r:id="rId24">
        <w:r>
          <w:rPr>
            <w:color w:val="0066CC"/>
            <w:u w:val="single"/>
            <w:sz w:val="18"/>
            <w:rFonts w:ascii="Malgun Gothic" w:eastAsia="Malgun Gothic"/>
          </w:rPr>
          <w:t>nyse.com/publicdocs/nyse/NYSE_Pillar_R...</w:t>
        </w:r>
      </w:hyperlink>
      <w:r/>
    </w:p>
    <w:p>
      <w:pPr>
        <w:pStyle w:val="ListBullet"/>
      </w:pPr>
      <w:r>
        <w:t xml:space="preserve">Pillar Integrated Feed Client Specification v2.5c: </w:t>
      </w:r>
      <w:hyperlink r:id="rId25">
        <w:r>
          <w:rPr>
            <w:color w:val="0066CC"/>
            <w:u w:val="single"/>
            <w:sz w:val="18"/>
            <w:rFonts w:ascii="Malgun Gothic" w:eastAsia="Malgun Gothic"/>
          </w:rPr>
          <w:t>nyse.com/publicdocs/nyse/data/Pillar_I...</w:t>
        </w:r>
      </w:hyperlink>
      <w:r/>
    </w:p>
    <w:p>
      <w:pPr>
        <w:pStyle w:val="ListBullet"/>
      </w:pPr>
      <w:r>
        <w:t xml:space="preserve">Pillar Common Client Specification v2.6c: </w:t>
      </w:r>
      <w:hyperlink r:id="rId26">
        <w:r>
          <w:rPr>
            <w:color w:val="0066CC"/>
            <w:u w:val="single"/>
            <w:sz w:val="18"/>
            <w:rFonts w:ascii="Malgun Gothic" w:eastAsia="Malgun Gothic"/>
          </w:rPr>
          <w:t>nyse.com/publicdocs/nyse/data/Pillar_C...</w:t>
        </w:r>
      </w:hyperlink>
      <w:r/>
    </w:p>
    <w:p>
      <w:pPr>
        <w:pStyle w:val="ListBullet"/>
      </w:pPr>
      <w:r>
        <w:t xml:space="preserve">Pillar Gateway FIX Protocol Specification: </w:t>
      </w:r>
      <w:hyperlink r:id="rId27">
        <w:r>
          <w:rPr>
            <w:color w:val="0066CC"/>
            <w:u w:val="single"/>
            <w:sz w:val="18"/>
            <w:rFonts w:ascii="Malgun Gothic" w:eastAsia="Malgun Gothic"/>
          </w:rPr>
          <w:t>nyse.com/publicdocs/nyse/NYSE_Pillar_G...</w:t>
        </w:r>
      </w:hyperlink>
      <w:r/>
    </w:p>
    <w:p>
      <w:pPr>
        <w:pStyle w:val="ListBullet"/>
      </w:pPr>
      <w:r>
        <w:t xml:space="preserve">Pillar Gateway Binary Protocol Specification: </w:t>
      </w:r>
      <w:hyperlink r:id="rId28">
        <w:r>
          <w:rPr>
            <w:color w:val="0066CC"/>
            <w:u w:val="single"/>
            <w:sz w:val="18"/>
            <w:rFonts w:ascii="Malgun Gothic" w:eastAsia="Malgun Gothic"/>
          </w:rPr>
          <w:t>nyse.com/publicdocs/nyse/NYSE_Pillar_G...</w:t>
        </w:r>
      </w:hyperlink>
      <w:r/>
    </w:p>
    <w:p>
      <w:pPr>
        <w:pStyle w:val="ListBullet"/>
      </w:pPr>
      <w:r>
        <w:t xml:space="preserve">NYSE Group Security Master Client Specification v4.0.9: </w:t>
      </w:r>
      <w:hyperlink r:id="rId29">
        <w:r>
          <w:rPr>
            <w:color w:val="0066CC"/>
            <w:u w:val="single"/>
            <w:sz w:val="18"/>
            <w:rFonts w:ascii="Malgun Gothic" w:eastAsia="Malgun Gothic"/>
          </w:rPr>
          <w:t>nyse.com/publicdocs/nyse/data/NYSE_Gro...</w:t>
        </w:r>
      </w:hyperlink>
      <w:r/>
    </w:p>
    <w:p>
      <w:pPr>
        <w:pStyle w:val="ListBullet"/>
      </w:pPr>
      <w:r>
        <w:t xml:space="preserve">NYSE BQT Common Client Specification: </w:t>
      </w:r>
      <w:hyperlink r:id="rId30">
        <w:r>
          <w:rPr>
            <w:color w:val="0066CC"/>
            <w:u w:val="single"/>
            <w:sz w:val="18"/>
            <w:rFonts w:ascii="Malgun Gothic" w:eastAsia="Malgun Gothic"/>
          </w:rPr>
          <w:t>nyse.com/publicdocs/nyse/data/NYSE_BQT...</w:t>
        </w:r>
      </w:hyperlink>
      <w:r/>
    </w:p>
    <w:p>
      <w:pPr>
        <w:pStyle w:val="ListBullet"/>
      </w:pPr>
      <w:r>
        <w:t xml:space="preserve">Pillar Options Common Client Specification: </w:t>
      </w:r>
      <w:hyperlink r:id="rId31">
        <w:r>
          <w:rPr>
            <w:color w:val="0066CC"/>
            <w:u w:val="single"/>
            <w:sz w:val="18"/>
            <w:rFonts w:ascii="Malgun Gothic" w:eastAsia="Malgun Gothic"/>
          </w:rPr>
          <w:t>nyse.com/publicdocs/nyse/data/Pillar_O...</w:t>
        </w:r>
      </w:hyperlink>
      <w:r/>
    </w:p>
    <w:p>
      <w:pPr>
        <w:pStyle w:val="Heading3"/>
      </w:pPr>
      <w:r>
        <w:t>DTCC/NSCC 문서</w:t>
      </w:r>
    </w:p>
    <w:p>
      <w:pPr>
        <w:pStyle w:val="ListBullet"/>
      </w:pPr>
      <w:r>
        <w:t xml:space="preserve">Preparing US Equity Markets for 24x5 Trading: </w:t>
      </w:r>
      <w:hyperlink r:id="rId32">
        <w:r>
          <w:rPr>
            <w:color w:val="0066CC"/>
            <w:u w:val="single"/>
            <w:sz w:val="18"/>
            <w:rFonts w:ascii="Malgun Gothic" w:eastAsia="Malgun Gothic"/>
          </w:rPr>
          <w:t>dtcc.com/dtcctransformation/24x5</w:t>
        </w:r>
      </w:hyperlink>
      <w:r/>
    </w:p>
    <w:p>
      <w:pPr>
        <w:pStyle w:val="ListBullet"/>
      </w:pPr>
      <w:r>
        <w:t xml:space="preserve">THE SHIFT TO 24X5 TRADING: </w:t>
      </w:r>
      <w:hyperlink r:id="rId33">
        <w:r>
          <w:rPr>
            <w:color w:val="0066CC"/>
            <w:u w:val="single"/>
            <w:sz w:val="18"/>
            <w:rFonts w:ascii="Malgun Gothic" w:eastAsia="Malgun Gothic"/>
          </w:rPr>
          <w:t>dtcc.com/-/media/Files/Downloads/Trans...</w:t>
        </w:r>
      </w:hyperlink>
      <w:r/>
    </w:p>
    <w:p>
      <w:pPr>
        <w:pStyle w:val="ListBullet"/>
      </w:pPr>
      <w:r>
        <w:t xml:space="preserve">UTC 24x5 Extended Trading Hours: </w:t>
      </w:r>
      <w:hyperlink r:id="rId34">
        <w:r>
          <w:rPr>
            <w:color w:val="0066CC"/>
            <w:u w:val="single"/>
            <w:sz w:val="18"/>
            <w:rFonts w:ascii="Malgun Gothic" w:eastAsia="Malgun Gothic"/>
          </w:rPr>
          <w:t>dtcc.com/-/media/Files/Downloads/Trans...</w:t>
        </w:r>
      </w:hyperlink>
      <w:r/>
    </w:p>
    <w:p>
      <w:pPr>
        <w:pStyle w:val="ListBullet"/>
      </w:pPr>
      <w:r>
        <w:t xml:space="preserve">Universal Trade Capture (UTC) 24x5 FAQ: </w:t>
      </w:r>
      <w:hyperlink r:id="rId35">
        <w:r>
          <w:rPr>
            <w:color w:val="0066CC"/>
            <w:u w:val="single"/>
            <w:sz w:val="18"/>
            <w:rFonts w:ascii="Malgun Gothic" w:eastAsia="Malgun Gothic"/>
          </w:rPr>
          <w:t>dtcc.com/-/media/Files/Downloads/Trans...</w:t>
        </w:r>
      </w:hyperlink>
      <w:r/>
    </w:p>
    <w:p>
      <w:pPr>
        <w:pStyle w:val="ListBullet"/>
      </w:pPr>
      <w:r>
        <w:t xml:space="preserve">24x5 Trading Update (A9689): </w:t>
      </w:r>
      <w:hyperlink r:id="rId36">
        <w:r>
          <w:rPr>
            <w:color w:val="0066CC"/>
            <w:u w:val="single"/>
            <w:sz w:val="18"/>
            <w:rFonts w:ascii="Malgun Gothic" w:eastAsia="Malgun Gothic"/>
          </w:rPr>
          <w:t>dtcc.com/-/media/Files/pdf/2026/1/7/A9...</w:t>
        </w:r>
      </w:hyperlink>
      <w:r/>
    </w:p>
    <w:p>
      <w:pPr>
        <w:pStyle w:val="ListBullet"/>
      </w:pPr>
      <w:r>
        <w:t xml:space="preserve">24x5 Executive Summary: </w:t>
      </w:r>
      <w:hyperlink r:id="rId37">
        <w:r>
          <w:rPr>
            <w:color w:val="0066CC"/>
            <w:u w:val="single"/>
            <w:sz w:val="18"/>
            <w:rFonts w:ascii="Malgun Gothic" w:eastAsia="Malgun Gothic"/>
          </w:rPr>
          <w:t>dtcc.com/-/media/Files/Downloads/Trans...</w:t>
        </w:r>
      </w:hyperlink>
      <w:r/>
    </w:p>
    <w:p>
      <w:pPr>
        <w:pStyle w:val="ListBullet"/>
      </w:pPr>
      <w:r>
        <w:t xml:space="preserve">DTCC FAQ: </w:t>
      </w:r>
      <w:hyperlink r:id="rId38">
        <w:r>
          <w:rPr>
            <w:color w:val="0066CC"/>
            <w:u w:val="single"/>
            <w:sz w:val="18"/>
            <w:rFonts w:ascii="Malgun Gothic" w:eastAsia="Malgun Gothic"/>
          </w:rPr>
          <w:t>dtcc.com/dtcctransformation/faqs</w:t>
        </w:r>
      </w:hyperlink>
      <w:r/>
    </w:p>
    <w:p>
      <w:pPr>
        <w:pStyle w:val="ListBullet"/>
      </w:pPr>
      <w:r>
        <w:t xml:space="preserve">Shortening the US Equities Settlement Cycle: </w:t>
      </w:r>
      <w:hyperlink r:id="rId39">
        <w:r>
          <w:rPr>
            <w:color w:val="0066CC"/>
            <w:u w:val="single"/>
            <w:sz w:val="18"/>
            <w:rFonts w:ascii="Malgun Gothic" w:eastAsia="Malgun Gothic"/>
          </w:rPr>
          <w:t>dtcc.com/ust1</w:t>
        </w:r>
      </w:hyperlink>
      <w:r/>
    </w:p>
    <w:p>
      <w:pPr>
        <w:pStyle w:val="Heading3"/>
      </w:pPr>
      <w:r>
        <w:t>SIP 및 시장 데이터</w:t>
      </w:r>
    </w:p>
    <w:p>
      <w:pPr>
        <w:pStyle w:val="ListBullet"/>
      </w:pPr>
      <w:r>
        <w:t xml:space="preserve">SIPs Submit Plan Amendment for Overnight Trading: </w:t>
      </w:r>
      <w:hyperlink r:id="rId40">
        <w:r>
          <w:rPr>
            <w:color w:val="0066CC"/>
            <w:u w:val="single"/>
            <w:sz w:val="18"/>
            <w:rFonts w:ascii="Malgun Gothic" w:eastAsia="Malgun Gothic"/>
          </w:rPr>
          <w:t>prnewswire.com/news-releases/sips-submit-pla...</w:t>
        </w:r>
      </w:hyperlink>
      <w:r/>
    </w:p>
    <w:p>
      <w:pPr>
        <w:pStyle w:val="ListBullet"/>
      </w:pPr>
      <w:r>
        <w:t xml:space="preserve">UTP Plan Participants Propose Extended Hours: </w:t>
      </w:r>
      <w:hyperlink r:id="rId41">
        <w:r>
          <w:rPr>
            <w:color w:val="0066CC"/>
            <w:u w:val="single"/>
            <w:sz w:val="18"/>
            <w:rFonts w:ascii="Malgun Gothic" w:eastAsia="Malgun Gothic"/>
          </w:rPr>
          <w:t>findknowdo.com/news/01/09/2026/utp-plan-part...</w:t>
        </w:r>
      </w:hyperlink>
      <w:r/>
    </w:p>
    <w:p>
      <w:pPr>
        <w:pStyle w:val="ListBullet"/>
      </w:pPr>
      <w:r>
        <w:t xml:space="preserve">UTP Binary Output Specification (MoldUdp64): </w:t>
      </w:r>
      <w:hyperlink r:id="rId42">
        <w:r>
          <w:rPr>
            <w:color w:val="0066CC"/>
            <w:u w:val="single"/>
            <w:sz w:val="18"/>
            <w:rFonts w:ascii="Malgun Gothic" w:eastAsia="Malgun Gothic"/>
          </w:rPr>
          <w:t>utpplan.com/DOC/UtpBinaryOutputSpec_Fract...</w:t>
        </w:r>
      </w:hyperlink>
      <w:r/>
    </w:p>
    <w:p>
      <w:pPr>
        <w:pStyle w:val="Heading3"/>
      </w:pPr>
      <w:r>
        <w:t>기타 참고</w:t>
      </w:r>
    </w:p>
    <w:p>
      <w:pPr>
        <w:pStyle w:val="ListBullet"/>
      </w:pPr>
      <w:r>
        <w:t xml:space="preserve">ICE Insights - Expanding Market Hours: </w:t>
      </w:r>
      <w:hyperlink r:id="rId43">
        <w:r>
          <w:rPr>
            <w:color w:val="0066CC"/>
            <w:u w:val="single"/>
            <w:sz w:val="18"/>
            <w:rFonts w:ascii="Malgun Gothic" w:eastAsia="Malgun Gothic"/>
          </w:rPr>
          <w:t>ice.com/insights/ice-vox/expanding-ma...</w:t>
        </w:r>
      </w:hyperlink>
      <w:r/>
    </w:p>
    <w:p>
      <w:pPr>
        <w:pStyle w:val="ListBullet"/>
      </w:pPr>
      <w:r>
        <w:t xml:space="preserve">SIFMA Extended Trading Hours: </w:t>
      </w:r>
      <w:hyperlink r:id="rId44">
        <w:r>
          <w:rPr>
            <w:color w:val="0066CC"/>
            <w:u w:val="single"/>
            <w:sz w:val="18"/>
            <w:rFonts w:ascii="Malgun Gothic" w:eastAsia="Malgun Gothic"/>
          </w:rPr>
          <w:t>sifma.org/issues/market-structure/exten...</w:t>
        </w:r>
      </w:hyperlink>
      <w:r/>
    </w:p>
    <w:p>
      <w:pPr>
        <w:pStyle w:val="ListBullet"/>
      </w:pPr>
      <w:r>
        <w:t xml:space="preserve">LULD Plan: </w:t>
      </w:r>
      <w:hyperlink r:id="rId45">
        <w:r>
          <w:rPr>
            <w:color w:val="0066CC"/>
            <w:u w:val="single"/>
            <w:sz w:val="18"/>
            <w:rFonts w:ascii="Malgun Gothic" w:eastAsia="Malgun Gothic"/>
          </w:rPr>
          <w:t>luldplan.com/</w:t>
        </w:r>
      </w:hyperlink>
      <w:r/>
    </w:p>
    <w:p>
      <w:pPr>
        <w:pStyle w:val="ListBullet"/>
      </w:pPr>
      <w:r>
        <w:t xml:space="preserve">CAT Reporting Technical Specifications: </w:t>
      </w:r>
      <w:hyperlink r:id="rId46">
        <w:r>
          <w:rPr>
            <w:color w:val="0066CC"/>
            <w:u w:val="single"/>
            <w:sz w:val="18"/>
            <w:rFonts w:ascii="Malgun Gothic" w:eastAsia="Malgun Gothic"/>
          </w:rPr>
          <w:t>catnmsplan.com/sites/default/files/2020-05/C...</w:t>
        </w:r>
      </w:hyperlink>
      <w:r/>
    </w:p>
    <w:p>
      <w:pPr>
        <w:pStyle w:val="ListBullet"/>
      </w:pPr>
      <w:r>
        <w:t xml:space="preserve">FINRA Trading Terms: </w:t>
      </w:r>
      <w:hyperlink r:id="rId47">
        <w:r>
          <w:rPr>
            <w:color w:val="0066CC"/>
            <w:u w:val="single"/>
            <w:sz w:val="18"/>
            <w:rFonts w:ascii="Malgun Gothic" w:eastAsia="Malgun Gothic"/>
          </w:rPr>
          <w:t>finra.org/investors/insights/time-param...</w:t>
        </w:r>
      </w:hyperlink>
      <w:r/>
    </w:p>
    <w:p>
      <w:pPr>
        <w:pStyle w:val="ListBullet"/>
      </w:pPr>
      <w:r>
        <w:t xml:space="preserve">NYSE LULD Enhancement Testing: </w:t>
      </w:r>
      <w:hyperlink r:id="rId48">
        <w:r>
          <w:rPr>
            <w:color w:val="0066CC"/>
            <w:u w:val="single"/>
            <w:sz w:val="18"/>
            <w:rFonts w:ascii="Malgun Gothic" w:eastAsia="Malgun Gothic"/>
          </w:rPr>
          <w:t>nyse.com/publicdocs/nyse/markets/nyse/...</w:t>
        </w:r>
      </w:hyperlink>
      <w:r/>
    </w:p>
    <w:p>
      <w:pPr>
        <w:pStyle w:val="ListBullet"/>
      </w:pPr>
      <w:r>
        <w:t xml:space="preserve">NYSE Disaster Recovery FAQ: </w:t>
      </w:r>
      <w:hyperlink r:id="rId49">
        <w:r>
          <w:rPr>
            <w:color w:val="0066CC"/>
            <w:u w:val="single"/>
            <w:sz w:val="18"/>
            <w:rFonts w:ascii="Malgun Gothic" w:eastAsia="Malgun Gothic"/>
          </w:rPr>
          <w:t>nyse.com/publicdocs/support/DisasterRe...</w:t>
        </w:r>
      </w:hyperlink>
      <w:r/>
    </w:p>
    <w:p>
      <w:pPr>
        <w:pStyle w:val="ListBullet"/>
      </w:pPr>
      <w:r>
        <w:t xml:space="preserve">Is 24/7 Trading Better? (SSRN): </w:t>
      </w:r>
      <w:hyperlink r:id="rId50">
        <w:r>
          <w:rPr>
            <w:color w:val="0066CC"/>
            <w:u w:val="single"/>
            <w:sz w:val="18"/>
            <w:rFonts w:ascii="Malgun Gothic" w:eastAsia="Malgun Gothic"/>
          </w:rPr>
          <w:t>papers.ssrn.com/sol3/Delivery.cfm/4942934.pdf</w:t>
        </w:r>
      </w:hyperlink>
      <w:r/>
    </w:p>
    <w:p>
      <w:r>
        <w:t>*본 보고서는 SEC 규칙 제출 문서, NYSE 공식 기술 사양서, DTCC 변환 프로그램 문서 및 관련 학술 자료를 기반으로 작성되었습니다.*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Malgun Gothic" w:hAnsi="Malgun Gothic"/>
      <w:color w:val="1A1A2E"/>
      <w:sz w:val="20"/>
      <w:rFonts w:eastAsia="Malgun Gothi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0066CC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0066CC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1A1A2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80" w:after="120"/>
      <w:outlineLvl w:val="3"/>
    </w:pPr>
    <w:rPr>
      <w:rFonts w:asciiTheme="majorHAnsi" w:eastAsiaTheme="majorEastAsia" w:hAnsiTheme="majorHAnsi" w:cstheme="majorBidi" w:ascii="Malgun Gothic" w:hAnsi="Malgun Gothic"/>
      <w:b/>
      <w:bCs/>
      <w:i/>
      <w:iCs/>
      <w:color w:val="1A1A2E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federalregister.gov/documents/2024/11/14/2024-26418/self-regulatory-organizations-nyse-arca-inc-notice-of-filing-of-proposed-rule-change-to-adopt" TargetMode="External"/><Relationship Id="rId10" Type="http://schemas.openxmlformats.org/officeDocument/2006/relationships/hyperlink" Target="https://www.sec.gov/files/rules/sro/nysearca/2024/34-101985.pdf" TargetMode="External"/><Relationship Id="rId11" Type="http://schemas.openxmlformats.org/officeDocument/2006/relationships/hyperlink" Target="https://www.federalregister.gov/documents/2024/12/30/2024-30903/self-regulatory-organizations-nyse-arca-inc-notice-of-filing-of-amendment-no-1-to-a-proposed-rule" TargetMode="External"/><Relationship Id="rId12" Type="http://schemas.openxmlformats.org/officeDocument/2006/relationships/hyperlink" Target="https://www.sec.gov/files/rules/sro/nysearca/2025/34-102400.pdf" TargetMode="External"/><Relationship Id="rId13" Type="http://schemas.openxmlformats.org/officeDocument/2006/relationships/hyperlink" Target="https://www.nyse.com/publicdocs/nyse/markets/nyse-arca/rule-filings/filings/2025/SR-NYSEArca-2024-89_Am._2.pdf" TargetMode="External"/><Relationship Id="rId14" Type="http://schemas.openxmlformats.org/officeDocument/2006/relationships/hyperlink" Target="https://public-inspection.federalregister.gov/2025-02688.pdf" TargetMode="External"/><Relationship Id="rId15" Type="http://schemas.openxmlformats.org/officeDocument/2006/relationships/hyperlink" Target="https://www.sec.gov/files/rules/sro/nysearca/2024/34-101985-ex5.pdf" TargetMode="External"/><Relationship Id="rId16" Type="http://schemas.openxmlformats.org/officeDocument/2006/relationships/hyperlink" Target="https://www.nyse.com/extended-hours-trading" TargetMode="External"/><Relationship Id="rId17" Type="http://schemas.openxmlformats.org/officeDocument/2006/relationships/hyperlink" Target="https://www.nyse.com/publicdocs/nyse/NYSE_Extended_Hours_Trading_FAQ.pdf" TargetMode="External"/><Relationship Id="rId18" Type="http://schemas.openxmlformats.org/officeDocument/2006/relationships/hyperlink" Target="https://www.nyse.com/data-insights/nyse-closing-auction-price-discovery-opportunities-reach-new-highs" TargetMode="External"/><Relationship Id="rId19" Type="http://schemas.openxmlformats.org/officeDocument/2006/relationships/hyperlink" Target="https://www.nyse.com/publicdocs/nyse/regulation/nyse/NYSE_Rules.pdf" TargetMode="External"/><Relationship Id="rId20" Type="http://schemas.openxmlformats.org/officeDocument/2006/relationships/hyperlink" Target="https://www.nyse.com/trade/auctions" TargetMode="External"/><Relationship Id="rId21" Type="http://schemas.openxmlformats.org/officeDocument/2006/relationships/hyperlink" Target="https://www.nyse.com/publicdocs/nyse/markets/nyse/NYSE_Opening_and_Closing_Auctions_Fact_Sheet.pdf" TargetMode="External"/><Relationship Id="rId22" Type="http://schemas.openxmlformats.org/officeDocument/2006/relationships/hyperlink" Target="https://www.nyse.com/trade/trading-information" TargetMode="External"/><Relationship Id="rId23" Type="http://schemas.openxmlformats.org/officeDocument/2006/relationships/hyperlink" Target="https://www.nyse.com/pillar" TargetMode="External"/><Relationship Id="rId24" Type="http://schemas.openxmlformats.org/officeDocument/2006/relationships/hyperlink" Target="https://www.nyse.com/publicdocs/nyse/NYSE_Pillar_Risk_Controls.pdf" TargetMode="External"/><Relationship Id="rId25" Type="http://schemas.openxmlformats.org/officeDocument/2006/relationships/hyperlink" Target="https://www.nyse.com/publicdocs/nyse/data/Pillar_Integrated_Feed_Client_Specification_v2.5c.pdf" TargetMode="External"/><Relationship Id="rId26" Type="http://schemas.openxmlformats.org/officeDocument/2006/relationships/hyperlink" Target="https://www.nyse.com/publicdocs/nyse/data/Pillar_Common_Client_Specification_v2.6c.pdf" TargetMode="External"/><Relationship Id="rId27" Type="http://schemas.openxmlformats.org/officeDocument/2006/relationships/hyperlink" Target="https://www.nyse.com/publicdocs/nyse/NYSE_Pillar_Gateway_FIX_Protocol_Specification.pdf" TargetMode="External"/><Relationship Id="rId28" Type="http://schemas.openxmlformats.org/officeDocument/2006/relationships/hyperlink" Target="https://www.nyse.com/publicdocs/nyse/NYSE_Pillar_Gateway_Binary_Protocol_Specification.pdf" TargetMode="External"/><Relationship Id="rId29" Type="http://schemas.openxmlformats.org/officeDocument/2006/relationships/hyperlink" Target="https://www.nyse.com/publicdocs/nyse/data/NYSE_Group_Security_Master_Client_Specification_v4.0.9.pdf" TargetMode="External"/><Relationship Id="rId30" Type="http://schemas.openxmlformats.org/officeDocument/2006/relationships/hyperlink" Target="https://www.nyse.com/publicdocs/nyse/data/NYSE_BQT_Common_Client_Specification.pdf" TargetMode="External"/><Relationship Id="rId31" Type="http://schemas.openxmlformats.org/officeDocument/2006/relationships/hyperlink" Target="https://www.nyse.com/publicdocs/nyse/data/Pillar_Options_Common_Client_Specification.pdf" TargetMode="External"/><Relationship Id="rId32" Type="http://schemas.openxmlformats.org/officeDocument/2006/relationships/hyperlink" Target="https://www.dtcc.com/dtcctransformation/24x5" TargetMode="External"/><Relationship Id="rId33" Type="http://schemas.openxmlformats.org/officeDocument/2006/relationships/hyperlink" Target="https://www.dtcc.com/-/media/Files/Downloads/Transformation/theshiftto24x5trading.pdf" TargetMode="External"/><Relationship Id="rId34" Type="http://schemas.openxmlformats.org/officeDocument/2006/relationships/hyperlink" Target="https://www.dtcc.com/-/media/Files/Downloads/Transformation/UTC-24-x-5-Extended-Trading-Hours.pdf" TargetMode="External"/><Relationship Id="rId35" Type="http://schemas.openxmlformats.org/officeDocument/2006/relationships/hyperlink" Target="https://www.dtcc.com/-/media/Files/Downloads/Transformation/Universal-Trade-Capture-FAQs.pdf" TargetMode="External"/><Relationship Id="rId36" Type="http://schemas.openxmlformats.org/officeDocument/2006/relationships/hyperlink" Target="https://www.dtcc.com/-/media/Files/pdf/2026/1/7/A9689.pdf" TargetMode="External"/><Relationship Id="rId37" Type="http://schemas.openxmlformats.org/officeDocument/2006/relationships/hyperlink" Target="https://www.dtcc.com/-/media/Files/Downloads/Transformation/dtcc-24x5-Executive-Summary.pdf" TargetMode="External"/><Relationship Id="rId38" Type="http://schemas.openxmlformats.org/officeDocument/2006/relationships/hyperlink" Target="https://www.dtcc.com/dtcctransformation/faqs" TargetMode="External"/><Relationship Id="rId39" Type="http://schemas.openxmlformats.org/officeDocument/2006/relationships/hyperlink" Target="https://www.dtcc.com/ust1" TargetMode="External"/><Relationship Id="rId40" Type="http://schemas.openxmlformats.org/officeDocument/2006/relationships/hyperlink" Target="https://www.prnewswire.com/news-releases/sips-submit-plan-amendment-to-extend-operating-hours-to-accommodate-overnight-trading-302647034.html" TargetMode="External"/><Relationship Id="rId41" Type="http://schemas.openxmlformats.org/officeDocument/2006/relationships/hyperlink" Target="https://www.findknowdo.com/news/01/09/2026/utp-plan-participants-propose-extended-global-trading-hours" TargetMode="External"/><Relationship Id="rId42" Type="http://schemas.openxmlformats.org/officeDocument/2006/relationships/hyperlink" Target="https://utpplan.com/DOC/UtpBinaryOutputSpec_Fractional.pdf" TargetMode="External"/><Relationship Id="rId43" Type="http://schemas.openxmlformats.org/officeDocument/2006/relationships/hyperlink" Target="https://www.ice.com/insights/ice-vox/expanding-market-hours-key-considerations-and-the-nyses-approach-v92y9h4ox1" TargetMode="External"/><Relationship Id="rId44" Type="http://schemas.openxmlformats.org/officeDocument/2006/relationships/hyperlink" Target="https://www.sifma.org/issues/market-structure/extended-trading-hours" TargetMode="External"/><Relationship Id="rId45" Type="http://schemas.openxmlformats.org/officeDocument/2006/relationships/hyperlink" Target="https://www.luldplan.com/" TargetMode="External"/><Relationship Id="rId46" Type="http://schemas.openxmlformats.org/officeDocument/2006/relationships/hyperlink" Target="https://catnmsplan.com/sites/default/files/2020-05/CAT-Reporting-Technical-Specifications-for-Industry-Members-v2.2.1-r5-REDLINE.pdf" TargetMode="External"/><Relationship Id="rId47" Type="http://schemas.openxmlformats.org/officeDocument/2006/relationships/hyperlink" Target="https://www.finra.org/investors/insights/time-parameters-qualifiers-stock-orders" TargetMode="External"/><Relationship Id="rId48" Type="http://schemas.openxmlformats.org/officeDocument/2006/relationships/hyperlink" Target="https://www.nyse.com/publicdocs/nyse/markets/nyse/NYSE_Group_LULD_12_testing.pdf" TargetMode="External"/><Relationship Id="rId49" Type="http://schemas.openxmlformats.org/officeDocument/2006/relationships/hyperlink" Target="https://www.nyse.com/publicdocs/support/DisasterRecoveryFAQs.pdf" TargetMode="External"/><Relationship Id="rId50" Type="http://schemas.openxmlformats.org/officeDocument/2006/relationships/hyperlink" Target="https://papers.ssrn.com/sol3/Delivery.cfm/4942934.pdf?abstractid=49429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