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66CC"/>
          <w:sz w:val="56"/>
        </w:rPr>
        <w:t>24시간 거래 체제 비교 분석 리포트</w:t>
      </w:r>
    </w:p>
    <w:p>
      <w:pPr>
        <w:jc w:val="center"/>
      </w:pPr>
      <w:r>
        <w:rPr>
          <w:color w:val="1A1A2E"/>
          <w:sz w:val="36"/>
        </w:rPr>
        <w:t>유럽거래소 Eurex/Euronext</w:t>
      </w:r>
    </w:p>
    <w:p/>
    <w:p/>
    <w:p/>
    <w:p>
      <w:pPr>
        <w:jc w:val="center"/>
      </w:pPr>
      <w:r>
        <w:rPr>
          <w:color w:val="646464"/>
          <w:sz w:val="22"/>
        </w:rPr>
        <w:t>KRX vs 글로벌 주요 거래소</w:t>
      </w:r>
    </w:p>
    <w:p>
      <w:pPr>
        <w:jc w:val="center"/>
      </w:pPr>
      <w:r>
        <w:rPr>
          <w:color w:val="646464"/>
          <w:sz w:val="20"/>
        </w:rPr>
        <w:t>2026년 3월 기준 | EXTURE 3.0 기반 분석</w:t>
      </w:r>
    </w:p>
    <w:p>
      <w:r>
        <w:br w:type="page"/>
      </w:r>
    </w:p>
    <w:p>
      <w:pPr>
        <w:pStyle w:val="Heading1"/>
      </w:pPr>
      <w:r>
        <w:t>10. 유럽 주요 거래소 — Deutsche Börse / Eurex &amp; Euronext</w:t>
      </w:r>
    </w:p>
    <w:p>
      <w:pPr>
        <w:pStyle w:val="Heading2"/>
      </w:pPr>
      <w:r>
        <w:t>1. 개요</w:t>
      </w:r>
    </w:p>
    <w:p>
      <w:r>
        <w:t>유럽 자본시장은 Deutsche Börse Group(독일거래소그룹)과 Euronext(유로넥스트)라는 두 대형 거래소 그룹이 주도하고 있다. Deutsche Börse는 Xetra 현물 거래 플랫폼과 Eurex 파생상품 거래소를 운영하며, Euronext는 파리, 암스테르담, 브뤼셀, 리스본, 더블린, 오슬로, 밀라노 등 8개국 거래소를 통합 운영하는 범유럽 거래소이다. 2025년 기준 글로벌 24시간 거래 논의가 본격화되면서, 유럽 거래소들도 변화의 기로에 서 있다.</w:t>
      </w:r>
    </w:p>
    <w:p>
      <w:pPr>
        <w:pStyle w:val="Heading2"/>
      </w:pPr>
      <w:r>
        <w:t>2. Deutsche Börse Group / Eurex</w:t>
      </w:r>
    </w:p>
    <w:p>
      <w:pPr>
        <w:pStyle w:val="Heading3"/>
      </w:pPr>
      <w:r>
        <w:t>2.1 Deutsche Börse Group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사업부</w:t>
            </w:r>
          </w:p>
        </w:tc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주요 서비스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Xetra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독일 및 유럽 현물 주식/ETF 전자 거래 플랫폼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Börse Frankfurt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프랑크푸르트 증권거래소 (개인투자자 중심)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Eurex Exchange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유럽 최대 파생상품 거래소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Eurex Clearing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중앙청산소(CCP)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Clearstream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국제 증권 보관/결제 (ICSD)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EEX (European Energy Exchange)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에너지 시장 거래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360T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외환(FX) 전자 거래 플랫폼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ISS (Institutional Shareholder Services)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ESG/거버넌스 자문</w:t>
            </w:r>
          </w:p>
        </w:tc>
      </w:tr>
    </w:tbl>
    <w:p/>
    <w:p>
      <w:pPr>
        <w:pStyle w:val="Heading3"/>
      </w:pPr>
      <w:r>
        <w:t>2.2 Xetra 거래 플랫폼</w:t>
      </w:r>
    </w:p>
    <w:p>
      <w:pPr>
        <w:pStyle w:val="Heading4"/>
      </w:pPr>
      <w:r>
        <w:t>기본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상세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운영사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Deutsche Börse AG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매칭 엔진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T7 Trading Architecture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정규 거래 시간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09:00 ~ 17:30 CET (8.5시간)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거래 방식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완전 전자거래 (Fully Electronic)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주요 거래 상품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주식, ETF, ETP, 채권 등</w:t>
            </w:r>
          </w:p>
        </w:tc>
      </w:tr>
    </w:tbl>
    <w:p/>
    <w:p>
      <w:pPr>
        <w:pStyle w:val="Heading4"/>
      </w:pPr>
      <w:r>
        <w:t>Xetra 거래 세션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세션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시간 (CET)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Pre-Trading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07:30 ~ 08:50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주문 입력/수정/취소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Opening Auction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08:50 ~ 09:00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개장 단일가 매매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Continuous Trading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09:00 ~ 17:30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연속 매매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Closing Auction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17:30 ~ 17:35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종가 결정 단일가 매매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Trade at Close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17:35 ~ 17:45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종가 기준 거래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Post-Trading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~20:30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주문 처리 마감</w:t>
            </w:r>
          </w:p>
        </w:tc>
      </w:tr>
    </w:tbl>
    <w:p/>
    <w:p>
      <w:pPr>
        <w:pStyle w:val="Heading4"/>
      </w:pPr>
      <w:r>
        <w:t>Extended Xetra Retail Service (2025년 12월 신규)</w:t>
      </w:r>
    </w:p>
    <w:p>
      <w:r>
        <w:t>2025년 12월 1일부터, Deutsche Börse는 Xetra에서 개인투자자를 위한 거래 시간을 대폭 확대했다.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상세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확장 거래 시간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08:00 ~ 22:00 CET (총 14시간)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얼리 트레이딩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08:00 ~ 08:55 CET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레이트 트레이딩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17:30(Xetra 종가 확정 후) ~ 22:00 CET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거래 대상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주식, ETF, ETP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도입 배경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미국 거래소(22:00 CET 종료)의 동향에 개인투자자들이 대응할 수 있도록</w:t>
            </w:r>
          </w:p>
        </w:tc>
      </w:tr>
    </w:tbl>
    <w:p/>
    <w:p>
      <w:r>
        <w:t>이 확장으로 Xetra의 실효적인 거래 종료 시각이 17:30에서 22:00 CET로 이동했다.</w:t>
      </w:r>
    </w:p>
    <w:p>
      <w:pPr>
        <w:pStyle w:val="Heading3"/>
      </w:pPr>
      <w:r>
        <w:t>2.3 T7 매칭 엔진</w:t>
      </w:r>
    </w:p>
    <w:p>
      <w:pPr>
        <w:pStyle w:val="Heading4"/>
      </w:pPr>
      <w:r>
        <w:t>T7 기술 사양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상세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정식 명칭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T7 Trading Architecture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특징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저지연(Low Latency), 고처리량(High Throughput), 유연성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적용 거래소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Xetra, Börse Frankfurt, Eurex, EEX, 봄베이증권거래소(BSE) 등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최신 버전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T7 Release 14.0 (2025년 11월 10일 도입)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프로토콜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FIX, ETI (Enhanced Trading Interface)</w:t>
            </w:r>
          </w:p>
        </w:tc>
      </w:tr>
    </w:tbl>
    <w:p/>
    <w:p>
      <w:r>
        <w:t>T7은 Deutsche Börse Group이 개발한 차세대 거래 기술로, 낮은 지연시간과 높은 처리량, 그리고 참가자들의 유연한 활용을 지원한다. Xetra뿐 아니라 Eurex, EEX, 그리고 인도 봄베이증권거래소(BSE) 등에서도 사용되는 글로벌 표준 플랫폼이다.</w:t>
      </w:r>
    </w:p>
    <w:p>
      <w:pPr>
        <w:pStyle w:val="Heading3"/>
      </w:pPr>
      <w:r>
        <w:t>2.4 Eurex Exchange — 유럽 최대 파생상품 거래소</w:t>
      </w:r>
    </w:p>
    <w:p>
      <w:pPr>
        <w:pStyle w:val="Heading4"/>
      </w:pPr>
      <w:r>
        <w:t>기본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상세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본사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프랑크푸르트, 독일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매칭 엔진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T7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거래 시간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07:30 ~ 22:00 CET (Pre-Trading 포함)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주요 상품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주가지수 선물/옵션, 금리, 배당, 변동성 파생상품 등</w:t>
            </w:r>
          </w:p>
        </w:tc>
      </w:tr>
    </w:tbl>
    <w:p/>
    <w:p>
      <w:pPr>
        <w:pStyle w:val="Heading4"/>
      </w:pPr>
      <w:r>
        <w:t>Eurex 거래 세션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세션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시간 (CET)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Pre-Trading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07:30 ~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주문 입력 준비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Trading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상품별 상이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연속 거래 + 경매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Post-Trading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~ 22:00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거래 후 처리</w:t>
            </w:r>
          </w:p>
        </w:tc>
      </w:tr>
    </w:tbl>
    <w:p/>
    <w:p>
      <w:r>
        <w:t>Eurex의 거래일은 일반적으로 07:30에서 22:00 CET까지 운영되며, Pre-Trading, Trading, Post-Trading의 세 단계로 구성된다. 상품별로 세부 시간표가 다르다.</w:t>
      </w:r>
    </w:p>
    <w:p>
      <w:pPr>
        <w:pStyle w:val="Heading4"/>
      </w:pPr>
      <w:r>
        <w:t>Eurex 주요 상품군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상품군</w:t>
            </w:r>
          </w:p>
        </w:tc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대표 상품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주가지수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EURO STOXX 50, DAX, SMI 선물/옵션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금리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Euro-Bund, Euro-Bobl, Euro-Schatz 선물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배당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배당 선물/옵션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변동성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VSTOXX 선물/옵션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외환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FX 선물/옵션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ESG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ESG 관련 파생상품</w:t>
            </w:r>
          </w:p>
        </w:tc>
      </w:tr>
    </w:tbl>
    <w:p/>
    <w:p>
      <w:pPr>
        <w:pStyle w:val="Heading3"/>
      </w:pPr>
      <w:r>
        <w:t>2.5 Eurex Clearing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상세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유형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중앙청산소 (CCP)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청산 대상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상장 파생상품, OTC 파생상품, 증권 대차, 레포 등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리스크 관리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Prisma (포트폴리오 기반 마진)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CCP 간 연계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LCH 등과 상호운용</w:t>
            </w:r>
          </w:p>
        </w:tc>
      </w:tr>
    </w:tbl>
    <w:p/>
    <w:p>
      <w:r>
        <w:t>Eurex Clearing은 유럽 최대의 파생상품 청산 기관으로, Deutsche Börse Group의 핵심 포스트 트레이드 인프라이다.</w:t>
      </w:r>
    </w:p>
    <w:p>
      <w:pPr>
        <w:pStyle w:val="Heading3"/>
      </w:pPr>
      <w:r>
        <w:t>2.6 Clearstream — 증권 보관 및 결제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상세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유형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국제증권예탁기관 (ICSD)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기능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증권 보관, 결제, 담보 관리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결제 주기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T+2 → T+1 (2027년 10월 11일 전환 예정)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특징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Euroclear와 함께 글로벌 양대 ICSD</w:t>
            </w:r>
          </w:p>
        </w:tc>
      </w:tr>
    </w:tbl>
    <w:p/>
    <w:p>
      <w:pPr>
        <w:pStyle w:val="Heading2"/>
      </w:pPr>
      <w:r>
        <w:t>3. Euronext — 범유럽 통합 거래소</w:t>
      </w:r>
    </w:p>
    <w:p>
      <w:pPr>
        <w:pStyle w:val="Heading3"/>
      </w:pPr>
      <w:r>
        <w:t>3.1 Euronext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상세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정식 명칭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Euronext N.V. (European New Exchange Technology)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등록지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암스테르담, 네덜란드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운영 본부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파리, 프랑스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상장 종목 수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약 1,800개 (2025년 3월 기준)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시가총액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약 €6.3T (약 8,800조 원)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신용등급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BBB+ (S&amp;P 상향)</w:t>
            </w:r>
          </w:p>
        </w:tc>
      </w:tr>
    </w:tbl>
    <w:p/>
    <w:p>
      <w:pPr>
        <w:pStyle w:val="Heading3"/>
      </w:pPr>
      <w:r>
        <w:t>3.2 소속 거래소 및 시장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거래소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국가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인수/통합 시기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주요 특징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Euronext Paris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프랑스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2000년 (창립)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CAC 40 지수, 유럽 최대 시장 중 하나</w:t>
            </w:r>
          </w:p>
        </w:tc>
      </w:tr>
      <w:tr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Euronext Amsterdam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네덜란드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2000년 (창립)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AEX 지수, 세계 최초 증권거래소 역사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Euronext Brussels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벨기에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2000년 (창립)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BEL 20 지수</w:t>
            </w:r>
          </w:p>
        </w:tc>
      </w:tr>
      <w:tr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Euronext Lisbon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포르투갈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2002년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PSI 지수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Euronext Dublin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아일랜드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2018년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ISEQ 지수, 25개 상장사, €106B 시가총액</w:t>
            </w:r>
          </w:p>
        </w:tc>
      </w:tr>
      <w:tr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Euronext Oslo Børs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노르웨이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2019년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OBX 지수, 에너지 관련 종목 강세, 290개 상장사, €356B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Borsa Italiana (Milan)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이탈리아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2021년 (€4.4B)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FTSE MIB 지수, MTS 채권시장, 410개 상장사, €1.1T</w:t>
            </w:r>
          </w:p>
        </w:tc>
      </w:tr>
      <w:tr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Athens Stock Exchange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그리스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2025년 11월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74.3% 지분 확보, €1.9B 규모</w:t>
            </w:r>
          </w:p>
        </w:tc>
      </w:tr>
    </w:tbl>
    <w:p/>
    <w:p>
      <w:pPr>
        <w:pStyle w:val="Heading3"/>
      </w:pPr>
      <w:r>
        <w:t>3.3 주요 인수 연혁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시기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대상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금액/상세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2018년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Irish Stock Exchange (Dublin)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Euronext Dublin으로 편입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2019년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Oslo Børs VPS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노르웨이 거래소 인수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2021년 4월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Borsa Italiana Group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€4.4B, LSEG 규제 조건에 따른 매각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2024년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Borsa Italiana 통합 완료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기술 플랫폼 통합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2025년 1월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Nasdaq 북유럽 전력 선물 사업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인수 계약 체결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2025년 11월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Athens Stock Exchange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74.3% 지분 확보, 공개매수 성공</w:t>
            </w:r>
          </w:p>
        </w:tc>
      </w:tr>
    </w:tbl>
    <w:p/>
    <w:p>
      <w:pPr>
        <w:pStyle w:val="Heading3"/>
      </w:pPr>
      <w:r>
        <w:t>3.4 Optiq 매칭 엔진</w:t>
      </w:r>
    </w:p>
    <w:p>
      <w:pPr>
        <w:pStyle w:val="Heading4"/>
      </w:pPr>
      <w:r>
        <w:t>기술 사양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상세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명칭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Optiq®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유형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이벤트 드리븐(Event-driven) 거래 플랫폼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지연시간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평균 15 마이크로초 (주문 왕복)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용량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기존 대비 10배 증가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적용 범위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현물(Cash) + 파생상품(Derivatives) 단일 플랫폼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프로토콜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업계 표준 프로토콜 (최소 온보딩 시간)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데이터 인프라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Confluent Platform (Apache Kafka) 기반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안정성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24/5 무중단 운영, 가동 이후 주요 장애 없음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특징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최소 지터(jitter)로 알고리즘 트레이딩 최적화</w:t>
            </w:r>
          </w:p>
        </w:tc>
      </w:tr>
    </w:tbl>
    <w:p/>
    <w:p>
      <w:pPr>
        <w:pStyle w:val="Heading4"/>
      </w:pPr>
      <w:r>
        <w:t>Optiq 구성 요소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구성 요소</w:t>
            </w:r>
          </w:p>
        </w:tc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OEG (Order Entry Gateway)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주문 입력 게이트웨이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ME (Matching Engine)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매칭 엔진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MDG (Market Data Gateway)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시장 데이터 게이트웨이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RiskGuard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파생상품용 리스크 관리 (FIX 5.0 API + 웹 GUI)</w:t>
            </w:r>
          </w:p>
        </w:tc>
      </w:tr>
    </w:tbl>
    <w:p/>
    <w:p>
      <w:r>
        <w:t>Optiq는 Euronext가 자체 개발한 차세대 거래 플랫폼으로, 현물과 파생상품을 하나의 플랫폼에서 처리한다. Apache Kafka 기반의 데이터 영속성 계층을 사용하여 높은 안정성과 성능을 달성했다.</w:t>
      </w:r>
    </w:p>
    <w:p>
      <w:pPr>
        <w:pStyle w:val="Heading3"/>
      </w:pPr>
      <w:r>
        <w:t>3.5 거래 시간</w:t>
      </w:r>
    </w:p>
    <w:p>
      <w:pPr>
        <w:pStyle w:val="Heading4"/>
      </w:pPr>
      <w:r>
        <w:t>Euronext 현물 거래 시간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세션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시간 (CET)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Pre-Trading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07:15 ~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주문 입력 준비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Opening Auction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~09:00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개장 단일가 매매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Continuous Trading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09:00 ~ 17:30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연속 매매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Closing Auction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17:30 ~ 17:35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종가 결정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Trading at Last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17:35 ~ 17:40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종가 기준 거래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총 정규 거래 시간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8.5시간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</w:r>
          </w:p>
        </w:tc>
      </w:tr>
    </w:tbl>
    <w:p/>
    <w:p>
      <w:pPr>
        <w:pStyle w:val="Heading4"/>
      </w:pPr>
      <w:r>
        <w:t>Oslo Børs 예외</w:t>
      </w:r>
    </w:p>
    <w:p>
      <w:r>
        <w:t>Oslo Børs는 일부 공휴일(예: 2026년 4월 1일)에 반일 거래(half trading day)를 운영한다.</w:t>
      </w:r>
    </w:p>
    <w:p>
      <w:pPr>
        <w:pStyle w:val="Heading3"/>
      </w:pPr>
      <w:r>
        <w:t>3.6 Euronext Clearing (구 CC&amp;G)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상세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전신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Cassa di Compensazione e Garanzia S.p.A. (CC&amp;G)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인수 경위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2021년 Borsa Italiana 인수 시 함께 취득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유형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다자산 클래스 청산소 (Multi-asset CCP)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청산 대상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주식, 파생상품, 채권 등</w:t>
            </w:r>
          </w:p>
        </w:tc>
      </w:tr>
    </w:tbl>
    <w:p/>
    <w:p>
      <w:pPr>
        <w:pStyle w:val="Heading3"/>
      </w:pPr>
      <w:r>
        <w:t>3.7 LCH SA 청산 연계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상세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Euronext의 LCH SA 지분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11.1% (2019년 12월 기준)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기능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Euronext 현물 거래의 CCP 서비스 제공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Saturn 플랫폼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Cleared OTC Trade Facility (OTC 거래를 CCP로 전달)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병행 CCP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EuroCCP (Euronext 거래의 대안 CCP)</w:t>
            </w:r>
          </w:p>
        </w:tc>
      </w:tr>
    </w:tbl>
    <w:p/>
    <w:p>
      <w:r>
        <w:t>Euronext의 현물 거래는 LCH SA와 EuroCCP를 통해 청산되며, Euronext Clearing(구 CC&amp;G)은 주로 이탈리아 시장과 파생상품 청산을 담당한다.</w:t>
      </w:r>
    </w:p>
    <w:p>
      <w:pPr>
        <w:pStyle w:val="Heading3"/>
      </w:pPr>
      <w:r>
        <w:t>3.8 전략 계획: "Innovate for Growth 2027"</w:t>
      </w:r>
    </w:p>
    <w:p>
      <w:r>
        <w:t>2024년 11월 발표된 Euronext의 3개년 전략 계획으로, 혁신과 사업 다각화를 통한 매출 성장 가속화를 목표로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전략 목표</w:t>
            </w:r>
          </w:p>
        </w:tc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상세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매출 성장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혁신 기반 두 자릿수 매출 성장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비용 관리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규율 있는 비용 관리로 기록적 조정 EPS 달성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자본 배분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전략적 자본 배분 (인수, 주주환원)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기술 혁신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Optiq 플랫폼 지속 고도화</w:t>
            </w:r>
          </w:p>
        </w:tc>
      </w:tr>
    </w:tbl>
    <w:p/>
    <w:p>
      <w:pPr>
        <w:pStyle w:val="Heading2"/>
      </w:pPr>
      <w:r>
        <w:t>4. 유럽 거래 시간 연장 논의</w:t>
      </w:r>
    </w:p>
    <w:p>
      <w:pPr>
        <w:pStyle w:val="Heading3"/>
      </w:pPr>
      <w:r>
        <w:t>4.1 논의 배경</w:t>
      </w:r>
    </w:p>
    <w:p>
      <w:r>
        <w:t>2025년 하반기부터 유럽 거래소들 사이에서 거래 시간 연장 및 24시간 거래에 대한 논의가 본격화되었다. 이는 미국에서 Cboe가 주 5일 24시간 거래를 추진하고, NYSE가 22시간 거래를, Nasdaq이 24시간 거래를 검토하는 것에 자극받은 것이다.</w:t>
      </w:r>
    </w:p>
    <w:p>
      <w:pPr>
        <w:pStyle w:val="Heading3"/>
      </w:pPr>
      <w:r>
        <w:t>4.2 주요 거래소별 입장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거래소/기관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입장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상세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LSEG (London Stock Exchange)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적극 검토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24시간 거래 플랫폼 기술적/규제적 함의 검토 중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Cboe Europe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주시 중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리테일 투자자 참여 확대를 위해 18개 유럽 시장 수수료 인하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SIX Group (스위스)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부분 검토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ETF, 파생상품 등 구조화상품의 시간 연장 검토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Euronext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현재 수요 없음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고객으로부터 시간 연장 요구가 없다며 즉각적 조치 불필요 입장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Deutsche Börse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수요 시 확장 가능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현재 수요가 없으나 수요 발생 시 확장 의향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FESE (유럽증권거래소연맹)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원칙 제시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시장 중심 유연성, 운영 준비성, 범유럽 접근 권고</w:t>
            </w:r>
          </w:p>
        </w:tc>
      </w:tr>
    </w:tbl>
    <w:p/>
    <w:p>
      <w:pPr>
        <w:pStyle w:val="Heading3"/>
      </w:pPr>
      <w:r>
        <w:t>4.3 주요 논점</w:t>
      </w:r>
    </w:p>
    <w:p>
      <w:pPr>
        <w:pStyle w:val="Heading4"/>
      </w:pPr>
      <w:r>
        <w:t>찬성 측 논거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논거</w:t>
            </w:r>
          </w:p>
        </w:tc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상세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리테일 투자자 수요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미국에서 장외 시간 거래가 급증하는 추세 반영 필요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글로벌 경쟁력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미국 거래소 시간 연장에 뒤처지면 유럽 시장 경쟁력 하락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암호화폐 경쟁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24/7 거래되는 암호화폐 시장에 대응 필요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스마트폰 세대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Gen Z 투자자들의 비정규 시간 거래 수요</w:t>
            </w:r>
          </w:p>
        </w:tc>
      </w:tr>
    </w:tbl>
    <w:p/>
    <w:p>
      <w:pPr>
        <w:pStyle w:val="Heading4"/>
      </w:pPr>
      <w:r>
        <w:t>반대/우려 측 논거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논거</w:t>
            </w:r>
          </w:p>
        </w:tc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상세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유동성 분산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장외 시간대의 낮은 거래량으로 급격한 가격 변동 우려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미국 주식 선호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유럽 투자자들이 시간외에 거래하고 싶은 것은 유럽 주식이 아니라 미국 주식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운영 비용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거래 시간 연장에 따른 시스템/인력 비용 증가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기관 투자자 우려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종가 기반 펀드 가치 산정의 복잡성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마진콜 리스크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저유동성 시간대의 급격한 포지션 변동</w:t>
            </w:r>
          </w:p>
        </w:tc>
      </w:tr>
    </w:tbl>
    <w:p/>
    <w:p>
      <w:pPr>
        <w:pStyle w:val="Heading3"/>
      </w:pPr>
      <w:r>
        <w:t>4.4 FESE의 원칙적 입장</w:t>
      </w:r>
    </w:p>
    <w:p>
      <w:r>
        <w:t>유럽증권거래소연맹(FESE)은 다음과 같은 원칙을 제시했다:</w:t>
      </w:r>
    </w:p>
    <w:p>
      <w:pPr>
        <w:pStyle w:val="ListBullet"/>
      </w:pPr>
      <w:r>
        <w:t>거래소가 거래 시간에 대한 결정권을 유지해야 함</w:t>
      </w:r>
    </w:p>
    <w:p>
      <w:pPr>
        <w:pStyle w:val="ListBullet"/>
      </w:pPr>
      <w:r>
        <w:t>현지 및 국경 간 투자자의 수요를 반영해야 함</w:t>
      </w:r>
    </w:p>
    <w:p>
      <w:pPr>
        <w:pStyle w:val="ListBullet"/>
      </w:pPr>
      <w:r>
        <w:t>유럽의 다양한 시장 특성을 존중해야 함</w:t>
      </w:r>
    </w:p>
    <w:p>
      <w:pPr>
        <w:pStyle w:val="ListBullet"/>
      </w:pPr>
      <w:r>
        <w:t>시장 중심의 유연성과 증거 기반의 접근법이 필요</w:t>
      </w:r>
    </w:p>
    <w:p>
      <w:pPr>
        <w:pStyle w:val="Heading3"/>
      </w:pPr>
      <w:r>
        <w:t>4.5 Deutsche Börse의 선제적 대응</w:t>
      </w:r>
    </w:p>
    <w:p>
      <w:r>
        <w:t>Deutsche Börse는 이미 2025년 12월부터 Extended Xetra Retail Service를 통해 거래 시간을 08:00~22:00 CET (14시간)로 확대했다. 이는 유럽 주요 거래소 중 가장 적극적인 시간 연장 조치이다.</w:t>
      </w:r>
    </w:p>
    <w:p>
      <w:pPr>
        <w:pStyle w:val="Heading2"/>
      </w:pPr>
      <w:r>
        <w:t>5. 유럽 T+1 결제 전환</w:t>
      </w:r>
    </w:p>
    <w:p>
      <w:pPr>
        <w:pStyle w:val="Heading3"/>
      </w:pPr>
      <w:r>
        <w:t>5.1 전환 일정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지역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T+1 전환 예정일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비고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영국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2027년 10월 11일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입법 추진 중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EU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2027년 10월 11일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영국과 동일 일자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스위스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2027년 10월 11일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영국/EU와 조율</w:t>
            </w:r>
          </w:p>
        </w:tc>
      </w:tr>
    </w:tbl>
    <w:p/>
    <w:p>
      <w:r>
        <w:t>세 지역이 동일한 날짜에 T+1을 시행함으로써, 범유럽 차원의 정합성을 확보한다. Euroclear, Euronext, Clearstream 등 주요 금융 인프라 기업들이 테스트 준비에 참여하고 있다.</w:t>
      </w:r>
    </w:p>
    <w:p>
      <w:pPr>
        <w:pStyle w:val="Heading2"/>
      </w:pPr>
      <w:r>
        <w:t>6. KRX와의 비교</w:t>
      </w:r>
    </w:p>
    <w:p>
      <w:pPr>
        <w:pStyle w:val="Heading3"/>
      </w:pPr>
      <w:r>
        <w:t>6.1 거래소 구조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Deutsche Börse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Euronext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KRX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유형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단일 국가 거래소 그룹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범유럽 통합 거래소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단일 국가 통합 거래소</w:t>
            </w:r>
          </w:p>
        </w:tc>
      </w:tr>
      <w:tr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현물 플랫폼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Xetra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Optiq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EXTURE 3.0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파생상품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Eurex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Euronext Derivatives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KRX 파생상품시장</w:t>
            </w:r>
          </w:p>
        </w:tc>
      </w:tr>
      <w:tr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청산 기관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Eurex Clearing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Euronext Clearing + LCH SA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KRX 자체 청산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결제 기관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Clearstream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Euroclear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한국예탁결제원</w:t>
            </w:r>
          </w:p>
        </w:tc>
      </w:tr>
      <w:tr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매칭 엔진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T7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Optiq (15μs)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EXTURE 3.0</w:t>
            </w:r>
          </w:p>
        </w:tc>
      </w:tr>
    </w:tbl>
    <w:p/>
    <w:p>
      <w:pPr>
        <w:pStyle w:val="Heading3"/>
      </w:pPr>
      <w:r>
        <w:t>6.2 거래 시간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Xetra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Euronext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KRX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정규 거래 시간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09:00~17:30 CET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09:00~17:30 CET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09:00~15:30 KST</w:t>
            </w:r>
          </w:p>
        </w:tc>
      </w:tr>
      <w:tr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총 정규 시간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8.5시간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8.5시간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6.5시간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시간외 거래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08:00~22:00 CET (리테일, 2025.12~)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없음 (현재)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Nextrade (08:00~20:00)</w:t>
            </w:r>
          </w:p>
        </w:tc>
      </w:tr>
      <w:tr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파생상품 시간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~22:00 CET (Eurex)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상품별 상이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확대 중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24시간 논의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수요 시 확장 가능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수요 없음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12시간 거래 검토</w:t>
            </w:r>
          </w:p>
        </w:tc>
      </w:tr>
    </w:tbl>
    <w:p/>
    <w:p>
      <w:pPr>
        <w:pStyle w:val="Heading3"/>
      </w:pPr>
      <w:r>
        <w:t>6.3 기술 플랫폼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T7 (Xetra/Eurex)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Optiq (Euronext)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EXTURE 3.0 (KRX)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지연시간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극초저지연 (비공개)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평균 15μs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비공개</w:t>
            </w:r>
          </w:p>
        </w:tc>
      </w:tr>
      <w:tr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아키텍처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분산 처리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이벤트 드리븐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데이터 인프라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자체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Apache Kafka (Confluent)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—</w:t>
            </w:r>
          </w:p>
        </w:tc>
      </w:tr>
      <w:tr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글로벌 사용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BSE(인도) 등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Euronext 전용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KRX 전용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최신 버전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T7 Release 14.0 (2025.11)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지속 업데이트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—</w:t>
            </w:r>
          </w:p>
        </w:tc>
      </w:tr>
    </w:tbl>
    <w:p/>
    <w:p>
      <w:pPr>
        <w:pStyle w:val="Heading3"/>
      </w:pPr>
      <w:r>
        <w:t>6.4 시사점</w:t>
      </w:r>
    </w:p>
    <w:p>
      <w:pPr>
        <w:pStyle w:val="ListNumber"/>
      </w:pPr>
      <w:r/>
      <w:r>
        <w:rPr>
          <w:b/>
          <w:color w:val="0066CC"/>
        </w:rPr>
        <w:t>범유럽 통합 모델의 교훈</w:t>
      </w:r>
      <w:r>
        <w:t>: Euronext가 8개국 거래소를 Optiq 단일 플랫폼으로 통합 운영하는 것은 아시아 지역의 거래소 통합 논의에 시사점을 제공한다. KRX도 ASEAN+3 등 역내 거래소 간 연결을 강화할 수 있다.</w:t>
      </w:r>
    </w:p>
    <w:p>
      <w:pPr>
        <w:pStyle w:val="ListNumber"/>
      </w:pPr>
      <w:r/>
      <w:r>
        <w:rPr>
          <w:b/>
          <w:color w:val="0066CC"/>
        </w:rPr>
        <w:t>리테일 시간 연장 모델</w:t>
      </w:r>
      <w:r>
        <w:t>: Deutsche Börse의 Extended Xetra Retail Service(08:00~22:00)는 기관 거래와 리테일 거래의 시간을 분리하는 모델로, KRX/Nextrade의 시간외 거래 설계에 참고할 수 있다.</w:t>
      </w:r>
    </w:p>
    <w:p>
      <w:pPr>
        <w:pStyle w:val="ListNumber"/>
      </w:pPr>
      <w:r/>
      <w:r>
        <w:rPr>
          <w:b/>
          <w:color w:val="0066CC"/>
        </w:rPr>
        <w:t>T+1 동시 전환</w:t>
      </w:r>
      <w:r>
        <w:t>: 영국/EU/스위스의 2027년 10월 T+1 동시 전환은 글로벌 정합성의 중요성을 보여준다. 한국도 글로벌 결제 주기 단축에 맞춰 T+1 전환 계획을 수립해야 한다.</w:t>
      </w:r>
    </w:p>
    <w:p>
      <w:pPr>
        <w:pStyle w:val="ListNumber"/>
      </w:pPr>
      <w:r/>
      <w:r>
        <w:rPr>
          <w:b/>
          <w:color w:val="0066CC"/>
        </w:rPr>
        <w:t>파생상품 시간의 전략적 중요성</w:t>
      </w:r>
      <w:r>
        <w:t>: Eurex가 22:00 CET까지 파생상품 거래를 운영하는 것은 미국 시장과의 시간대 중첩을 통한 글로벌 투자자 유치 전략이다. KRX도 KOSPI 파생상품의 야간 세션 확대를 가속화해야 한다.</w:t>
      </w:r>
    </w:p>
    <w:p>
      <w:pPr>
        <w:pStyle w:val="ListNumber"/>
      </w:pPr>
      <w:r/>
      <w:r>
        <w:rPr>
          <w:b/>
          <w:color w:val="0066CC"/>
        </w:rPr>
        <w:t>데이터/기술 수출</w:t>
      </w:r>
      <w:r>
        <w:t>: Deutsche Börse의 T7이 인도 BSE에 판매된 것처럼, 거래 기술의 글로벌 수출은 중요한 수익원이 된다. KRX의 EXTURE 3.0 시스템도 신흥국 거래소에 대한 기술 수출을 검토할 수 있다.</w:t>
      </w:r>
    </w:p>
    <w:p>
      <w:pPr>
        <w:pStyle w:val="ListNumber"/>
      </w:pPr>
      <w:r/>
      <w:r>
        <w:rPr>
          <w:b/>
          <w:color w:val="0066CC"/>
        </w:rPr>
        <w:t>24시간 거래의 현실적 한계</w:t>
      </w:r>
      <w:r>
        <w:t>: Euronext와 Deutsche Börse의 신중한 태도는 유럽에서 24시간 거래에 대한 실질적 수요가 아직 충분하지 않음을 시사한다. KRX도 시간 연장의 속도와 범위를 실질적 수요에 기반하여 결정해야 한다.</w:t>
      </w:r>
    </w:p>
    <w:p>
      <w:pPr>
        <w:pStyle w:val="Heading2"/>
      </w:pPr>
      <w:r>
        <w:t>7. 유럽 거래소 현황 종합</w:t>
      </w:r>
    </w:p>
    <w:p>
      <w:pPr>
        <w:pStyle w:val="Heading3"/>
      </w:pPr>
      <w:r>
        <w:t>7.1 유럽 주요 거래소 거래 시간 비교표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거래소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정규 거래 시간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확장 거래 시간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파생상품 시간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Xetra (Deutsche Börse)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09:00~17:30 CET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08:00~22:00 CET (리테일)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Eurex: ~22:00 CET</w:t>
            </w:r>
          </w:p>
        </w:tc>
      </w:tr>
      <w:tr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Börse Frankfurt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08:00~22:00 CET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—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Euronext (파리,암스테르담 등)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09:00~17:30 CET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없음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상품별 상이</w:t>
            </w:r>
          </w:p>
        </w:tc>
      </w:tr>
      <w:tr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LSE (런던)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08:00~16:30 GMT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24시간 검토 중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SIX (스위스)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09:00~17:30 CET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구조화상품 연장 검토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—</w:t>
            </w:r>
          </w:p>
        </w:tc>
      </w:tr>
      <w:tr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룩셈부르크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09:00~17:40 CET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—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—</w:t>
            </w:r>
          </w:p>
        </w:tc>
      </w:tr>
    </w:tbl>
    <w:p/>
    <w:p>
      <w:pPr>
        <w:pStyle w:val="Heading3"/>
      </w:pPr>
      <w:r>
        <w:t>7.2 유럽 거래소 시가총액 비교 (2025년 기준)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거래소 그룹</w:t>
            </w:r>
          </w:p>
        </w:tc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시가총액 규모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Euronext (8개국 통합)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약 €6.3T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LSEG (런던)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약 $3.4T 이상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Deutsche Börse (Xetra)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DAX 시가총액 약 €2T+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SIX (스위스)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SMI 시가총액 약 CHF 1.5T+</w:t>
            </w:r>
          </w:p>
        </w:tc>
      </w:tr>
    </w:tbl>
    <w:p/>
    <w:p>
      <w:pPr>
        <w:pStyle w:val="Heading2"/>
      </w:pPr>
      <w:r>
        <w:t>8. 참고 자료</w:t>
      </w:r>
    </w:p>
    <w:p>
      <w:pPr>
        <w:pStyle w:val="ListBullet"/>
      </w:pPr>
      <w:r>
        <w:t xml:space="preserve">Xetra T7 기술: </w:t>
      </w:r>
      <w:hyperlink r:id="rId9">
        <w:r>
          <w:rPr>
            <w:color w:val="0066CC"/>
            <w:u w:val="single"/>
            <w:sz w:val="18"/>
            <w:rFonts w:ascii="Malgun Gothic" w:eastAsia="Malgun Gothic"/>
          </w:rPr>
          <w:t>cashmarket.deutsche-boerse.com/cash-en/Data-Tech/Technology/...</w:t>
        </w:r>
      </w:hyperlink>
      <w:r/>
    </w:p>
    <w:p>
      <w:pPr>
        <w:pStyle w:val="ListBullet"/>
      </w:pPr>
      <w:r>
        <w:t xml:space="preserve">Xetra 거래 시간: </w:t>
      </w:r>
      <w:hyperlink r:id="rId10">
        <w:r>
          <w:rPr>
            <w:color w:val="0066CC"/>
            <w:u w:val="single"/>
            <w:sz w:val="18"/>
            <w:rFonts w:ascii="Malgun Gothic" w:eastAsia="Malgun Gothic"/>
          </w:rPr>
          <w:t>eurexgroup.com/xetra-en/trading/trading-cale...</w:t>
        </w:r>
      </w:hyperlink>
      <w:r/>
    </w:p>
    <w:p>
      <w:pPr>
        <w:pStyle w:val="ListBullet"/>
      </w:pPr>
      <w:r>
        <w:t xml:space="preserve">Deutsche Börse 리테일 시간 연장: </w:t>
      </w:r>
      <w:hyperlink r:id="rId11">
        <w:r>
          <w:rPr>
            <w:color w:val="0066CC"/>
            <w:u w:val="single"/>
            <w:sz w:val="18"/>
            <w:rFonts w:ascii="Malgun Gothic" w:eastAsia="Malgun Gothic"/>
          </w:rPr>
          <w:t>marketsmedia.com/deutsche-borse-extends-retail...</w:t>
        </w:r>
      </w:hyperlink>
      <w:r/>
    </w:p>
    <w:p>
      <w:pPr>
        <w:pStyle w:val="ListBullet"/>
      </w:pPr>
      <w:r>
        <w:t xml:space="preserve">Eurex Clearing 시간 연장 공지: </w:t>
      </w:r>
      <w:hyperlink r:id="rId12">
        <w:r>
          <w:rPr>
            <w:color w:val="0066CC"/>
            <w:u w:val="single"/>
            <w:sz w:val="18"/>
            <w:rFonts w:ascii="Malgun Gothic" w:eastAsia="Malgun Gothic"/>
          </w:rPr>
          <w:t>eurex.com/ec-en/find/circulars/Eurex-Cl...</w:t>
        </w:r>
      </w:hyperlink>
      <w:r/>
    </w:p>
    <w:p>
      <w:pPr>
        <w:pStyle w:val="ListBullet"/>
      </w:pPr>
      <w:r>
        <w:t xml:space="preserve">Euronext 거래 서비스: </w:t>
      </w:r>
      <w:hyperlink r:id="rId13">
        <w:r>
          <w:rPr>
            <w:color w:val="0066CC"/>
            <w:u w:val="single"/>
            <w:sz w:val="18"/>
            <w:rFonts w:ascii="Malgun Gothic" w:eastAsia="Malgun Gothic"/>
          </w:rPr>
          <w:t>euronext.com/en/trading-information/eurone...</w:t>
        </w:r>
      </w:hyperlink>
      <w:r/>
    </w:p>
    <w:p>
      <w:pPr>
        <w:pStyle w:val="ListBullet"/>
      </w:pPr>
      <w:r>
        <w:t xml:space="preserve">Euronext Optiq 기술: </w:t>
      </w:r>
      <w:hyperlink r:id="rId14">
        <w:r>
          <w:rPr>
            <w:color w:val="0066CC"/>
            <w:u w:val="single"/>
            <w:sz w:val="18"/>
            <w:rFonts w:ascii="Malgun Gothic" w:eastAsia="Malgun Gothic"/>
          </w:rPr>
          <w:t>euronext.com/en/technology/optiq-tech-solu...</w:t>
        </w:r>
      </w:hyperlink>
      <w:r/>
    </w:p>
    <w:p>
      <w:pPr>
        <w:pStyle w:val="ListBullet"/>
      </w:pPr>
      <w:r>
        <w:t xml:space="preserve">Euronext Wikipedia: </w:t>
      </w:r>
      <w:hyperlink r:id="rId15">
        <w:r>
          <w:rPr>
            <w:color w:val="0066CC"/>
            <w:u w:val="single"/>
            <w:sz w:val="18"/>
            <w:rFonts w:ascii="Malgun Gothic" w:eastAsia="Malgun Gothic"/>
          </w:rPr>
          <w:t>en.wikipedia.org/wiki/Euronext</w:t>
        </w:r>
      </w:hyperlink>
      <w:r/>
    </w:p>
    <w:p>
      <w:pPr>
        <w:pStyle w:val="ListBullet"/>
      </w:pPr>
      <w:r>
        <w:t xml:space="preserve">Euronext Clearing: </w:t>
      </w:r>
      <w:hyperlink r:id="rId16">
        <w:r>
          <w:rPr>
            <w:color w:val="0066CC"/>
            <w:u w:val="single"/>
            <w:sz w:val="18"/>
            <w:rFonts w:ascii="Malgun Gothic" w:eastAsia="Malgun Gothic"/>
          </w:rPr>
          <w:t>euronext.com/en/clearing</w:t>
        </w:r>
      </w:hyperlink>
      <w:r/>
    </w:p>
    <w:p>
      <w:pPr>
        <w:pStyle w:val="ListBullet"/>
      </w:pPr>
      <w:r>
        <w:t xml:space="preserve">Euronext Confluent 사례: </w:t>
      </w:r>
      <w:hyperlink r:id="rId17">
        <w:r>
          <w:rPr>
            <w:color w:val="0066CC"/>
            <w:u w:val="single"/>
            <w:sz w:val="18"/>
            <w:rFonts w:ascii="Malgun Gothic" w:eastAsia="Malgun Gothic"/>
          </w:rPr>
          <w:t>confluent.io/customers/euronext/</w:t>
        </w:r>
      </w:hyperlink>
      <w:r/>
    </w:p>
    <w:p>
      <w:pPr>
        <w:pStyle w:val="ListBullet"/>
      </w:pPr>
      <w:r>
        <w:t xml:space="preserve">유럽 24시간 거래 논의 (CNBC): </w:t>
      </w:r>
      <w:hyperlink r:id="rId18">
        <w:r>
          <w:rPr>
            <w:color w:val="0066CC"/>
            <w:u w:val="single"/>
            <w:sz w:val="18"/>
            <w:rFonts w:ascii="Malgun Gothic" w:eastAsia="Malgun Gothic"/>
          </w:rPr>
          <w:t>cnbc.com/2025/07/22/europe-stock-excha...</w:t>
        </w:r>
      </w:hyperlink>
      <w:r/>
    </w:p>
    <w:p>
      <w:pPr>
        <w:pStyle w:val="ListBullet"/>
      </w:pPr>
      <w:r>
        <w:t xml:space="preserve">FESE 24시간 거래 입장 (The TRADE): </w:t>
      </w:r>
      <w:hyperlink r:id="rId19">
        <w:r>
          <w:rPr>
            <w:color w:val="0066CC"/>
            <w:u w:val="single"/>
            <w:sz w:val="18"/>
            <w:rFonts w:ascii="Malgun Gothic" w:eastAsia="Malgun Gothic"/>
          </w:rPr>
          <w:t>thetradenews.com/fese-sets-out-stance-on-24-ho...</w:t>
        </w:r>
      </w:hyperlink>
      <w:r/>
    </w:p>
    <w:p>
      <w:pPr>
        <w:pStyle w:val="ListBullet"/>
      </w:pPr>
      <w:r>
        <w:t xml:space="preserve">Euronext 거래 시간: </w:t>
      </w:r>
      <w:hyperlink r:id="rId20">
        <w:r>
          <w:rPr>
            <w:color w:val="0066CC"/>
            <w:u w:val="single"/>
            <w:sz w:val="18"/>
            <w:rFonts w:ascii="Malgun Gothic" w:eastAsia="Malgun Gothic"/>
          </w:rPr>
          <w:t>euronext.com/en/trading/trading-hours-holi...</w:t>
        </w:r>
      </w:hyperlink>
      <w:r/>
    </w:p>
    <w:p>
      <w:pPr>
        <w:pStyle w:val="ListBullet"/>
      </w:pPr>
      <w:r>
        <w:t xml:space="preserve">T+1 유럽 전환: </w:t>
      </w:r>
      <w:hyperlink r:id="rId21">
        <w:r>
          <w:rPr>
            <w:color w:val="0066CC"/>
            <w:u w:val="single"/>
            <w:sz w:val="18"/>
            <w:rFonts w:ascii="Malgun Gothic" w:eastAsia="Malgun Gothic"/>
          </w:rPr>
          <w:t>securities.cib.bnpparibas/t1-in-europe-whats-next-for-t...</w:t>
        </w:r>
      </w:hyperlink>
      <w:r/>
    </w:p>
    <w:p>
      <w:pPr>
        <w:pStyle w:val="ListBullet"/>
      </w:pPr>
      <w:r>
        <w:t xml:space="preserve">Eurex 파생상품 시간: </w:t>
      </w:r>
      <w:hyperlink r:id="rId22">
        <w:r>
          <w:rPr>
            <w:color w:val="0066CC"/>
            <w:u w:val="single"/>
            <w:sz w:val="18"/>
            <w:rFonts w:ascii="Malgun Gothic" w:eastAsia="Malgun Gothic"/>
          </w:rPr>
          <w:t>deutsche-boerse.com/dbg-en/markets-services/tradi...</w:t>
        </w:r>
      </w:hyperlink>
      <w:r/>
    </w:p>
    <w:p>
      <w:pPr>
        <w:pStyle w:val="ListBullet"/>
      </w:pPr>
      <w:r>
        <w:t xml:space="preserve">KRX 12시간 거래 검토: </w:t>
      </w:r>
      <w:hyperlink r:id="rId23">
        <w:r>
          <w:rPr>
            <w:color w:val="0066CC"/>
            <w:u w:val="single"/>
            <w:sz w:val="18"/>
            <w:rFonts w:ascii="Malgun Gothic" w:eastAsia="Malgun Gothic"/>
          </w:rPr>
          <w:t>koreaherald.com/article/10548345</w:t>
        </w:r>
      </w:hyperlink>
      <w:r/>
    </w:p>
    <w:p>
      <w:pPr>
        <w:pStyle w:val="ListBullet"/>
      </w:pPr>
      <w:r>
        <w:t xml:space="preserve">Nextrade 승인 (FSC): </w:t>
      </w:r>
      <w:hyperlink r:id="rId24">
        <w:r>
          <w:rPr>
            <w:color w:val="0066CC"/>
            <w:u w:val="single"/>
            <w:sz w:val="18"/>
            <w:rFonts w:ascii="Malgun Gothic" w:eastAsia="Malgun Gothic"/>
          </w:rPr>
          <w:t>fsc.go.kr/eng/pr010101/83967</w:t>
        </w:r>
      </w:hyperlink>
      <w:r/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algun Gothic" w:hAnsi="Malgun Gothic"/>
      <w:color w:val="1A1A2E"/>
      <w:sz w:val="20"/>
      <w:rFonts w:eastAsia="Malgun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0066C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0066C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80" w:after="120"/>
      <w:outlineLvl w:val="3"/>
    </w:pPr>
    <w:rPr>
      <w:rFonts w:asciiTheme="majorHAnsi" w:eastAsiaTheme="majorEastAsia" w:hAnsiTheme="majorHAnsi" w:cstheme="majorBidi" w:ascii="Malgun Gothic" w:hAnsi="Malgun Gothic"/>
      <w:b/>
      <w:bCs/>
      <w:i/>
      <w:iCs/>
      <w:color w:val="1A1A2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ashmarket.deutsche-boerse.com/cash-en/Data-Tech/Technology/t7" TargetMode="External"/><Relationship Id="rId10" Type="http://schemas.openxmlformats.org/officeDocument/2006/relationships/hyperlink" Target="https://www.eurexgroup.com/xetra-en/trading/trading-calendar-and-trading-hours" TargetMode="External"/><Relationship Id="rId11" Type="http://schemas.openxmlformats.org/officeDocument/2006/relationships/hyperlink" Target="https://www.marketsmedia.com/deutsche-borse-extends-retail-trading-hours-on-xetra/" TargetMode="External"/><Relationship Id="rId12" Type="http://schemas.openxmlformats.org/officeDocument/2006/relationships/hyperlink" Target="https://www.eurex.com/ec-en/find/circulars/Eurex-Clearing-Readiness-Newsflash-C7-SCS-Introduction-of-Xetra-Trading-Hours-Extension-4742716" TargetMode="External"/><Relationship Id="rId13" Type="http://schemas.openxmlformats.org/officeDocument/2006/relationships/hyperlink" Target="https://www.euronext.com/en/trading-information/euronext-trading-services" TargetMode="External"/><Relationship Id="rId14" Type="http://schemas.openxmlformats.org/officeDocument/2006/relationships/hyperlink" Target="https://www.euronext.com/en/technology/optiq-tech-solutions-for-exchanges-and-venue-operators" TargetMode="External"/><Relationship Id="rId15" Type="http://schemas.openxmlformats.org/officeDocument/2006/relationships/hyperlink" Target="https://en.wikipedia.org/wiki/Euronext" TargetMode="External"/><Relationship Id="rId16" Type="http://schemas.openxmlformats.org/officeDocument/2006/relationships/hyperlink" Target="https://www.euronext.com/en/clearing" TargetMode="External"/><Relationship Id="rId17" Type="http://schemas.openxmlformats.org/officeDocument/2006/relationships/hyperlink" Target="https://www.confluent.io/customers/euronext/" TargetMode="External"/><Relationship Id="rId18" Type="http://schemas.openxmlformats.org/officeDocument/2006/relationships/hyperlink" Target="https://www.cnbc.com/2025/07/22/europe-stock-exchanges-mull-24-hour-trade-to-attract-retail-investors.html" TargetMode="External"/><Relationship Id="rId19" Type="http://schemas.openxmlformats.org/officeDocument/2006/relationships/hyperlink" Target="https://www.thetradenews.com/fese-sets-out-stance-on-24-hour-trading-in-europe/" TargetMode="External"/><Relationship Id="rId20" Type="http://schemas.openxmlformats.org/officeDocument/2006/relationships/hyperlink" Target="https://www.euronext.com/en/trading/trading-hours-holidays" TargetMode="External"/><Relationship Id="rId21" Type="http://schemas.openxmlformats.org/officeDocument/2006/relationships/hyperlink" Target="https://securities.cib.bnpparibas/t1-in-europe-whats-next-for-the-eu-the-uk-and-switzerland/" TargetMode="External"/><Relationship Id="rId22" Type="http://schemas.openxmlformats.org/officeDocument/2006/relationships/hyperlink" Target="https://www.deutsche-boerse.com/dbg-en/markets-services/trading/ps-trading-hours-calendar/ps-hours-calendar-derivatives-eurexchange" TargetMode="External"/><Relationship Id="rId23" Type="http://schemas.openxmlformats.org/officeDocument/2006/relationships/hyperlink" Target="https://www.koreaherald.com/article/10548345" TargetMode="External"/><Relationship Id="rId24" Type="http://schemas.openxmlformats.org/officeDocument/2006/relationships/hyperlink" Target="https://www.fsc.go.kr/eng/pr010101/8396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