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blue-ocean-ats-심층-분석"/>
    <w:p>
      <w:pPr>
        <w:pStyle w:val="Heading1"/>
      </w:pPr>
      <w:r>
        <w:t xml:space="preserve">Blue Ocean ATS 심층 분석</w:t>
      </w:r>
    </w:p>
    <w:p>
      <w:pPr>
        <w:pStyle w:val="BlockText"/>
      </w:pPr>
      <w:r>
        <w:t xml:space="preserve">작성일: 2026년 3월 27일</w:t>
      </w:r>
    </w:p>
    <w:p>
      <w:r>
        <w:pict>
          <v:rect style="width:0;height:1.5pt" o:hralign="center" o:hrstd="t" o:hr="t"/>
        </w:pict>
      </w:r>
    </w:p>
    <w:bookmarkStart w:id="11" w:name="기관-개요-및-시장-내-위상"/>
    <w:p>
      <w:pPr>
        <w:pStyle w:val="Heading2"/>
      </w:pPr>
      <w:r>
        <w:t xml:space="preserve">1. 기관 개요 및 시장 내 위상</w:t>
      </w:r>
    </w:p>
    <w:bookmarkStart w:id="9" w:name="설립-배경-및-소유-구조"/>
    <w:p>
      <w:pPr>
        <w:pStyle w:val="Heading3"/>
      </w:pPr>
      <w:r>
        <w:t xml:space="preserve">1.1 설립 배경 및 소유 구조</w:t>
      </w:r>
    </w:p>
    <w:p>
      <w:pPr>
        <w:pStyle w:val="FirstParagraph"/>
      </w:pPr>
      <w:r>
        <w:t xml:space="preserve">Blue Ocean ATS(이하</w:t>
      </w:r>
      <w:r>
        <w:t xml:space="preserve"> </w:t>
      </w:r>
      <w:r>
        <w:t xml:space="preserve">“BOATS”</w:t>
      </w:r>
      <w:r>
        <w:t xml:space="preserve">)는 미국 정규 거래시간 외 야간 시간대에 NMS(National Market System) 주식의 거래를 가능하게 하는 대체거래시스템(Alternative Trading System)이다. 회사는 2016년에 법인이 설립되었으며 2019년에 사업 구조가 재편되었고, 실제 거래 서비스는</w:t>
      </w:r>
      <w:r>
        <w:t xml:space="preserve"> </w:t>
      </w:r>
      <w:r>
        <w:rPr>
          <w:b/>
          <w:bCs/>
        </w:rPr>
        <w:t xml:space="preserve">2021년 6월</w:t>
      </w:r>
      <w:r>
        <w:t xml:space="preserve">에 공식 개시되었다.</w:t>
      </w:r>
    </w:p>
    <w:p>
      <w:pPr>
        <w:pStyle w:val="BodyText"/>
      </w:pPr>
      <w:r>
        <w:t xml:space="preserve">공동창업자는</w:t>
      </w:r>
      <w:r>
        <w:t xml:space="preserve"> </w:t>
      </w:r>
      <w:r>
        <w:rPr>
          <w:b/>
          <w:bCs/>
        </w:rPr>
        <w:t xml:space="preserve">Gregory Shinnick</w:t>
      </w:r>
      <w:r>
        <w:t xml:space="preserve">과</w:t>
      </w:r>
      <w:r>
        <w:t xml:space="preserve"> </w:t>
      </w:r>
      <w:r>
        <w:rPr>
          <w:b/>
          <w:bCs/>
        </w:rPr>
        <w:t xml:space="preserve">Matthew Brown</w:t>
      </w:r>
      <w:r>
        <w:t xml:space="preserve">이며, CEO는 나스닥(Nasdaq) 출신의</w:t>
      </w:r>
      <w:r>
        <w:t xml:space="preserve"> </w:t>
      </w:r>
      <w:r>
        <w:rPr>
          <w:b/>
          <w:bCs/>
        </w:rPr>
        <w:t xml:space="preserve">Brian Hyndman</w:t>
      </w:r>
      <w:r>
        <w:t xml:space="preserve">이 맡고 있다. Hyndman CEO의 나스닥 경력은 BOATS의 기술 전략 및 규제 대응 역량에 핵심적 기반을 제공하고 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내용</w:t>
            </w:r>
          </w:p>
        </w:tc>
      </w:tr>
      <w:tr>
        <w:tc>
          <w:tcPr/>
          <w:p>
            <w:pPr>
              <w:pStyle w:val="Compact"/>
            </w:pPr>
            <w:r>
              <w:t xml:space="preserve">법인 설립</w:t>
            </w:r>
          </w:p>
        </w:tc>
        <w:tc>
          <w:tcPr/>
          <w:p>
            <w:pPr>
              <w:pStyle w:val="Compact"/>
            </w:pPr>
            <w:r>
              <w:t xml:space="preserve">2016년 (2019년 재편)</w:t>
            </w:r>
          </w:p>
        </w:tc>
      </w:tr>
      <w:tr>
        <w:tc>
          <w:tcPr/>
          <w:p>
            <w:pPr>
              <w:pStyle w:val="Compact"/>
            </w:pPr>
            <w:r>
              <w:t xml:space="preserve">서비스 개시</w:t>
            </w:r>
          </w:p>
        </w:tc>
        <w:tc>
          <w:tcPr/>
          <w:p>
            <w:pPr>
              <w:pStyle w:val="Compact"/>
            </w:pPr>
            <w:r>
              <w:t xml:space="preserve">2021년 6월</w:t>
            </w:r>
          </w:p>
        </w:tc>
      </w:tr>
      <w:tr>
        <w:tc>
          <w:tcPr/>
          <w:p>
            <w:pPr>
              <w:pStyle w:val="Compact"/>
            </w:pPr>
            <w:r>
              <w:t xml:space="preserve">공동창업자</w:t>
            </w:r>
          </w:p>
        </w:tc>
        <w:tc>
          <w:tcPr/>
          <w:p>
            <w:pPr>
              <w:pStyle w:val="Compact"/>
            </w:pPr>
            <w:r>
              <w:t xml:space="preserve">Gregory Shinnick, Matthew Brown</w:t>
            </w:r>
          </w:p>
        </w:tc>
      </w:tr>
      <w:tr>
        <w:tc>
          <w:tcPr/>
          <w:p>
            <w:pPr>
              <w:pStyle w:val="Compact"/>
            </w:pPr>
            <w:r>
              <w:t xml:space="preserve">CEO</w:t>
            </w:r>
          </w:p>
        </w:tc>
        <w:tc>
          <w:tcPr/>
          <w:p>
            <w:pPr>
              <w:pStyle w:val="Compact"/>
            </w:pPr>
            <w:r>
              <w:t xml:space="preserve">Brian Hyndman (전 Nasdaq 임원)</w:t>
            </w:r>
          </w:p>
        </w:tc>
      </w:tr>
      <w:tr>
        <w:tc>
          <w:tcPr/>
          <w:p>
            <w:pPr>
              <w:pStyle w:val="Compact"/>
            </w:pPr>
            <w:r>
              <w:t xml:space="preserve">법적 지위</w:t>
            </w:r>
          </w:p>
        </w:tc>
        <w:tc>
          <w:tcPr/>
          <w:p>
            <w:pPr>
              <w:pStyle w:val="Compact"/>
            </w:pPr>
            <w:r>
              <w:t xml:space="preserve">SEC 등록 브로커-딜러, FINRA 회원사</w:t>
            </w:r>
          </w:p>
        </w:tc>
      </w:tr>
      <w:tr>
        <w:tc>
          <w:tcPr/>
          <w:p>
            <w:pPr>
              <w:pStyle w:val="Compact"/>
            </w:pPr>
            <w:r>
              <w:t xml:space="preserve">거래 체계</w:t>
            </w:r>
          </w:p>
        </w:tc>
        <w:tc>
          <w:tcPr/>
          <w:p>
            <w:pPr>
              <w:pStyle w:val="Compact"/>
            </w:pPr>
            <w:r>
              <w:t xml:space="preserve">Regulation ATS</w:t>
            </w:r>
          </w:p>
        </w:tc>
      </w:tr>
    </w:tbl>
    <w:p>
      <w:pPr>
        <w:pStyle w:val="BodyText"/>
      </w:pPr>
      <w:r>
        <w:rPr>
          <w:b/>
          <w:bCs/>
        </w:rPr>
        <w:t xml:space="preserve">소유 구조</w:t>
      </w:r>
      <w:r>
        <w:t xml:space="preserve">는 캐나다 상장 투자회사인</w:t>
      </w:r>
      <w:r>
        <w:t xml:space="preserve"> </w:t>
      </w:r>
      <w:r>
        <w:rPr>
          <w:b/>
          <w:bCs/>
        </w:rPr>
        <w:t xml:space="preserve">Urbana Corporation</w:t>
      </w:r>
      <w:r>
        <w:t xml:space="preserve">이 약</w:t>
      </w:r>
      <w:r>
        <w:t xml:space="preserve"> </w:t>
      </w:r>
      <w:r>
        <w:rPr>
          <w:b/>
          <w:bCs/>
        </w:rPr>
        <w:t xml:space="preserve">35%</w:t>
      </w:r>
      <w:r>
        <w:t xml:space="preserve"> </w:t>
      </w:r>
      <w:r>
        <w:t xml:space="preserve">의 지분을 보유하고 있으며, 일본 최대 거래소 그룹인</w:t>
      </w:r>
      <w:r>
        <w:t xml:space="preserve"> </w:t>
      </w:r>
      <w:r>
        <w:rPr>
          <w:b/>
          <w:bCs/>
        </w:rPr>
        <w:t xml:space="preserve">도쿄증권거래소(JPX, Japan Exchange Group)</w:t>
      </w:r>
      <w:r>
        <w:t xml:space="preserve"> </w:t>
      </w:r>
      <w:r>
        <w:t xml:space="preserve">가</w:t>
      </w:r>
      <w:r>
        <w:t xml:space="preserve"> </w:t>
      </w:r>
      <w:r>
        <w:rPr>
          <w:b/>
          <w:bCs/>
        </w:rPr>
        <w:t xml:space="preserve">5%</w:t>
      </w:r>
      <w:r>
        <w:t xml:space="preserve"> </w:t>
      </w:r>
      <w:r>
        <w:t xml:space="preserve">의 전략적 지분을 보유하고 있다. JPX의 투자 참여는 BOATS의 아시아 시장 전략에 대한 신뢰도를 제도적으로 뒷받침하는 중요한 요소이다.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주요 주주</w:t>
            </w:r>
          </w:p>
        </w:tc>
        <w:tc>
          <w:tcPr/>
          <w:p>
            <w:pPr>
              <w:pStyle w:val="Compact"/>
            </w:pPr>
            <w:r>
              <w:t xml:space="preserve">지분율</w:t>
            </w:r>
          </w:p>
        </w:tc>
        <w:tc>
          <w:tcPr/>
          <w:p>
            <w:pPr>
              <w:pStyle w:val="Compact"/>
            </w:pPr>
            <w:r>
              <w:t xml:space="preserve">비고</w:t>
            </w:r>
          </w:p>
        </w:tc>
      </w:tr>
      <w:tr>
        <w:tc>
          <w:tcPr/>
          <w:p>
            <w:pPr>
              <w:pStyle w:val="Compact"/>
            </w:pPr>
            <w:r>
              <w:t xml:space="preserve">Urbana Corporation</w:t>
            </w:r>
          </w:p>
        </w:tc>
        <w:tc>
          <w:tcPr/>
          <w:p>
            <w:pPr>
              <w:pStyle w:val="Compact"/>
            </w:pPr>
            <w:r>
              <w:t xml:space="preserve">~35%</w:t>
            </w:r>
          </w:p>
        </w:tc>
        <w:tc>
          <w:tcPr/>
          <w:p>
            <w:pPr>
              <w:pStyle w:val="Compact"/>
            </w:pPr>
            <w:r>
              <w:t xml:space="preserve">캐나다 상장 투자회사</w:t>
            </w:r>
          </w:p>
        </w:tc>
      </w:tr>
      <w:tr>
        <w:tc>
          <w:tcPr/>
          <w:p>
            <w:pPr>
              <w:pStyle w:val="Compact"/>
            </w:pPr>
            <w:r>
              <w:t xml:space="preserve">JPX (도쿄증권거래소)</w:t>
            </w:r>
          </w:p>
        </w:tc>
        <w:tc>
          <w:tcPr/>
          <w:p>
            <w:pPr>
              <w:pStyle w:val="Compact"/>
            </w:pPr>
            <w:r>
              <w:t xml:space="preserve">5%</w:t>
            </w:r>
          </w:p>
        </w:tc>
        <w:tc>
          <w:tcPr/>
          <w:p>
            <w:pPr>
              <w:pStyle w:val="Compact"/>
            </w:pPr>
            <w:r>
              <w:t xml:space="preserve">전략적 투자</w:t>
            </w:r>
          </w:p>
        </w:tc>
      </w:tr>
      <w:tr>
        <w:tc>
          <w:tcPr/>
          <w:p>
            <w:pPr>
              <w:pStyle w:val="Compact"/>
            </w:pPr>
            <w:r>
              <w:t xml:space="preserve">기타 투자자</w:t>
            </w:r>
          </w:p>
        </w:tc>
        <w:tc>
          <w:tcPr/>
          <w:p>
            <w:pPr>
              <w:pStyle w:val="Compact"/>
            </w:pPr>
            <w:r>
              <w:t xml:space="preserve">~60%</w:t>
            </w:r>
          </w:p>
        </w:tc>
        <w:tc>
          <w:tcPr/>
          <w:p>
            <w:pPr>
              <w:pStyle w:val="Compact"/>
            </w:pPr>
            <w:r>
              <w:t xml:space="preserve">창업자 및 기관투자자 등</w:t>
            </w:r>
          </w:p>
        </w:tc>
      </w:tr>
    </w:tbl>
    <w:bookmarkEnd w:id="9"/>
    <w:bookmarkStart w:id="10" w:name="규제-현황"/>
    <w:p>
      <w:pPr>
        <w:pStyle w:val="Heading3"/>
      </w:pPr>
      <w:r>
        <w:t xml:space="preserve">1.2 규제 현황</w:t>
      </w:r>
    </w:p>
    <w:p>
      <w:pPr>
        <w:pStyle w:val="FirstParagraph"/>
      </w:pPr>
      <w:r>
        <w:t xml:space="preserve">BOATS는 미국 증권거래위원회(SEC)에</w:t>
      </w:r>
      <w:r>
        <w:t xml:space="preserve"> </w:t>
      </w:r>
      <w:r>
        <w:rPr>
          <w:b/>
          <w:bCs/>
        </w:rPr>
        <w:t xml:space="preserve">등록된 브로커-딜러</w:t>
      </w:r>
      <w:r>
        <w:t xml:space="preserve">이자</w:t>
      </w:r>
      <w:r>
        <w:t xml:space="preserve"> </w:t>
      </w:r>
      <w:r>
        <w:rPr>
          <w:b/>
          <w:bCs/>
        </w:rPr>
        <w:t xml:space="preserve">FINRA(금융산업규제기구) 회원사</w:t>
      </w:r>
      <w:r>
        <w:t xml:space="preserve">로서,</w:t>
      </w:r>
      <w:r>
        <w:t xml:space="preserve"> </w:t>
      </w:r>
      <w:r>
        <w:rPr>
          <w:b/>
          <w:bCs/>
        </w:rPr>
        <w:t xml:space="preserve">Regulation ATS</w:t>
      </w:r>
      <w:r>
        <w:t xml:space="preserve"> </w:t>
      </w:r>
      <w:r>
        <w:t xml:space="preserve">하에 운영되고 있다. 이는 BOATS가 정규 거래소(national securities exchange)가 아닌 대체거래시스템으로서의 법적 지위를 가진다는 것을 의미한다. Regulation ATS는 SEC Rule 3a1-1(a) 및 Regulation ATS(Rule 300-303)에 근거하며, BOATS는 이에 따라 Form ATS-N을 SEC에 제출하여 운영 세부사항을 공시하고 있다.</w:t>
      </w:r>
    </w:p>
    <w:p>
      <w:pPr>
        <w:pStyle w:val="BodyText"/>
      </w:pPr>
      <w:r>
        <w:t xml:space="preserve">이 규제 체계 하에서 BOATS는 정규 거래소에 비해 상대적으로 유연한 운영이 가능하지만, 동시에 공정접근(fair access), 시스템 안정성, 이해충돌 관리 등에 관한 SEC와 FINRA의 엄격한 감독을 받는다.</w:t>
      </w:r>
    </w:p>
    <w:p>
      <w:r>
        <w:pict>
          <v:rect style="width:0;height:1.5pt" o:hralign="center" o:hrstd="t" o:hr="t"/>
        </w:pict>
      </w:r>
    </w:p>
    <w:bookmarkEnd w:id="10"/>
    <w:bookmarkEnd w:id="11"/>
    <w:bookmarkStart w:id="15" w:name="현행-거래-제도"/>
    <w:p>
      <w:pPr>
        <w:pStyle w:val="Heading2"/>
      </w:pPr>
      <w:r>
        <w:t xml:space="preserve">2. 현행 거래 제도</w:t>
      </w:r>
    </w:p>
    <w:bookmarkStart w:id="12" w:name="거래-시간-및-세션-구조"/>
    <w:p>
      <w:pPr>
        <w:pStyle w:val="Heading3"/>
      </w:pPr>
      <w:r>
        <w:t xml:space="preserve">2.1 거래 시간 및 세션 구조</w:t>
      </w:r>
    </w:p>
    <w:p>
      <w:pPr>
        <w:pStyle w:val="FirstParagraph"/>
      </w:pPr>
      <w:r>
        <w:t xml:space="preserve">BOATS의 가장 핵심적인 차별점은</w:t>
      </w:r>
      <w:r>
        <w:t xml:space="preserve"> </w:t>
      </w:r>
      <w:r>
        <w:rPr>
          <w:b/>
          <w:bCs/>
        </w:rPr>
        <w:t xml:space="preserve">미국 정규시장이 닫힌 야간 시간대</w:t>
      </w:r>
      <w:r>
        <w:t xml:space="preserve">에 거래를 제공한다는 점이다.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세부 내용</w:t>
            </w:r>
          </w:p>
        </w:tc>
      </w:tr>
      <w:tr>
        <w:tc>
          <w:tcPr/>
          <w:p>
            <w:pPr>
              <w:pStyle w:val="Compact"/>
            </w:pPr>
            <w:r>
              <w:t xml:space="preserve">거래 시간</w:t>
            </w:r>
          </w:p>
        </w:tc>
        <w:tc>
          <w:tcPr/>
          <w:p>
            <w:pPr>
              <w:pStyle w:val="Compact"/>
            </w:pPr>
            <w:r>
              <w:t xml:space="preserve">20:00 ~ 04:00 ET (미국 동부시간)</w:t>
            </w:r>
          </w:p>
        </w:tc>
      </w:tr>
      <w:tr>
        <w:tc>
          <w:tcPr/>
          <w:p>
            <w:pPr>
              <w:pStyle w:val="Compact"/>
            </w:pPr>
            <w:r>
              <w:t xml:space="preserve">거래 요일</w:t>
            </w:r>
          </w:p>
        </w:tc>
        <w:tc>
          <w:tcPr/>
          <w:p>
            <w:pPr>
              <w:pStyle w:val="Compact"/>
            </w:pPr>
            <w:r>
              <w:t xml:space="preserve">일요일 ~ 목요일 (주 5회)</w:t>
            </w:r>
          </w:p>
        </w:tc>
      </w:tr>
      <w:tr>
        <w:tc>
          <w:tcPr/>
          <w:p>
            <w:pPr>
              <w:pStyle w:val="Compact"/>
            </w:pPr>
            <w:r>
              <w:t xml:space="preserve">세션 길이</w:t>
            </w:r>
          </w:p>
        </w:tc>
        <w:tc>
          <w:tcPr/>
          <w:p>
            <w:pPr>
              <w:pStyle w:val="Compact"/>
            </w:pPr>
            <w:r>
              <w:t xml:space="preserve">1회당 8시간</w:t>
            </w:r>
          </w:p>
        </w:tc>
      </w:tr>
      <w:tr>
        <w:tc>
          <w:tcPr/>
          <w:p>
            <w:pPr>
              <w:pStyle w:val="Compact"/>
            </w:pPr>
            <w:r>
              <w:t xml:space="preserve">참조가 결정 시각</w:t>
            </w:r>
          </w:p>
        </w:tc>
        <w:tc>
          <w:tcPr/>
          <w:p>
            <w:pPr>
              <w:pStyle w:val="Compact"/>
            </w:pPr>
            <w:r>
              <w:t xml:space="preserve">19:30 ET</w:t>
            </w:r>
          </w:p>
        </w:tc>
      </w:tr>
      <w:tr>
        <w:tc>
          <w:tcPr/>
          <w:p>
            <w:pPr>
              <w:pStyle w:val="Compact"/>
            </w:pPr>
            <w:r>
              <w:t xml:space="preserve">전반 세션 (20:00~00:00)</w:t>
            </w:r>
          </w:p>
        </w:tc>
        <w:tc>
          <w:tcPr/>
          <w:p>
            <w:pPr>
              <w:pStyle w:val="Compact"/>
            </w:pPr>
            <w:r>
              <w:t xml:space="preserve">익영업일 기준 거래일 적용</w:t>
            </w:r>
          </w:p>
        </w:tc>
      </w:tr>
      <w:tr>
        <w:tc>
          <w:tcPr/>
          <w:p>
            <w:pPr>
              <w:pStyle w:val="Compact"/>
            </w:pPr>
            <w:r>
              <w:t xml:space="preserve">후반 세션 (00:00~04:00)</w:t>
            </w:r>
          </w:p>
        </w:tc>
        <w:tc>
          <w:tcPr/>
          <w:p>
            <w:pPr>
              <w:pStyle w:val="Compact"/>
            </w:pPr>
            <w:r>
              <w:t xml:space="preserve">당일 영업일 기준 거래일 적용</w:t>
            </w:r>
          </w:p>
        </w:tc>
      </w:tr>
    </w:tbl>
    <w:p>
      <w:pPr>
        <w:pStyle w:val="BodyText"/>
      </w:pPr>
      <w:r>
        <w:t xml:space="preserve">특히 20:00~00:00 사이에 체결된 거래는</w:t>
      </w:r>
      <w:r>
        <w:t xml:space="preserve"> </w:t>
      </w:r>
      <w:r>
        <w:rPr>
          <w:b/>
          <w:bCs/>
        </w:rPr>
        <w:t xml:space="preserve">익영업일(next business day)</w:t>
      </w:r>
      <w:r>
        <w:t xml:space="preserve"> </w:t>
      </w:r>
      <w:r>
        <w:t xml:space="preserve">의 거래일(trade date)로 처리되며, 00:00~04:00 사이의 거래는 당일 영업일로 처리된다. 이 구조는 결제 일정(T+1)과 연동되므로 투자자 및 청산 참여자들이 반드시 인지해야 할 사항이다.</w:t>
      </w:r>
    </w:p>
    <w:p>
      <w:pPr>
        <w:pStyle w:val="BodyText"/>
      </w:pPr>
      <w:r>
        <w:t xml:space="preserve">한국 시간으로 환산하면 (ET + 14시간 기준, 서머타임 미적용 시)</w:t>
      </w:r>
      <w:r>
        <w:t xml:space="preserve"> </w:t>
      </w:r>
      <w:r>
        <w:rPr>
          <w:b/>
          <w:bCs/>
        </w:rPr>
        <w:t xml:space="preserve">오전 10:00 ~ 오후 18:00 KST</w:t>
      </w:r>
      <w:r>
        <w:t xml:space="preserve">에 해당하여, 한국 투자자에게는 사실상</w:t>
      </w:r>
      <w:r>
        <w:t xml:space="preserve"> </w:t>
      </w:r>
      <w:r>
        <w:rPr>
          <w:b/>
          <w:bCs/>
        </w:rPr>
        <w:t xml:space="preserve">한국 주간 시간대에 미국 주식을 거래</w:t>
      </w:r>
      <w:r>
        <w:t xml:space="preserve">할 수 있는 환경을 제공한다.</w:t>
      </w:r>
    </w:p>
    <w:bookmarkEnd w:id="12"/>
    <w:bookmarkStart w:id="13" w:name="주문-유형-및-제한"/>
    <w:p>
      <w:pPr>
        <w:pStyle w:val="Heading3"/>
      </w:pPr>
      <w:r>
        <w:t xml:space="preserve">2.2 주문 유형 및 제한</w:t>
      </w:r>
    </w:p>
    <w:p>
      <w:pPr>
        <w:pStyle w:val="FirstParagraph"/>
      </w:pPr>
      <w:r>
        <w:t xml:space="preserve">BOATS는 현재</w:t>
      </w:r>
      <w:r>
        <w:t xml:space="preserve"> </w:t>
      </w:r>
      <w:r>
        <w:rPr>
          <w:b/>
          <w:bCs/>
        </w:rPr>
        <w:t xml:space="preserve">지정가 주문(Limit Order)만</w:t>
      </w:r>
      <w:r>
        <w:t xml:space="preserve"> </w:t>
      </w:r>
      <w:r>
        <w:t xml:space="preserve">허용하며,</w:t>
      </w:r>
      <w:r>
        <w:t xml:space="preserve"> </w:t>
      </w:r>
      <w:r>
        <w:rPr>
          <w:b/>
          <w:bCs/>
        </w:rPr>
        <w:t xml:space="preserve">시장가 주문(Market Order)은 지원하지 않는다</w:t>
      </w:r>
      <w:r>
        <w:t xml:space="preserve">. 이는 야간 시간대의 유동성 특성상 시장가 주문이 극단적 가격에 체결될 위험을 방지하기 위한 투자자 보호 조치이다.</w:t>
      </w:r>
    </w:p>
    <w:p>
      <w:pPr>
        <w:pStyle w:val="BodyText"/>
      </w:pPr>
      <w:r>
        <w:t xml:space="preserve">또한</w:t>
      </w:r>
      <w:r>
        <w:t xml:space="preserve"> </w:t>
      </w:r>
      <w:r>
        <w:rPr>
          <w:b/>
          <w:bCs/>
        </w:rPr>
        <w:t xml:space="preserve">주문은 세션 간 이월(carry-over)되지 않는다</w:t>
      </w:r>
      <w:r>
        <w:t xml:space="preserve">. 즉, 해당 세션 내에서 체결되지 않은 주문은 세션 종료 시 자동으로 취소되며, 다음 세션에서 거래하려면 새로운 주문을 제출해야 한다.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주문 관련 규칙</w:t>
            </w:r>
          </w:p>
        </w:tc>
        <w:tc>
          <w:tcPr/>
          <w:p>
            <w:pPr>
              <w:pStyle w:val="Compact"/>
            </w:pPr>
            <w:r>
              <w:t xml:space="preserve">내용</w:t>
            </w:r>
          </w:p>
        </w:tc>
      </w:tr>
      <w:tr>
        <w:tc>
          <w:tcPr/>
          <w:p>
            <w:pPr>
              <w:pStyle w:val="Compact"/>
            </w:pPr>
            <w:r>
              <w:t xml:space="preserve">허용 주문 유형</w:t>
            </w:r>
          </w:p>
        </w:tc>
        <w:tc>
          <w:tcPr/>
          <w:p>
            <w:pPr>
              <w:pStyle w:val="Compact"/>
            </w:pPr>
            <w:r>
              <w:t xml:space="preserve">지정가 주문(Limit Order)만</w:t>
            </w:r>
          </w:p>
        </w:tc>
      </w:tr>
      <w:tr>
        <w:tc>
          <w:tcPr/>
          <w:p>
            <w:pPr>
              <w:pStyle w:val="Compact"/>
            </w:pPr>
            <w:r>
              <w:t xml:space="preserve">시장가 주문</w:t>
            </w:r>
          </w:p>
        </w:tc>
        <w:tc>
          <w:tcPr/>
          <w:p>
            <w:pPr>
              <w:pStyle w:val="Compact"/>
            </w:pPr>
            <w:r>
              <w:t xml:space="preserve">불가</w:t>
            </w:r>
          </w:p>
        </w:tc>
      </w:tr>
      <w:tr>
        <w:tc>
          <w:tcPr/>
          <w:p>
            <w:pPr>
              <w:pStyle w:val="Compact"/>
            </w:pPr>
            <w:r>
              <w:t xml:space="preserve">주문 이월</w:t>
            </w:r>
          </w:p>
        </w:tc>
        <w:tc>
          <w:tcPr/>
          <w:p>
            <w:pPr>
              <w:pStyle w:val="Compact"/>
            </w:pPr>
            <w:r>
              <w:t xml:space="preserve">불가 (세션 종료 시 자동 취소)</w:t>
            </w:r>
          </w:p>
        </w:tc>
      </w:tr>
      <w:tr>
        <w:tc>
          <w:tcPr/>
          <w:p>
            <w:pPr>
              <w:pStyle w:val="Compact"/>
            </w:pPr>
            <w:r>
              <w:t xml:space="preserve">주문 유효기간</w:t>
            </w:r>
          </w:p>
        </w:tc>
        <w:tc>
          <w:tcPr/>
          <w:p>
            <w:pPr>
              <w:pStyle w:val="Compact"/>
            </w:pPr>
            <w:r>
              <w:t xml:space="preserve">해당 세션 한정</w:t>
            </w:r>
          </w:p>
        </w:tc>
      </w:tr>
    </w:tbl>
    <w:bookmarkEnd w:id="13"/>
    <w:bookmarkStart w:id="14" w:name="가격-통제-메커니즘"/>
    <w:p>
      <w:pPr>
        <w:pStyle w:val="Heading3"/>
      </w:pPr>
      <w:r>
        <w:t xml:space="preserve">2.3 가격 통제 메커니즘</w:t>
      </w:r>
    </w:p>
    <w:p>
      <w:pPr>
        <w:pStyle w:val="FirstParagraph"/>
      </w:pPr>
      <w:r>
        <w:t xml:space="preserve">BOATS는</w:t>
      </w:r>
      <w:r>
        <w:t xml:space="preserve"> </w:t>
      </w:r>
      <w:r>
        <w:rPr>
          <w:b/>
          <w:bCs/>
        </w:rPr>
        <w:t xml:space="preserve">19:30 ET 기준 참조가(reference price)</w:t>
      </w:r>
      <w:r>
        <w:t xml:space="preserve"> </w:t>
      </w:r>
      <w:r>
        <w:t xml:space="preserve">를 기점으로</w:t>
      </w:r>
      <w:r>
        <w:t xml:space="preserve"> </w:t>
      </w:r>
      <w:r>
        <w:rPr>
          <w:b/>
          <w:bCs/>
        </w:rPr>
        <w:t xml:space="preserve">상하 20% 가격 밴드(price band)</w:t>
      </w:r>
      <w:r>
        <w:t xml:space="preserve"> </w:t>
      </w:r>
      <w:r>
        <w:t xml:space="preserve">를 설정한다. 이 참조가는 일반적으로 정규시장 종가 또는 애프터마켓 최종가를 기반으로 결정된다.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가격 통제 항목</w:t>
            </w:r>
          </w:p>
        </w:tc>
        <w:tc>
          <w:tcPr/>
          <w:p>
            <w:pPr>
              <w:pStyle w:val="Compact"/>
            </w:pPr>
            <w:r>
              <w:t xml:space="preserve">세부 내용</w:t>
            </w:r>
          </w:p>
        </w:tc>
      </w:tr>
      <w:tr>
        <w:tc>
          <w:tcPr/>
          <w:p>
            <w:pPr>
              <w:pStyle w:val="Compact"/>
            </w:pPr>
            <w:r>
              <w:t xml:space="preserve">참조가 결정 시각</w:t>
            </w:r>
          </w:p>
        </w:tc>
        <w:tc>
          <w:tcPr/>
          <w:p>
            <w:pPr>
              <w:pStyle w:val="Compact"/>
            </w:pPr>
            <w:r>
              <w:t xml:space="preserve">19:30 ET</w:t>
            </w:r>
          </w:p>
        </w:tc>
      </w:tr>
      <w:tr>
        <w:tc>
          <w:tcPr/>
          <w:p>
            <w:pPr>
              <w:pStyle w:val="Compact"/>
            </w:pPr>
            <w:r>
              <w:t xml:space="preserve">가격 밴드 범위</w:t>
            </w:r>
          </w:p>
        </w:tc>
        <w:tc>
          <w:tcPr/>
          <w:p>
            <w:pPr>
              <w:pStyle w:val="Compact"/>
            </w:pPr>
            <w:r>
              <w:t xml:space="preserve">참조가 대비 ±20%</w:t>
            </w:r>
          </w:p>
        </w:tc>
      </w:tr>
      <w:tr>
        <w:tc>
          <w:tcPr/>
          <w:p>
            <w:pPr>
              <w:pStyle w:val="Compact"/>
            </w:pPr>
            <w:r>
              <w:t xml:space="preserve">목적</w:t>
            </w:r>
          </w:p>
        </w:tc>
        <w:tc>
          <w:tcPr/>
          <w:p>
            <w:pPr>
              <w:pStyle w:val="Compact"/>
            </w:pPr>
            <w:r>
              <w:t xml:space="preserve">야간 시간대 급격한 가격 변동 방지</w:t>
            </w:r>
          </w:p>
        </w:tc>
      </w:tr>
    </w:tbl>
    <w:p>
      <w:pPr>
        <w:pStyle w:val="BodyText"/>
      </w:pPr>
      <w:r>
        <w:t xml:space="preserve">이 ±20% 밴드는 야간 시간대의 상대적으로 낮은 유동성 환경에서 극단적 가격 변동으로부터 투자자를 보호하는 역할을 한다. 다만 실적 발표 등 중대 이벤트 발생 시 20% 밴드가 충분하지 않을 수 있다는 지적도 존재한다.</w:t>
      </w:r>
    </w:p>
    <w:p>
      <w:r>
        <w:pict>
          <v:rect style="width:0;height:1.5pt" o:hralign="center" o:hrstd="t" o:hr="t"/>
        </w:pict>
      </w:r>
    </w:p>
    <w:bookmarkEnd w:id="14"/>
    <w:bookmarkEnd w:id="15"/>
    <w:bookmarkStart w:id="18" w:name="핵심-시스템-인프라"/>
    <w:p>
      <w:pPr>
        <w:pStyle w:val="Heading2"/>
      </w:pPr>
      <w:r>
        <w:t xml:space="preserve">3. 핵심 시스템 인프라</w:t>
      </w:r>
    </w:p>
    <w:bookmarkStart w:id="16" w:name="memx-매칭-엔진-마이그레이션"/>
    <w:p>
      <w:pPr>
        <w:pStyle w:val="Heading3"/>
      </w:pPr>
      <w:r>
        <w:t xml:space="preserve">3.1 MEMX 매칭 엔진 마이그레이션</w:t>
      </w:r>
    </w:p>
    <w:p>
      <w:pPr>
        <w:pStyle w:val="FirstParagraph"/>
      </w:pPr>
      <w:r>
        <w:t xml:space="preserve">BOATS는</w:t>
      </w:r>
      <w:r>
        <w:t xml:space="preserve"> </w:t>
      </w:r>
      <w:r>
        <w:rPr>
          <w:b/>
          <w:bCs/>
        </w:rPr>
        <w:t xml:space="preserve">2024년 8월</w:t>
      </w:r>
      <w:r>
        <w:t xml:space="preserve">, 기존 자체 매칭 엔진에서</w:t>
      </w:r>
      <w:r>
        <w:t xml:space="preserve"> </w:t>
      </w:r>
      <w:r>
        <w:rPr>
          <w:b/>
          <w:bCs/>
        </w:rPr>
        <w:t xml:space="preserve">MEMX(Members Exchange)</w:t>
      </w:r>
      <w:r>
        <w:t xml:space="preserve"> </w:t>
      </w:r>
      <w:r>
        <w:t xml:space="preserve">의</w:t>
      </w:r>
      <w:r>
        <w:t xml:space="preserve"> </w:t>
      </w:r>
      <w:r>
        <w:rPr>
          <w:b/>
          <w:bCs/>
        </w:rPr>
        <w:t xml:space="preserve">“Market-as-a-Service”</w:t>
      </w:r>
      <w:r>
        <w:t xml:space="preserve"> </w:t>
      </w:r>
      <w:r>
        <w:t xml:space="preserve">플랫폼으로 전면 마이그레이션하였다. MEMX는 2020년에 출범한 미국의 신생 증권거래소로, 초저지연(ultra-low latency) 기술력으로 알려져 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기술 인프라 항목</w:t>
            </w:r>
          </w:p>
        </w:tc>
        <w:tc>
          <w:tcPr/>
          <w:p>
            <w:pPr>
              <w:pStyle w:val="Compact"/>
            </w:pPr>
            <w:r>
              <w:t xml:space="preserve">세부 사양</w:t>
            </w:r>
          </w:p>
        </w:tc>
      </w:tr>
      <w:tr>
        <w:tc>
          <w:tcPr/>
          <w:p>
            <w:pPr>
              <w:pStyle w:val="Compact"/>
            </w:pPr>
            <w:r>
              <w:t xml:space="preserve">매칭 엔진</w:t>
            </w:r>
          </w:p>
        </w:tc>
        <w:tc>
          <w:tcPr/>
          <w:p>
            <w:pPr>
              <w:pStyle w:val="Compact"/>
            </w:pPr>
            <w:r>
              <w:t xml:space="preserve">MEMX Market-as-a-Service</w:t>
            </w:r>
          </w:p>
        </w:tc>
      </w:tr>
      <w:tr>
        <w:tc>
          <w:tcPr/>
          <w:p>
            <w:pPr>
              <w:pStyle w:val="Compact"/>
            </w:pPr>
            <w:r>
              <w:t xml:space="preserve">마이그레이션 시점</w:t>
            </w:r>
          </w:p>
        </w:tc>
        <w:tc>
          <w:tcPr/>
          <w:p>
            <w:pPr>
              <w:pStyle w:val="Compact"/>
            </w:pPr>
            <w:r>
              <w:t xml:space="preserve">2024년 8월</w:t>
            </w:r>
          </w:p>
        </w:tc>
      </w:tr>
      <w:tr>
        <w:tc>
          <w:tcPr/>
          <w:p>
            <w:pPr>
              <w:pStyle w:val="Compact"/>
            </w:pPr>
            <w:r>
              <w:t xml:space="preserve">처리 용량</w:t>
            </w:r>
          </w:p>
        </w:tc>
        <w:tc>
          <w:tcPr/>
          <w:p>
            <w:pPr>
              <w:pStyle w:val="Compact"/>
            </w:pPr>
            <w:r>
              <w:t xml:space="preserve">350억(35 billion) 메시지</w:t>
            </w:r>
          </w:p>
        </w:tc>
      </w:tr>
      <w:tr>
        <w:tc>
          <w:tcPr/>
          <w:p>
            <w:pPr>
              <w:pStyle w:val="Compact"/>
            </w:pPr>
            <w:r>
              <w:t xml:space="preserve">프로토콜</w:t>
            </w:r>
          </w:p>
        </w:tc>
        <w:tc>
          <w:tcPr/>
          <w:p>
            <w:pPr>
              <w:pStyle w:val="Compact"/>
            </w:pPr>
            <w:r>
              <w:t xml:space="preserve">FIX 5.0</w:t>
            </w:r>
          </w:p>
        </w:tc>
      </w:tr>
      <w:tr>
        <w:tc>
          <w:tcPr/>
          <w:p>
            <w:pPr>
              <w:pStyle w:val="Compact"/>
            </w:pPr>
            <w:r>
              <w:t xml:space="preserve">인코딩 방식</w:t>
            </w:r>
          </w:p>
        </w:tc>
        <w:tc>
          <w:tcPr/>
          <w:p>
            <w:pPr>
              <w:pStyle w:val="Compact"/>
            </w:pPr>
            <w:r>
              <w:t xml:space="preserve">SBE (Simple Binary Encoding)</w:t>
            </w:r>
          </w:p>
        </w:tc>
      </w:tr>
    </w:tbl>
    <w:p>
      <w:pPr>
        <w:pStyle w:val="BodyText"/>
      </w:pPr>
      <w:r>
        <w:t xml:space="preserve">MEMX 플랫폼으로의 전환은 이전 시스템의 안정성 문제를 근본적으로 해결하고, 급증하는 거래량에 대응하기 위한 전략적 결정이었다. 350억 메시지 처리 용량은 현재 거래량 대비 충분한 여유를 확보하고 있으며, FIX 5.0 프로토콜과 SBE 인코딩은 기관투자자 및 글로벌 브로커의 시스템 연동을 용이하게 한다.</w:t>
      </w:r>
    </w:p>
    <w:bookmarkEnd w:id="16"/>
    <w:bookmarkStart w:id="17" w:name="년-8월-시스템-장애-사태"/>
    <w:p>
      <w:pPr>
        <w:pStyle w:val="Heading3"/>
      </w:pPr>
      <w:r>
        <w:t xml:space="preserve">3.2 2024년 8월 시스템 장애 사태</w:t>
      </w:r>
    </w:p>
    <w:p>
      <w:pPr>
        <w:pStyle w:val="FirstParagraph"/>
      </w:pPr>
      <w:r>
        <w:t xml:space="preserve">2024년 8월 5일, 글로벌 금융시장의 대규모 매도세(엔 캐리 트레이드 청산, 일본 닛케이 급락 등)가 발생한 날, BOATS의</w:t>
      </w:r>
      <w:r>
        <w:t xml:space="preserve"> </w:t>
      </w:r>
      <w:r>
        <w:rPr>
          <w:b/>
          <w:bCs/>
        </w:rPr>
        <w:t xml:space="preserve">기존 매칭 엔진이 폭주하는 주문량을 감당하지 못하고 장애를 일으켰다</w:t>
      </w:r>
      <w:r>
        <w:t xml:space="preserve">. 이 사태의 규모는 다음과 같다: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장애 영향 항목</w:t>
            </w:r>
          </w:p>
        </w:tc>
        <w:tc>
          <w:tcPr/>
          <w:p>
            <w:pPr>
              <w:pStyle w:val="Compact"/>
            </w:pPr>
            <w:r>
              <w:t xml:space="preserve">규모</w:t>
            </w:r>
          </w:p>
        </w:tc>
      </w:tr>
      <w:tr>
        <w:tc>
          <w:tcPr/>
          <w:p>
            <w:pPr>
              <w:pStyle w:val="Compact"/>
            </w:pPr>
            <w:r>
              <w:t xml:space="preserve">취소된 주문 규모</w:t>
            </w:r>
          </w:p>
        </w:tc>
        <w:tc>
          <w:tcPr/>
          <w:p>
            <w:pPr>
              <w:pStyle w:val="Compact"/>
            </w:pPr>
            <w:r>
              <w:t xml:space="preserve">약 6,300억 원 (630B KRW)</w:t>
            </w:r>
          </w:p>
        </w:tc>
      </w:tr>
      <w:tr>
        <w:tc>
          <w:tcPr/>
          <w:p>
            <w:pPr>
              <w:pStyle w:val="Compact"/>
            </w:pPr>
            <w:r>
              <w:t xml:space="preserve">영향 받은 계좌 수</w:t>
            </w:r>
          </w:p>
        </w:tc>
        <w:tc>
          <w:tcPr/>
          <w:p>
            <w:pPr>
              <w:pStyle w:val="Compact"/>
            </w:pPr>
            <w:r>
              <w:t xml:space="preserve">약 90,000개</w:t>
            </w:r>
          </w:p>
        </w:tc>
      </w:tr>
      <w:tr>
        <w:tc>
          <w:tcPr/>
          <w:p>
            <w:pPr>
              <w:pStyle w:val="Compact"/>
            </w:pPr>
            <w:r>
              <w:t xml:space="preserve">한국 서비스 중단 기간</w:t>
            </w:r>
          </w:p>
        </w:tc>
        <w:tc>
          <w:tcPr/>
          <w:p>
            <w:pPr>
              <w:pStyle w:val="Compact"/>
            </w:pPr>
            <w:r>
              <w:t xml:space="preserve">약 15개월</w:t>
            </w:r>
          </w:p>
        </w:tc>
      </w:tr>
      <w:tr>
        <w:tc>
          <w:tcPr/>
          <w:p>
            <w:pPr>
              <w:pStyle w:val="Compact"/>
            </w:pPr>
            <w:r>
              <w:t xml:space="preserve">한국 서비스 재개 시점</w:t>
            </w:r>
          </w:p>
        </w:tc>
        <w:tc>
          <w:tcPr/>
          <w:p>
            <w:pPr>
              <w:pStyle w:val="Compact"/>
            </w:pPr>
            <w:r>
              <w:t xml:space="preserve">2025년 11월</w:t>
            </w:r>
          </w:p>
        </w:tc>
      </w:tr>
    </w:tbl>
    <w:p>
      <w:pPr>
        <w:pStyle w:val="BodyText"/>
      </w:pPr>
      <w:r>
        <w:t xml:space="preserve">이 장애는 특히</w:t>
      </w:r>
      <w:r>
        <w:t xml:space="preserve"> </w:t>
      </w:r>
      <w:r>
        <w:rPr>
          <w:b/>
          <w:bCs/>
        </w:rPr>
        <w:t xml:space="preserve">한국 투자자</w:t>
      </w:r>
      <w:r>
        <w:t xml:space="preserve">에게 치명적이었다. 당시 BOATS 전체 거래량의</w:t>
      </w:r>
      <w:r>
        <w:t xml:space="preserve"> </w:t>
      </w:r>
      <w:r>
        <w:rPr>
          <w:b/>
          <w:bCs/>
        </w:rPr>
        <w:t xml:space="preserve">약 65%</w:t>
      </w:r>
      <w:r>
        <w:t xml:space="preserve"> </w:t>
      </w:r>
      <w:r>
        <w:t xml:space="preserve">가 한국에서 발생하고 있었으며, 이 사태로 인해 한국 증권사들의 BOATS 연결이 약 15개월간 중단되었다. 이 기간 동안 한국 투자자들은 BOATS를 통한 야간 거래가 불가능했으며, 이는 BOATS의 한국 시장 점유율에 심대한 영향을 미쳤다.</w:t>
      </w:r>
    </w:p>
    <w:p>
      <w:pPr>
        <w:pStyle w:val="BodyText"/>
      </w:pPr>
      <w:r>
        <w:t xml:space="preserve">이 장애가 MEMX 플랫폼 마이그레이션의 직접적 계기가 되었으며, 2024년 8월 마이그레이션 이후에는 유사한 규모의 시스템 장애가 보고되지 않고 있다.</w:t>
      </w:r>
    </w:p>
    <w:p>
      <w:r>
        <w:pict>
          <v:rect style="width:0;height:1.5pt" o:hralign="center" o:hrstd="t" o:hr="t"/>
        </w:pict>
      </w:r>
    </w:p>
    <w:bookmarkEnd w:id="17"/>
    <w:bookmarkEnd w:id="18"/>
    <w:bookmarkStart w:id="19" w:name="청산결제-체계"/>
    <w:p>
      <w:pPr>
        <w:pStyle w:val="Heading2"/>
      </w:pPr>
      <w:r>
        <w:t xml:space="preserve">4. 청산·결제 체계</w:t>
      </w:r>
    </w:p>
    <w:p>
      <w:pPr>
        <w:pStyle w:val="FirstParagraph"/>
      </w:pPr>
      <w:r>
        <w:t xml:space="preserve">BOATS의 청산·결제 구조는 미국 표준 증권 결제 인프라를 활용한다.</w:t>
      </w:r>
    </w:p>
    <w:tbl>
      <w:tblPr>
        <w:tblStyle w:val="Table"/>
        <w:tblW w:type="pct" w:w="5000"/>
        <w:tblLayout w:type="fixed"/>
        <w:tblLook w:firstRow="1" w:lastRow="0" w:firstColumn="0" w:lastColumn="0" w:noHBand="0" w:noVBand="0" w:val="0020"/>
      </w:tblPr>
      <w:tblGrid>
        <w:gridCol w:w="3840"/>
        <w:gridCol w:w="2640"/>
        <w:gridCol w:w="1440"/>
      </w:tblGrid>
      <w:tr>
        <w:trPr>
          <w:tblHeader w:val="on"/>
        </w:trPr>
        <w:tc>
          <w:tcPr/>
          <w:p>
            <w:pPr>
              <w:pStyle w:val="Compact"/>
            </w:pPr>
            <w:r>
              <w:t xml:space="preserve">청산·결제 단계</w:t>
            </w:r>
          </w:p>
        </w:tc>
        <w:tc>
          <w:tcPr/>
          <w:p>
            <w:pPr>
              <w:pStyle w:val="Compact"/>
            </w:pPr>
            <w:r>
              <w:t xml:space="preserve">담당 기관</w:t>
            </w:r>
          </w:p>
        </w:tc>
        <w:tc>
          <w:tcPr/>
          <w:p>
            <w:pPr>
              <w:pStyle w:val="Compact"/>
            </w:pPr>
            <w:r>
              <w:t xml:space="preserve">역할</w:t>
            </w:r>
          </w:p>
        </w:tc>
      </w:tr>
      <w:tr>
        <w:tc>
          <w:tcPr/>
          <w:p>
            <w:pPr>
              <w:pStyle w:val="Compact"/>
            </w:pPr>
            <w:r>
              <w:t xml:space="preserve">청산 브로커</w:t>
            </w:r>
          </w:p>
        </w:tc>
        <w:tc>
          <w:tcPr/>
          <w:p>
            <w:pPr>
              <w:pStyle w:val="Compact"/>
            </w:pPr>
            <w:r>
              <w:t xml:space="preserve">Velox Clearing LLC</w:t>
            </w:r>
          </w:p>
        </w:tc>
        <w:tc>
          <w:tcPr/>
          <w:p>
            <w:pPr>
              <w:pStyle w:val="Compact"/>
            </w:pPr>
            <w:r>
              <w:t xml:space="preserve">거래 확인 및 청산 처리</w:t>
            </w:r>
          </w:p>
        </w:tc>
      </w:tr>
      <w:tr>
        <w:tc>
          <w:tcPr/>
          <w:p>
            <w:pPr>
              <w:pStyle w:val="Compact"/>
            </w:pPr>
            <w:r>
              <w:t xml:space="preserve">중앙청산</w:t>
            </w:r>
          </w:p>
        </w:tc>
        <w:tc>
          <w:tcPr/>
          <w:p>
            <w:pPr>
              <w:pStyle w:val="Compact"/>
            </w:pPr>
            <w:r>
              <w:t xml:space="preserve">NSCC (National Securities Clearing Corporation)</w:t>
            </w:r>
          </w:p>
        </w:tc>
        <w:tc>
          <w:tcPr/>
          <w:p>
            <w:pPr>
              <w:pStyle w:val="Compact"/>
            </w:pPr>
            <w:r>
              <w:t xml:space="preserve">중앙거래상대방(CCP)</w:t>
            </w:r>
          </w:p>
        </w:tc>
      </w:tr>
      <w:tr>
        <w:tc>
          <w:tcPr/>
          <w:p>
            <w:pPr>
              <w:pStyle w:val="Compact"/>
            </w:pPr>
            <w:r>
              <w:t xml:space="preserve">예탁</w:t>
            </w:r>
          </w:p>
        </w:tc>
        <w:tc>
          <w:tcPr/>
          <w:p>
            <w:pPr>
              <w:pStyle w:val="Compact"/>
            </w:pPr>
            <w:r>
              <w:t xml:space="preserve">DTC (Depository Trust Company)</w:t>
            </w:r>
          </w:p>
        </w:tc>
        <w:tc>
          <w:tcPr/>
          <w:p>
            <w:pPr>
              <w:pStyle w:val="Compact"/>
            </w:pPr>
            <w:r>
              <w:t xml:space="preserve">증권 예탁 및 결제</w:t>
            </w:r>
          </w:p>
        </w:tc>
      </w:tr>
      <w:tr>
        <w:tc>
          <w:tcPr/>
          <w:p>
            <w:pPr>
              <w:pStyle w:val="Compact"/>
            </w:pPr>
            <w:r>
              <w:t xml:space="preserve">결제 방식</w:t>
            </w:r>
          </w:p>
        </w:tc>
        <w:tc>
          <w:tcPr/>
          <w:p>
            <w:pPr>
              <w:pStyle w:val="Compact"/>
            </w:pPr>
            <w:r>
              <w:t xml:space="preserve">CNS (Continuous Net Settlement)</w:t>
            </w:r>
          </w:p>
        </w:tc>
        <w:tc>
          <w:tcPr/>
          <w:p>
            <w:pPr>
              <w:pStyle w:val="Compact"/>
            </w:pPr>
            <w:r>
              <w:t xml:space="preserve">차감결제</w:t>
            </w:r>
          </w:p>
        </w:tc>
      </w:tr>
      <w:tr>
        <w:tc>
          <w:tcPr/>
          <w:p>
            <w:pPr>
              <w:pStyle w:val="Compact"/>
            </w:pPr>
            <w:r>
              <w:t xml:space="preserve">결제 주기</w:t>
            </w:r>
          </w:p>
        </w:tc>
        <w:tc>
          <w:tcPr/>
          <w:p>
            <w:pPr>
              <w:pStyle w:val="Compact"/>
            </w:pPr>
            <w:r>
              <w:t xml:space="preserve">T+1</w:t>
            </w:r>
          </w:p>
        </w:tc>
        <w:tc>
          <w:tcPr/>
          <w:p>
            <w:pPr>
              <w:pStyle w:val="Compact"/>
            </w:pPr>
            <w:r>
              <w:t xml:space="preserve">거래일 익영업일 결제</w:t>
            </w:r>
          </w:p>
        </w:tc>
      </w:tr>
    </w:tbl>
    <w:p>
      <w:pPr>
        <w:pStyle w:val="BodyText"/>
      </w:pPr>
      <w:r>
        <w:t xml:space="preserve">특히 주목할 점은</w:t>
      </w:r>
      <w:r>
        <w:t xml:space="preserve"> </w:t>
      </w:r>
      <w:r>
        <w:rPr>
          <w:b/>
          <w:bCs/>
        </w:rPr>
        <w:t xml:space="preserve">2026년 3월</w:t>
      </w:r>
      <w:r>
        <w:t xml:space="preserve"> </w:t>
      </w:r>
      <w:r>
        <w:t xml:space="preserve">기준</w:t>
      </w:r>
      <w:r>
        <w:t xml:space="preserve"> </w:t>
      </w:r>
      <w:r>
        <w:rPr>
          <w:b/>
          <w:bCs/>
        </w:rPr>
        <w:t xml:space="preserve">RQD* Clearing</w:t>
      </w:r>
      <w:r>
        <w:t xml:space="preserve">과의 파트너십을 통해</w:t>
      </w:r>
      <w:r>
        <w:t xml:space="preserve"> </w:t>
      </w:r>
      <w:r>
        <w:rPr>
          <w:b/>
          <w:bCs/>
        </w:rPr>
        <w:t xml:space="preserve">토큰화된 NMS 주식(tokenized NMS equities)</w:t>
      </w:r>
      <w:r>
        <w:t xml:space="preserve"> </w:t>
      </w:r>
      <w:r>
        <w:t xml:space="preserve">의 청산을 추진하고 있다는 것이다. 이는 블록체인 기반 증권 결제라는 차세대 인프라를 선도적으로 도입하려는 시도로, 향후 결제 효율성과 투명성을 획기적으로 개선할 가능성이 있다.</w:t>
      </w:r>
    </w:p>
    <w:p>
      <w:r>
        <w:pict>
          <v:rect style="width:0;height:1.5pt" o:hralign="center" o:hrstd="t" o:hr="t"/>
        </w:pict>
      </w:r>
    </w:p>
    <w:bookmarkEnd w:id="19"/>
    <w:bookmarkStart w:id="20" w:name="시장-데이터-배포"/>
    <w:p>
      <w:pPr>
        <w:pStyle w:val="Heading2"/>
      </w:pPr>
      <w:r>
        <w:t xml:space="preserve">5. 시장 데이터 배포</w:t>
      </w:r>
    </w:p>
    <w:p>
      <w:pPr>
        <w:pStyle w:val="FirstParagraph"/>
      </w:pPr>
      <w:r>
        <w:t xml:space="preserve">야간 거래 시간대에는</w:t>
      </w:r>
      <w:r>
        <w:t xml:space="preserve"> </w:t>
      </w:r>
      <w:r>
        <w:rPr>
          <w:b/>
          <w:bCs/>
        </w:rPr>
        <w:t xml:space="preserve">SIP(Securities Information Processor)</w:t>
      </w:r>
      <w:r>
        <w:t xml:space="preserve"> </w:t>
      </w:r>
      <w:r>
        <w:t xml:space="preserve">가 가동되지 않으므로, BOATS는 자체적인 시장 데이터 배포 체계를 구축하고 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데이터 유형</w:t>
            </w:r>
          </w:p>
        </w:tc>
        <w:tc>
          <w:tcPr/>
          <w:p>
            <w:pPr>
              <w:pStyle w:val="Compact"/>
            </w:pPr>
            <w:r>
              <w:t xml:space="preserve">배포 채널</w:t>
            </w:r>
          </w:p>
        </w:tc>
        <w:tc>
          <w:tcPr/>
          <w:p>
            <w:pPr>
              <w:pStyle w:val="Compact"/>
            </w:pPr>
            <w:r>
              <w:t xml:space="preserve">비고</w:t>
            </w:r>
          </w:p>
        </w:tc>
      </w:tr>
      <w:tr>
        <w:tc>
          <w:tcPr/>
          <w:p>
            <w:pPr>
              <w:pStyle w:val="Compact"/>
            </w:pPr>
            <w:r>
              <w:t xml:space="preserve">Level 1 (최우선 호가)</w:t>
            </w:r>
          </w:p>
        </w:tc>
        <w:tc>
          <w:tcPr/>
          <w:p>
            <w:pPr>
              <w:pStyle w:val="Compact"/>
            </w:pPr>
            <w:r>
              <w:t xml:space="preserve">BOATS 자체 피드</w:t>
            </w:r>
          </w:p>
        </w:tc>
        <w:tc>
          <w:tcPr/>
          <w:p>
            <w:pPr>
              <w:pStyle w:val="Compact"/>
            </w:pPr>
            <w:r>
              <w:t xml:space="preserve">실시간</w:t>
            </w:r>
          </w:p>
        </w:tc>
      </w:tr>
      <w:tr>
        <w:tc>
          <w:tcPr/>
          <w:p>
            <w:pPr>
              <w:pStyle w:val="Compact"/>
            </w:pPr>
            <w:r>
              <w:t xml:space="preserve">Level 2 (호가창)</w:t>
            </w:r>
          </w:p>
        </w:tc>
        <w:tc>
          <w:tcPr/>
          <w:p>
            <w:pPr>
              <w:pStyle w:val="Compact"/>
            </w:pPr>
            <w:r>
              <w:t xml:space="preserve">BOATS 자체 피드</w:t>
            </w:r>
          </w:p>
        </w:tc>
        <w:tc>
          <w:tcPr/>
          <w:p>
            <w:pPr>
              <w:pStyle w:val="Compact"/>
            </w:pPr>
            <w:r>
              <w:t xml:space="preserve">실시간</w:t>
            </w:r>
          </w:p>
        </w:tc>
      </w:tr>
      <w:tr>
        <w:tc>
          <w:tcPr/>
          <w:p>
            <w:pPr>
              <w:pStyle w:val="Compact"/>
            </w:pPr>
            <w:r>
              <w:t xml:space="preserve">터미널 서비스</w:t>
            </w:r>
          </w:p>
        </w:tc>
        <w:tc>
          <w:tcPr/>
          <w:p>
            <w:pPr>
              <w:pStyle w:val="Compact"/>
            </w:pPr>
            <w:r>
              <w:t xml:space="preserve">Bloomberg Terminal</w:t>
            </w:r>
          </w:p>
        </w:tc>
        <w:tc>
          <w:tcPr/>
          <w:p>
            <w:pPr>
              <w:pStyle w:val="Compact"/>
            </w:pPr>
            <w:r>
              <w:t xml:space="preserve">2025년 9월 연동</w:t>
            </w:r>
          </w:p>
        </w:tc>
      </w:tr>
      <w:tr>
        <w:tc>
          <w:tcPr/>
          <w:p>
            <w:pPr>
              <w:pStyle w:val="Compact"/>
            </w:pPr>
            <w:r>
              <w:t xml:space="preserve">클라우드 스트리밍</w:t>
            </w:r>
          </w:p>
        </w:tc>
        <w:tc>
          <w:tcPr/>
          <w:p>
            <w:pPr>
              <w:pStyle w:val="Compact"/>
            </w:pPr>
            <w:r>
              <w:t xml:space="preserve">NYSE Cloud Streaming</w:t>
            </w:r>
          </w:p>
        </w:tc>
        <w:tc>
          <w:tcPr/>
          <w:p>
            <w:pPr>
              <w:pStyle w:val="Compact"/>
            </w:pPr>
            <w:r>
              <w:t xml:space="preserve">실시간</w:t>
            </w:r>
          </w:p>
        </w:tc>
      </w:tr>
      <w:tr>
        <w:tc>
          <w:tcPr/>
          <w:p>
            <w:pPr>
              <w:pStyle w:val="Compact"/>
            </w:pPr>
            <w:r>
              <w:t xml:space="preserve">차트 플랫폼</w:t>
            </w:r>
          </w:p>
        </w:tc>
        <w:tc>
          <w:tcPr/>
          <w:p>
            <w:pPr>
              <w:pStyle w:val="Compact"/>
            </w:pPr>
            <w:r>
              <w:t xml:space="preserve">TradingView</w:t>
            </w:r>
          </w:p>
        </w:tc>
        <w:tc>
          <w:tcPr/>
          <w:p>
            <w:pPr>
              <w:pStyle w:val="Compact"/>
            </w:pPr>
            <w:r>
              <w:t xml:space="preserve">리테일 투자자 대상</w:t>
            </w:r>
          </w:p>
        </w:tc>
      </w:tr>
      <w:tr>
        <w:tc>
          <w:tcPr/>
          <w:p>
            <w:pPr>
              <w:pStyle w:val="Compact"/>
            </w:pPr>
            <w:r>
              <w:t xml:space="preserve">DeFi 오라클</w:t>
            </w:r>
          </w:p>
        </w:tc>
        <w:tc>
          <w:tcPr/>
          <w:p>
            <w:pPr>
              <w:pStyle w:val="Compact"/>
            </w:pPr>
            <w:r>
              <w:t xml:space="preserve">Pyth Network</w:t>
            </w:r>
          </w:p>
        </w:tc>
        <w:tc>
          <w:tcPr/>
          <w:p>
            <w:pPr>
              <w:pStyle w:val="Compact"/>
            </w:pPr>
            <w:r>
              <w:t xml:space="preserve">온체인 데이터</w:t>
            </w:r>
          </w:p>
        </w:tc>
      </w:tr>
      <w:tr>
        <w:tc>
          <w:tcPr/>
          <w:p>
            <w:pPr>
              <w:pStyle w:val="Compact"/>
            </w:pPr>
            <w:r>
              <w:t xml:space="preserve">데이터 피드</w:t>
            </w:r>
          </w:p>
        </w:tc>
        <w:tc>
          <w:tcPr/>
          <w:p>
            <w:pPr>
              <w:pStyle w:val="Compact"/>
            </w:pPr>
            <w:r>
              <w:t xml:space="preserve">dxFeed</w:t>
            </w:r>
          </w:p>
        </w:tc>
        <w:tc>
          <w:tcPr/>
          <w:p>
            <w:pPr>
              <w:pStyle w:val="Compact"/>
            </w:pPr>
            <w:r>
              <w:t xml:space="preserve">기관투자자 대상</w:t>
            </w:r>
          </w:p>
        </w:tc>
      </w:tr>
    </w:tbl>
    <w:p>
      <w:pPr>
        <w:pStyle w:val="BodyText"/>
      </w:pPr>
      <w:r>
        <w:t xml:space="preserve">2025년 9월</w:t>
      </w:r>
      <w:r>
        <w:t xml:space="preserve"> </w:t>
      </w:r>
      <w:r>
        <w:rPr>
          <w:b/>
          <w:bCs/>
        </w:rPr>
        <w:t xml:space="preserve">Bloomberg Terminal</w:t>
      </w:r>
      <w:r>
        <w:t xml:space="preserve"> </w:t>
      </w:r>
      <w:r>
        <w:t xml:space="preserve">연동은 BOATS의 기관투자자 접근성을 획기적으로 높인 이정표적 사건이다. 전 세계 주요 자산운용사, 헤지펀드, 은행의 트레이더가 Bloomberg을 통해 BOATS의 실시간 시세를 확인하고 주문을 집행할 수 있게 되었다. 또한</w:t>
      </w:r>
      <w:r>
        <w:t xml:space="preserve"> </w:t>
      </w:r>
      <w:r>
        <w:rPr>
          <w:b/>
          <w:bCs/>
        </w:rPr>
        <w:t xml:space="preserve">Pyth Network</w:t>
      </w:r>
      <w:r>
        <w:t xml:space="preserve"> </w:t>
      </w:r>
      <w:r>
        <w:t xml:space="preserve">연동은 DeFi(탈중앙화 금융) 생태계와의 접점을 마련한 것으로, 토큰화 증권 전략과 시너지를 형성할 수 있는 요소이다.</w:t>
      </w:r>
    </w:p>
    <w:p>
      <w:r>
        <w:pict>
          <v:rect style="width:0;height:1.5pt" o:hralign="center" o:hrstd="t" o:hr="t"/>
        </w:pict>
      </w:r>
    </w:p>
    <w:bookmarkEnd w:id="20"/>
    <w:bookmarkStart w:id="24" w:name="한국-시장과의-관계"/>
    <w:p>
      <w:pPr>
        <w:pStyle w:val="Heading2"/>
      </w:pPr>
      <w:r>
        <w:t xml:space="preserve">6. 한국 시장과의 관계</w:t>
      </w:r>
    </w:p>
    <w:bookmarkStart w:id="21" w:name="한국-증권사-파트너십-현황"/>
    <w:p>
      <w:pPr>
        <w:pStyle w:val="Heading3"/>
      </w:pPr>
      <w:r>
        <w:t xml:space="preserve">6.1 한국 증권사 파트너십 현황</w:t>
      </w:r>
    </w:p>
    <w:p>
      <w:pPr>
        <w:pStyle w:val="FirstParagraph"/>
      </w:pPr>
      <w:r>
        <w:t xml:space="preserve">BOATS와 한국 시장의 관계는</w:t>
      </w:r>
      <w:r>
        <w:t xml:space="preserve"> </w:t>
      </w:r>
      <w:r>
        <w:rPr>
          <w:b/>
          <w:bCs/>
        </w:rPr>
        <w:t xml:space="preserve">2022년 2월 삼성증권(Samsung Securities)</w:t>
      </w:r>
      <w:r>
        <w:t xml:space="preserve"> </w:t>
      </w:r>
      <w:r>
        <w:t xml:space="preserve">과의 제휴로 시작되었다. 삼성증권은 BOATS의</w:t>
      </w:r>
      <w:r>
        <w:t xml:space="preserve"> </w:t>
      </w:r>
      <w:r>
        <w:rPr>
          <w:b/>
          <w:bCs/>
        </w:rPr>
        <w:t xml:space="preserve">최초 파트너 증권사</w:t>
      </w:r>
      <w:r>
        <w:t xml:space="preserve">로서, 한국 투자자들이 한국 주간 시간대에 미국 주식을 거래할 수 있는 서비스를 최초로 제공하였다.</w:t>
      </w:r>
    </w:p>
    <w:p>
      <w:pPr>
        <w:pStyle w:val="BodyText"/>
      </w:pPr>
      <w:r>
        <w:t xml:space="preserve">이후 파트너십은 빠르게 확대되어</w:t>
      </w:r>
      <w:r>
        <w:t xml:space="preserve"> </w:t>
      </w:r>
      <w:r>
        <w:rPr>
          <w:b/>
          <w:bCs/>
        </w:rPr>
        <w:t xml:space="preserve">미래에셋증권(Mirae Asset Securities)</w:t>
      </w:r>
      <w:r>
        <w:t xml:space="preserve">,</w:t>
      </w:r>
      <w:r>
        <w:t xml:space="preserve"> </w:t>
      </w:r>
      <w:r>
        <w:rPr>
          <w:b/>
          <w:bCs/>
        </w:rPr>
        <w:t xml:space="preserve">한국투자증권(Korea Investment &amp; Securities)</w:t>
      </w:r>
      <w:r>
        <w:t xml:space="preserve"> </w:t>
      </w:r>
      <w:r>
        <w:t xml:space="preserve">등 주요 증권사로 이어졌으며, 현재는</w:t>
      </w:r>
      <w:r>
        <w:t xml:space="preserve"> </w:t>
      </w:r>
      <w:r>
        <w:rPr>
          <w:b/>
          <w:bCs/>
        </w:rPr>
        <w:t xml:space="preserve">거의 모든 한국 증권사</w:t>
      </w:r>
      <w:r>
        <w:t xml:space="preserve">가 BOATS를 통한 야간 미국 주식 거래 서비스를 제공하고 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시점</w:t>
            </w:r>
          </w:p>
        </w:tc>
        <w:tc>
          <w:tcPr/>
          <w:p>
            <w:pPr>
              <w:pStyle w:val="Compact"/>
            </w:pPr>
            <w:r>
              <w:t xml:space="preserve">파트너십 이벤트</w:t>
            </w:r>
          </w:p>
        </w:tc>
      </w:tr>
      <w:tr>
        <w:tc>
          <w:tcPr/>
          <w:p>
            <w:pPr>
              <w:pStyle w:val="Compact"/>
            </w:pPr>
            <w:r>
              <w:t xml:space="preserve">2022년 2월</w:t>
            </w:r>
          </w:p>
        </w:tc>
        <w:tc>
          <w:tcPr/>
          <w:p>
            <w:pPr>
              <w:pStyle w:val="Compact"/>
            </w:pPr>
            <w:r>
              <w:t xml:space="preserve">삼성증권 최초 연결</w:t>
            </w:r>
          </w:p>
        </w:tc>
      </w:tr>
      <w:tr>
        <w:tc>
          <w:tcPr/>
          <w:p>
            <w:pPr>
              <w:pStyle w:val="Compact"/>
            </w:pPr>
            <w:r>
              <w:t xml:space="preserve">2022~2024년</w:t>
            </w:r>
          </w:p>
        </w:tc>
        <w:tc>
          <w:tcPr/>
          <w:p>
            <w:pPr>
              <w:pStyle w:val="Compact"/>
            </w:pPr>
            <w:r>
              <w:t xml:space="preserve">미래에셋, 한국투자증권 등 순차 연결</w:t>
            </w:r>
          </w:p>
        </w:tc>
      </w:tr>
      <w:tr>
        <w:tc>
          <w:tcPr/>
          <w:p>
            <w:pPr>
              <w:pStyle w:val="Compact"/>
            </w:pPr>
            <w:r>
              <w:t xml:space="preserve">2024년 8월</w:t>
            </w:r>
          </w:p>
        </w:tc>
        <w:tc>
          <w:tcPr/>
          <w:p>
            <w:pPr>
              <w:pStyle w:val="Compact"/>
            </w:pPr>
            <w:r>
              <w:t xml:space="preserve">시스템 장애로 한국 서비스 전면 중단</w:t>
            </w:r>
          </w:p>
        </w:tc>
      </w:tr>
      <w:tr>
        <w:tc>
          <w:tcPr/>
          <w:p>
            <w:pPr>
              <w:pStyle w:val="Compact"/>
            </w:pPr>
            <w:r>
              <w:t xml:space="preserve">2025년 11월</w:t>
            </w:r>
          </w:p>
        </w:tc>
        <w:tc>
          <w:tcPr/>
          <w:p>
            <w:pPr>
              <w:pStyle w:val="Compact"/>
            </w:pPr>
            <w:r>
              <w:t xml:space="preserve">한국 서비스 재개</w:t>
            </w:r>
          </w:p>
        </w:tc>
      </w:tr>
      <w:tr>
        <w:tc>
          <w:tcPr/>
          <w:p>
            <w:pPr>
              <w:pStyle w:val="Compact"/>
            </w:pPr>
            <w:r>
              <w:t xml:space="preserve">현재</w:t>
            </w:r>
          </w:p>
        </w:tc>
        <w:tc>
          <w:tcPr/>
          <w:p>
            <w:pPr>
              <w:pStyle w:val="Compact"/>
            </w:pPr>
            <w:r>
              <w:t xml:space="preserve">거의 모든 한국 주요 증권사 연결</w:t>
            </w:r>
          </w:p>
        </w:tc>
      </w:tr>
    </w:tbl>
    <w:bookmarkEnd w:id="21"/>
    <w:bookmarkStart w:id="22" w:name="한국-투자자-비중-및-거래량"/>
    <w:p>
      <w:pPr>
        <w:pStyle w:val="Heading3"/>
      </w:pPr>
      <w:r>
        <w:t xml:space="preserve">6.2 한국 투자자 비중 및 거래량</w:t>
      </w:r>
    </w:p>
    <w:p>
      <w:pPr>
        <w:pStyle w:val="FirstParagraph"/>
      </w:pPr>
      <w:r>
        <w:t xml:space="preserve">한국 투자자는 BOATS의 성장에 가장 결정적인 역할을 한 시장이다. 그러나 2024년 8월 장애 이후 그 비중에 현저한 변화가 발생하였다.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시기</w:t>
            </w:r>
          </w:p>
        </w:tc>
        <w:tc>
          <w:tcPr/>
          <w:p>
            <w:pPr>
              <w:pStyle w:val="Compact"/>
            </w:pPr>
            <w:r>
              <w:t xml:space="preserve">한국 투자자 비중</w:t>
            </w:r>
          </w:p>
        </w:tc>
        <w:tc>
          <w:tcPr/>
          <w:p>
            <w:pPr>
              <w:pStyle w:val="Compact"/>
            </w:pPr>
            <w:r>
              <w:t xml:space="preserve">비고</w:t>
            </w:r>
          </w:p>
        </w:tc>
      </w:tr>
      <w:tr>
        <w:tc>
          <w:tcPr/>
          <w:p>
            <w:pPr>
              <w:pStyle w:val="Compact"/>
            </w:pPr>
            <w:r>
              <w:t xml:space="preserve">2024년 8월 이전</w:t>
            </w:r>
          </w:p>
        </w:tc>
        <w:tc>
          <w:tcPr/>
          <w:p>
            <w:pPr>
              <w:pStyle w:val="Compact"/>
            </w:pPr>
            <w:r>
              <w:t xml:space="preserve">전체 거래량의 ~65%</w:t>
            </w:r>
          </w:p>
        </w:tc>
        <w:tc>
          <w:tcPr/>
          <w:p>
            <w:pPr>
              <w:pStyle w:val="Compact"/>
            </w:pPr>
            <w:r>
              <w:t xml:space="preserve">BOATS 주요 수익원</w:t>
            </w:r>
          </w:p>
        </w:tc>
      </w:tr>
      <w:tr>
        <w:tc>
          <w:tcPr/>
          <w:p>
            <w:pPr>
              <w:pStyle w:val="Compact"/>
            </w:pPr>
            <w:r>
              <w:t xml:space="preserve">장애 기간 (2024.8~2025.11)</w:t>
            </w:r>
          </w:p>
        </w:tc>
        <w:tc>
          <w:tcPr/>
          <w:p>
            <w:pPr>
              <w:pStyle w:val="Compact"/>
            </w:pPr>
            <w:r>
              <w:t xml:space="preserve">0% (서비스 중단)</w:t>
            </w:r>
          </w:p>
        </w:tc>
        <w:tc>
          <w:tcPr/>
          <w:p>
            <w:pPr>
              <w:pStyle w:val="Compact"/>
            </w:pPr>
            <w:r>
              <w:t xml:space="preserve">15개월간 완전 단절</w:t>
            </w:r>
          </w:p>
        </w:tc>
      </w:tr>
      <w:tr>
        <w:tc>
          <w:tcPr/>
          <w:p>
            <w:pPr>
              <w:pStyle w:val="Compact"/>
            </w:pPr>
            <w:r>
              <w:t xml:space="preserve">2025년 11월 이후</w:t>
            </w:r>
          </w:p>
        </w:tc>
        <w:tc>
          <w:tcPr/>
          <w:p>
            <w:pPr>
              <w:pStyle w:val="Compact"/>
            </w:pPr>
            <w:r>
              <w:t xml:space="preserve">전체 거래량의 ~35%</w:t>
            </w:r>
          </w:p>
        </w:tc>
        <w:tc>
          <w:tcPr/>
          <w:p>
            <w:pPr>
              <w:pStyle w:val="Compact"/>
            </w:pPr>
            <w:r>
              <w:t xml:space="preserve">서비스 재개 후 회복 중</w:t>
            </w:r>
          </w:p>
        </w:tc>
      </w:tr>
    </w:tbl>
    <w:p>
      <w:pPr>
        <w:pStyle w:val="BodyText"/>
      </w:pPr>
      <w:r>
        <w:t xml:space="preserve">한국 비중이 65%에서 35%로 감소한 것은, 15개월간의 공백 기간 동안 미국 내 기관투자자 및 다른 지역 투자자의 참여가 크게 증가했음을 의미한다. 이는 BOATS 입장에서 지역적 집중 리스크가 완화된 긍정적 변화이기도 하다.</w:t>
      </w:r>
    </w:p>
    <w:bookmarkEnd w:id="22"/>
    <w:bookmarkStart w:id="23" w:name="서울-오피스-및-아시아-전략"/>
    <w:p>
      <w:pPr>
        <w:pStyle w:val="Heading3"/>
      </w:pPr>
      <w:r>
        <w:t xml:space="preserve">6.3 서울 오피스 및 아시아 전략</w:t>
      </w:r>
    </w:p>
    <w:p>
      <w:pPr>
        <w:pStyle w:val="FirstParagraph"/>
      </w:pPr>
      <w:r>
        <w:t xml:space="preserve">BOATS는</w:t>
      </w:r>
      <w:r>
        <w:t xml:space="preserve"> </w:t>
      </w:r>
      <w:r>
        <w:rPr>
          <w:b/>
          <w:bCs/>
        </w:rPr>
        <w:t xml:space="preserve">2026년 초</w:t>
      </w:r>
      <w:r>
        <w:t xml:space="preserve"> </w:t>
      </w:r>
      <w:r>
        <w:t xml:space="preserve">서울에 오피스를 개설하였으며, 서울을</w:t>
      </w:r>
      <w:r>
        <w:t xml:space="preserve"> </w:t>
      </w:r>
      <w:r>
        <w:rPr>
          <w:b/>
          <w:bCs/>
        </w:rPr>
        <w:t xml:space="preserve">“아시아 전략의 허브(Hub of Asia Strategy)”</w:t>
      </w:r>
      <w:r>
        <w:t xml:space="preserve"> </w:t>
      </w:r>
      <w:r>
        <w:t xml:space="preserve">로 공식 지정하였다. 이는 다음과 같은 전략적 의미를 가진다:</w:t>
      </w:r>
    </w:p>
    <w:p>
      <w:pPr>
        <w:pStyle w:val="Compact"/>
        <w:numPr>
          <w:ilvl w:val="0"/>
          <w:numId w:val="1001"/>
        </w:numPr>
      </w:pPr>
      <w:r>
        <w:rPr>
          <w:b/>
          <w:bCs/>
        </w:rPr>
        <w:t xml:space="preserve">한국 증권사 및 규제기관과의 직접적 소통 채널</w:t>
      </w:r>
      <w:r>
        <w:t xml:space="preserve"> </w:t>
      </w:r>
      <w:r>
        <w:t xml:space="preserve">확보</w:t>
      </w:r>
    </w:p>
    <w:p>
      <w:pPr>
        <w:pStyle w:val="Compact"/>
        <w:numPr>
          <w:ilvl w:val="0"/>
          <w:numId w:val="1001"/>
        </w:numPr>
      </w:pPr>
      <w:r>
        <w:rPr>
          <w:b/>
          <w:bCs/>
        </w:rPr>
        <w:t xml:space="preserve">아시아 시간대</w:t>
      </w:r>
      <w:r>
        <w:t xml:space="preserve"> </w:t>
      </w:r>
      <w:r>
        <w:t xml:space="preserve">비즈니스 개발 및 기술 지원 거점</w:t>
      </w:r>
    </w:p>
    <w:p>
      <w:pPr>
        <w:pStyle w:val="Compact"/>
        <w:numPr>
          <w:ilvl w:val="0"/>
          <w:numId w:val="1001"/>
        </w:numPr>
      </w:pPr>
      <w:r>
        <w:t xml:space="preserve">JPX(5% 지분) 등 일본 파트너와의</w:t>
      </w:r>
      <w:r>
        <w:t xml:space="preserve"> </w:t>
      </w:r>
      <w:r>
        <w:rPr>
          <w:b/>
          <w:bCs/>
        </w:rPr>
        <w:t xml:space="preserve">지리적 연계</w:t>
      </w:r>
      <w:r>
        <w:t xml:space="preserve"> </w:t>
      </w:r>
      <w:r>
        <w:t xml:space="preserve">강화</w:t>
      </w:r>
    </w:p>
    <w:p>
      <w:pPr>
        <w:pStyle w:val="Compact"/>
        <w:numPr>
          <w:ilvl w:val="0"/>
          <w:numId w:val="1001"/>
        </w:numPr>
      </w:pPr>
      <w:r>
        <w:t xml:space="preserve">동남아, 대만, 홍콩 등</w:t>
      </w:r>
      <w:r>
        <w:t xml:space="preserve"> </w:t>
      </w:r>
      <w:r>
        <w:rPr>
          <w:b/>
          <w:bCs/>
        </w:rPr>
        <w:t xml:space="preserve">아시아 확장의 교두보</w:t>
      </w:r>
      <w:r>
        <w:t xml:space="preserve"> </w:t>
      </w:r>
      <w:r>
        <w:t xml:space="preserve">역할</w:t>
      </w:r>
    </w:p>
    <w:p>
      <w:r>
        <w:pict>
          <v:rect style="width:0;height:1.5pt" o:hralign="center" o:hrstd="t" o:hr="t"/>
        </w:pict>
      </w:r>
    </w:p>
    <w:bookmarkEnd w:id="23"/>
    <w:bookmarkEnd w:id="24"/>
    <w:bookmarkStart w:id="25" w:name="경쟁-구도"/>
    <w:p>
      <w:pPr>
        <w:pStyle w:val="Heading2"/>
      </w:pPr>
      <w:r>
        <w:t xml:space="preserve">7. 경쟁 구도</w:t>
      </w:r>
    </w:p>
    <w:p>
      <w:pPr>
        <w:pStyle w:val="FirstParagraph"/>
      </w:pPr>
      <w:r>
        <w:t xml:space="preserve">2025~2026년 현재, 미국 야간 주식 거래 시장은 급속히 경쟁이 심화되고 있다. BOATS는 선점 효과를 누리고 있으나 강력한 경쟁자들이 진입 중이다.</w:t>
      </w:r>
    </w:p>
    <w:tbl>
      <w:tblPr>
        <w:tblStyle w:val="Table"/>
        <w:tblW w:type="pct" w:w="5000"/>
        <w:tblLayout w:type="fixed"/>
        <w:tblLook w:firstRow="1" w:lastRow="0" w:firstColumn="0" w:lastColumn="0" w:noHBand="0" w:noVBand="0" w:val="0020"/>
      </w:tblPr>
      <w:tblGrid>
        <w:gridCol w:w="3009"/>
        <w:gridCol w:w="950"/>
        <w:gridCol w:w="950"/>
        <w:gridCol w:w="3009"/>
      </w:tblGrid>
      <w:tr>
        <w:trPr>
          <w:tblHeader w:val="on"/>
        </w:trPr>
        <w:tc>
          <w:tcPr/>
          <w:p>
            <w:pPr>
              <w:pStyle w:val="Compact"/>
            </w:pPr>
            <w:r>
              <w:t xml:space="preserve">경쟁사/이니셔티브</w:t>
            </w:r>
          </w:p>
        </w:tc>
        <w:tc>
          <w:tcPr/>
          <w:p>
            <w:pPr>
              <w:pStyle w:val="Compact"/>
            </w:pPr>
            <w:r>
              <w:t xml:space="preserve">현황</w:t>
            </w:r>
          </w:p>
        </w:tc>
        <w:tc>
          <w:tcPr/>
          <w:p>
            <w:pPr>
              <w:pStyle w:val="Compact"/>
            </w:pPr>
            <w:r>
              <w:t xml:space="preserve">특징</w:t>
            </w:r>
          </w:p>
        </w:tc>
        <w:tc>
          <w:tcPr/>
          <w:p>
            <w:pPr>
              <w:pStyle w:val="Compact"/>
            </w:pPr>
            <w:r>
              <w:t xml:space="preserve">BOATS 대비 위협도</w:t>
            </w:r>
          </w:p>
        </w:tc>
      </w:tr>
      <w:tr>
        <w:tc>
          <w:tcPr/>
          <w:p>
            <w:pPr>
              <w:pStyle w:val="Compact"/>
            </w:pPr>
            <w:r>
              <w:rPr>
                <w:b/>
                <w:bCs/>
              </w:rPr>
              <w:t xml:space="preserve">Blue Ocean ATS</w:t>
            </w:r>
          </w:p>
        </w:tc>
        <w:tc>
          <w:tcPr/>
          <w:p>
            <w:pPr>
              <w:pStyle w:val="Compact"/>
            </w:pPr>
            <w:r>
              <w:t xml:space="preserve">운영 중</w:t>
            </w:r>
          </w:p>
        </w:tc>
        <w:tc>
          <w:tcPr/>
          <w:p>
            <w:pPr>
              <w:pStyle w:val="Compact"/>
            </w:pPr>
            <w:r>
              <w:t xml:space="preserve">시장 선도자, ~83-95% 점유율</w:t>
            </w:r>
          </w:p>
        </w:tc>
        <w:tc>
          <w:tcPr/>
          <w:p>
            <w:pPr>
              <w:pStyle w:val="Compact"/>
            </w:pPr>
            <w:r>
              <w:t xml:space="preserve">- (기준)</w:t>
            </w:r>
          </w:p>
        </w:tc>
      </w:tr>
      <w:tr>
        <w:tc>
          <w:tcPr/>
          <w:p>
            <w:pPr>
              <w:pStyle w:val="Compact"/>
            </w:pPr>
            <w:r>
              <w:rPr>
                <w:b/>
                <w:bCs/>
              </w:rPr>
              <w:t xml:space="preserve">24X National Exchange</w:t>
            </w:r>
          </w:p>
        </w:tc>
        <w:tc>
          <w:tcPr/>
          <w:p>
            <w:pPr>
              <w:pStyle w:val="Compact"/>
            </w:pPr>
            <w:r>
              <w:t xml:space="preserve">SEC 승인, 아직 야간 미개시</w:t>
            </w:r>
          </w:p>
        </w:tc>
        <w:tc>
          <w:tcPr/>
          <w:p>
            <w:pPr>
              <w:pStyle w:val="Compact"/>
            </w:pPr>
            <w:r>
              <w:t xml:space="preserve">24시간 정규거래소 지향</w:t>
            </w:r>
          </w:p>
        </w:tc>
        <w:tc>
          <w:tcPr/>
          <w:p>
            <w:pPr>
              <w:pStyle w:val="Compact"/>
            </w:pPr>
            <w:r>
              <w:t xml:space="preserve">높음 (장기)</w:t>
            </w:r>
          </w:p>
        </w:tc>
      </w:tr>
      <w:tr>
        <w:tc>
          <w:tcPr/>
          <w:p>
            <w:pPr>
              <w:pStyle w:val="Compact"/>
            </w:pPr>
            <w:r>
              <w:rPr>
                <w:b/>
                <w:bCs/>
              </w:rPr>
              <w:t xml:space="preserve">Nasdaq Night</w:t>
            </w:r>
          </w:p>
        </w:tc>
        <w:tc>
          <w:tcPr/>
          <w:p>
            <w:pPr>
              <w:pStyle w:val="Compact"/>
            </w:pPr>
            <w:r>
              <w:t xml:space="preserve">2026년 하반기 예정</w:t>
            </w:r>
          </w:p>
        </w:tc>
        <w:tc>
          <w:tcPr/>
          <w:p>
            <w:pPr>
              <w:pStyle w:val="Compact"/>
            </w:pPr>
            <w:r>
              <w:t xml:space="preserve">Nasdaq 브랜드 파워 및 기존 인프라</w:t>
            </w:r>
          </w:p>
        </w:tc>
        <w:tc>
          <w:tcPr/>
          <w:p>
            <w:pPr>
              <w:pStyle w:val="Compact"/>
            </w:pPr>
            <w:r>
              <w:t xml:space="preserve">매우 높음</w:t>
            </w:r>
          </w:p>
        </w:tc>
      </w:tr>
      <w:tr>
        <w:tc>
          <w:tcPr/>
          <w:p>
            <w:pPr>
              <w:pStyle w:val="Compact"/>
            </w:pPr>
            <w:r>
              <w:rPr>
                <w:b/>
                <w:bCs/>
              </w:rPr>
              <w:t xml:space="preserve">NYSE Bruce</w:t>
            </w:r>
            <w:r>
              <w:t xml:space="preserve"> </w:t>
            </w:r>
            <w:r>
              <w:t xml:space="preserve">(자회사)</w:t>
            </w:r>
          </w:p>
        </w:tc>
        <w:tc>
          <w:tcPr/>
          <w:p>
            <w:pPr>
              <w:pStyle w:val="Compact"/>
            </w:pPr>
            <w:r>
              <w:t xml:space="preserve">준비 중</w:t>
            </w:r>
          </w:p>
        </w:tc>
        <w:tc>
          <w:tcPr/>
          <w:p>
            <w:pPr>
              <w:pStyle w:val="Compact"/>
            </w:pPr>
            <w:r>
              <w:t xml:space="preserve">NYSE 산하 신설 법인</w:t>
            </w:r>
          </w:p>
        </w:tc>
        <w:tc>
          <w:tcPr/>
          <w:p>
            <w:pPr>
              <w:pStyle w:val="Compact"/>
            </w:pPr>
            <w:r>
              <w:t xml:space="preserve">매우 높음</w:t>
            </w:r>
          </w:p>
        </w:tc>
      </w:tr>
      <w:tr>
        <w:tc>
          <w:tcPr/>
          <w:p>
            <w:pPr>
              <w:pStyle w:val="Compact"/>
            </w:pPr>
            <w:r>
              <w:rPr>
                <w:b/>
                <w:bCs/>
              </w:rPr>
              <w:t xml:space="preserve">MOON/Moonlight</w:t>
            </w:r>
          </w:p>
        </w:tc>
        <w:tc>
          <w:tcPr/>
          <w:p>
            <w:pPr>
              <w:pStyle w:val="Compact"/>
            </w:pPr>
            <w:r>
              <w:t xml:space="preserve">운영 중</w:t>
            </w:r>
          </w:p>
        </w:tc>
        <w:tc>
          <w:tcPr/>
          <w:p>
            <w:pPr>
              <w:pStyle w:val="Compact"/>
            </w:pPr>
            <w:r>
              <w:t xml:space="preserve">소규모 경쟁사</w:t>
            </w:r>
          </w:p>
        </w:tc>
        <w:tc>
          <w:tcPr/>
          <w:p>
            <w:pPr>
              <w:pStyle w:val="Compact"/>
            </w:pPr>
            <w:r>
              <w:t xml:space="preserve">낮음~중간</w:t>
            </w:r>
          </w:p>
        </w:tc>
      </w:tr>
    </w:tbl>
    <w:p>
      <w:pPr>
        <w:pStyle w:val="BodyText"/>
      </w:pPr>
      <w:r>
        <w:rPr>
          <w:b/>
          <w:bCs/>
        </w:rPr>
        <w:t xml:space="preserve">BOATS의 2025년 거래 실적</w:t>
      </w:r>
      <w:r>
        <w:t xml:space="preserve">은 야간 거래 시장에서의 압도적 지위를 보여준다: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지표</w:t>
            </w:r>
          </w:p>
        </w:tc>
        <w:tc>
          <w:tcPr/>
          <w:p>
            <w:pPr>
              <w:pStyle w:val="Compact"/>
            </w:pPr>
            <w:r>
              <w:t xml:space="preserve">수치</w:t>
            </w:r>
          </w:p>
        </w:tc>
      </w:tr>
      <w:tr>
        <w:tc>
          <w:tcPr/>
          <w:p>
            <w:pPr>
              <w:pStyle w:val="Compact"/>
            </w:pPr>
            <w:r>
              <w:t xml:space="preserve">2025년 연간 명목거래대금</w:t>
            </w:r>
          </w:p>
        </w:tc>
        <w:tc>
          <w:tcPr/>
          <w:p>
            <w:pPr>
              <w:pStyle w:val="Compact"/>
            </w:pPr>
            <w:r>
              <w:t xml:space="preserve">$374.7B (약 500조 원)</w:t>
            </w:r>
          </w:p>
        </w:tc>
      </w:tr>
      <w:tr>
        <w:tc>
          <w:tcPr/>
          <w:p>
            <w:pPr>
              <w:pStyle w:val="Compact"/>
            </w:pPr>
            <w:r>
              <w:t xml:space="preserve">거래 세션 수</w:t>
            </w:r>
          </w:p>
        </w:tc>
        <w:tc>
          <w:tcPr/>
          <w:p>
            <w:pPr>
              <w:pStyle w:val="Compact"/>
            </w:pPr>
            <w:r>
              <w:t xml:space="preserve">307 세션</w:t>
            </w:r>
          </w:p>
        </w:tc>
      </w:tr>
      <w:tr>
        <w:tc>
          <w:tcPr/>
          <w:p>
            <w:pPr>
              <w:pStyle w:val="Compact"/>
            </w:pPr>
            <w:r>
              <w:t xml:space="preserve">일평균 거래대금</w:t>
            </w:r>
          </w:p>
        </w:tc>
        <w:tc>
          <w:tcPr/>
          <w:p>
            <w:pPr>
              <w:pStyle w:val="Compact"/>
            </w:pPr>
            <w:r>
              <w:t xml:space="preserve">$1.22B/야간</w:t>
            </w:r>
          </w:p>
        </w:tc>
      </w:tr>
      <w:tr>
        <w:tc>
          <w:tcPr/>
          <w:p>
            <w:pPr>
              <w:pStyle w:val="Compact"/>
            </w:pPr>
            <w:r>
              <w:t xml:space="preserve">피크 일평균 (2025년 11월)</w:t>
            </w:r>
          </w:p>
        </w:tc>
        <w:tc>
          <w:tcPr/>
          <w:p>
            <w:pPr>
              <w:pStyle w:val="Compact"/>
            </w:pPr>
            <w:r>
              <w:t xml:space="preserve">$2.45B/야간</w:t>
            </w:r>
          </w:p>
        </w:tc>
      </w:tr>
      <w:tr>
        <w:tc>
          <w:tcPr/>
          <w:p>
            <w:pPr>
              <w:pStyle w:val="Compact"/>
            </w:pPr>
            <w:r>
              <w:t xml:space="preserve">역대 최고 기록 (2025.11.4)</w:t>
            </w:r>
          </w:p>
        </w:tc>
        <w:tc>
          <w:tcPr/>
          <w:p>
            <w:pPr>
              <w:pStyle w:val="Compact"/>
            </w:pPr>
            <w:r>
              <w:t xml:space="preserve">$5.87B, 1.6억 주</w:t>
            </w:r>
          </w:p>
        </w:tc>
      </w:tr>
      <w:tr>
        <w:tc>
          <w:tcPr/>
          <w:p>
            <w:pPr>
              <w:pStyle w:val="Compact"/>
            </w:pPr>
            <w:r>
              <w:t xml:space="preserve">2026년 3월 기준 일평균</w:t>
            </w:r>
          </w:p>
        </w:tc>
        <w:tc>
          <w:tcPr/>
          <w:p>
            <w:pPr>
              <w:pStyle w:val="Compact"/>
            </w:pPr>
            <w:r>
              <w:t xml:space="preserve">1.25~1.3억 주/야간</w:t>
            </w:r>
          </w:p>
        </w:tc>
      </w:tr>
      <w:tr>
        <w:tc>
          <w:tcPr/>
          <w:p>
            <w:pPr>
              <w:pStyle w:val="Compact"/>
            </w:pPr>
            <w:r>
              <w:t xml:space="preserve">야간 시장 점유율</w:t>
            </w:r>
          </w:p>
        </w:tc>
        <w:tc>
          <w:tcPr/>
          <w:p>
            <w:pPr>
              <w:pStyle w:val="Compact"/>
            </w:pPr>
            <w:r>
              <w:t xml:space="preserve">~83-95%</w:t>
            </w:r>
          </w:p>
        </w:tc>
      </w:tr>
    </w:tbl>
    <w:p>
      <w:pPr>
        <w:pStyle w:val="BodyText"/>
      </w:pPr>
      <w:r>
        <w:t xml:space="preserve">83-95%라는 야간 시장 점유율은 사실상 독점적 수준이나, Nasdaq Night와 NYSE Bruce가 본격 가동되면 이 점유율은 상당히 희석될 것으로 예상된다. 특히 두 거래소는 기존 정규시장 참여자 네트워크, 브랜드 인지도, 기술 인프라를 야간 시간대로 확장하는 형태이므로 경쟁 우위를 점할 가능성이 높다.</w:t>
      </w:r>
    </w:p>
    <w:p>
      <w:r>
        <w:pict>
          <v:rect style="width:0;height:1.5pt" o:hralign="center" o:hrstd="t" o:hr="t"/>
        </w:pict>
      </w:r>
    </w:p>
    <w:bookmarkEnd w:id="25"/>
    <w:bookmarkStart w:id="26" w:name="krx-현행-제도와의-비교-분석"/>
    <w:p>
      <w:pPr>
        <w:pStyle w:val="Heading2"/>
      </w:pPr>
      <w:r>
        <w:t xml:space="preserve">8. KRX 현행 제도와의 비교 분석</w:t>
      </w:r>
    </w:p>
    <w:p>
      <w:pPr>
        <w:pStyle w:val="FirstParagraph"/>
      </w:pPr>
      <w:r>
        <w:t xml:space="preserve">한국거래소(KRX) 현행 제도와 BOATS를 비교하면, 한국 투자자가 왜 BOATS에 주목하는지를 이해할 수 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비교 항목</w:t>
            </w:r>
          </w:p>
        </w:tc>
        <w:tc>
          <w:tcPr/>
          <w:p>
            <w:pPr>
              <w:pStyle w:val="Compact"/>
            </w:pPr>
            <w:r>
              <w:t xml:space="preserve">KRX (한국거래소)</w:t>
            </w:r>
          </w:p>
        </w:tc>
        <w:tc>
          <w:tcPr/>
          <w:p>
            <w:pPr>
              <w:pStyle w:val="Compact"/>
            </w:pPr>
            <w:r>
              <w:t xml:space="preserve">Blue Ocean ATS</w:t>
            </w:r>
          </w:p>
        </w:tc>
      </w:tr>
      <w:tr>
        <w:tc>
          <w:tcPr/>
          <w:p>
            <w:pPr>
              <w:pStyle w:val="Compact"/>
            </w:pPr>
            <w:r>
              <w:t xml:space="preserve">거래 시간</w:t>
            </w:r>
          </w:p>
        </w:tc>
        <w:tc>
          <w:tcPr/>
          <w:p>
            <w:pPr>
              <w:pStyle w:val="Compact"/>
            </w:pPr>
            <w:r>
              <w:t xml:space="preserve">09:00~15:30 KST (6.5시간)</w:t>
            </w:r>
          </w:p>
        </w:tc>
        <w:tc>
          <w:tcPr/>
          <w:p>
            <w:pPr>
              <w:pStyle w:val="Compact"/>
            </w:pPr>
            <w:r>
              <w:t xml:space="preserve">20:00~04:00 ET (8시간)</w:t>
            </w:r>
          </w:p>
        </w:tc>
      </w:tr>
      <w:tr>
        <w:tc>
          <w:tcPr/>
          <w:p>
            <w:pPr>
              <w:pStyle w:val="Compact"/>
            </w:pPr>
            <w:r>
              <w:t xml:space="preserve">한국시간 기준</w:t>
            </w:r>
          </w:p>
        </w:tc>
        <w:tc>
          <w:tcPr/>
          <w:p>
            <w:pPr>
              <w:pStyle w:val="Compact"/>
            </w:pPr>
            <w:r>
              <w:t xml:space="preserve">09:00~15:30 KST</w:t>
            </w:r>
          </w:p>
        </w:tc>
        <w:tc>
          <w:tcPr/>
          <w:p>
            <w:pPr>
              <w:pStyle w:val="Compact"/>
            </w:pPr>
            <w:r>
              <w:rPr>
                <w:vertAlign w:val="subscript"/>
              </w:rPr>
              <w:t xml:space="preserve">10:00</w:t>
            </w:r>
            <w:r>
              <w:t xml:space="preserve">18:00 KST (비서머타임)</w:t>
            </w:r>
          </w:p>
        </w:tc>
      </w:tr>
      <w:tr>
        <w:tc>
          <w:tcPr/>
          <w:p>
            <w:pPr>
              <w:pStyle w:val="Compact"/>
            </w:pPr>
            <w:r>
              <w:t xml:space="preserve">거래 대상</w:t>
            </w:r>
          </w:p>
        </w:tc>
        <w:tc>
          <w:tcPr/>
          <w:p>
            <w:pPr>
              <w:pStyle w:val="Compact"/>
            </w:pPr>
            <w:r>
              <w:t xml:space="preserve">한국 상장 주식</w:t>
            </w:r>
          </w:p>
        </w:tc>
        <w:tc>
          <w:tcPr/>
          <w:p>
            <w:pPr>
              <w:pStyle w:val="Compact"/>
            </w:pPr>
            <w:r>
              <w:t xml:space="preserve">미국 NMS 상장 주식</w:t>
            </w:r>
          </w:p>
        </w:tc>
      </w:tr>
      <w:tr>
        <w:tc>
          <w:tcPr/>
          <w:p>
            <w:pPr>
              <w:pStyle w:val="Compact"/>
            </w:pPr>
            <w:r>
              <w:t xml:space="preserve">주문 유형</w:t>
            </w:r>
          </w:p>
        </w:tc>
        <w:tc>
          <w:tcPr/>
          <w:p>
            <w:pPr>
              <w:pStyle w:val="Compact"/>
            </w:pPr>
            <w:r>
              <w:t xml:space="preserve">시장가, 지정가 등 다양</w:t>
            </w:r>
          </w:p>
        </w:tc>
        <w:tc>
          <w:tcPr/>
          <w:p>
            <w:pPr>
              <w:pStyle w:val="Compact"/>
            </w:pPr>
            <w:r>
              <w:t xml:space="preserve">지정가만</w:t>
            </w:r>
          </w:p>
        </w:tc>
      </w:tr>
      <w:tr>
        <w:tc>
          <w:tcPr/>
          <w:p>
            <w:pPr>
              <w:pStyle w:val="Compact"/>
            </w:pPr>
            <w:r>
              <w:t xml:space="preserve">가격 제한</w:t>
            </w:r>
          </w:p>
        </w:tc>
        <w:tc>
          <w:tcPr/>
          <w:p>
            <w:pPr>
              <w:pStyle w:val="Compact"/>
            </w:pPr>
            <w:r>
              <w:t xml:space="preserve">상하한가 ±30%</w:t>
            </w:r>
          </w:p>
        </w:tc>
        <w:tc>
          <w:tcPr/>
          <w:p>
            <w:pPr>
              <w:pStyle w:val="Compact"/>
            </w:pPr>
            <w:r>
              <w:t xml:space="preserve">참조가 대비 ±20%</w:t>
            </w:r>
          </w:p>
        </w:tc>
      </w:tr>
      <w:tr>
        <w:tc>
          <w:tcPr/>
          <w:p>
            <w:pPr>
              <w:pStyle w:val="Compact"/>
            </w:pPr>
            <w:r>
              <w:t xml:space="preserve">결제 주기</w:t>
            </w:r>
          </w:p>
        </w:tc>
        <w:tc>
          <w:tcPr/>
          <w:p>
            <w:pPr>
              <w:pStyle w:val="Compact"/>
            </w:pPr>
            <w:r>
              <w:t xml:space="preserve">T+2</w:t>
            </w:r>
          </w:p>
        </w:tc>
        <w:tc>
          <w:tcPr/>
          <w:p>
            <w:pPr>
              <w:pStyle w:val="Compact"/>
            </w:pPr>
            <w:r>
              <w:t xml:space="preserve">T+1</w:t>
            </w:r>
          </w:p>
        </w:tc>
      </w:tr>
      <w:tr>
        <w:tc>
          <w:tcPr/>
          <w:p>
            <w:pPr>
              <w:pStyle w:val="Compact"/>
            </w:pPr>
            <w:r>
              <w:t xml:space="preserve">중앙청산</w:t>
            </w:r>
          </w:p>
        </w:tc>
        <w:tc>
          <w:tcPr/>
          <w:p>
            <w:pPr>
              <w:pStyle w:val="Compact"/>
            </w:pPr>
            <w:r>
              <w:t xml:space="preserve">KSD/한국예탁결제원</w:t>
            </w:r>
          </w:p>
        </w:tc>
        <w:tc>
          <w:tcPr/>
          <w:p>
            <w:pPr>
              <w:pStyle w:val="Compact"/>
            </w:pPr>
            <w:r>
              <w:t xml:space="preserve">NSCC/DTC</w:t>
            </w:r>
          </w:p>
        </w:tc>
      </w:tr>
      <w:tr>
        <w:tc>
          <w:tcPr/>
          <w:p>
            <w:pPr>
              <w:pStyle w:val="Compact"/>
            </w:pPr>
            <w:r>
              <w:t xml:space="preserve">시장 데이터</w:t>
            </w:r>
          </w:p>
        </w:tc>
        <w:tc>
          <w:tcPr/>
          <w:p>
            <w:pPr>
              <w:pStyle w:val="Compact"/>
            </w:pPr>
            <w:r>
              <w:t xml:space="preserve">KRX 정보분배 (정규 SIP)</w:t>
            </w:r>
          </w:p>
        </w:tc>
        <w:tc>
          <w:tcPr/>
          <w:p>
            <w:pPr>
              <w:pStyle w:val="Compact"/>
            </w:pPr>
            <w:r>
              <w:t xml:space="preserve">자체 피드 (야간 SIP 없음)</w:t>
            </w:r>
          </w:p>
        </w:tc>
      </w:tr>
      <w:tr>
        <w:tc>
          <w:tcPr/>
          <w:p>
            <w:pPr>
              <w:pStyle w:val="Compact"/>
            </w:pPr>
            <w:r>
              <w:t xml:space="preserve">규제 체계</w:t>
            </w:r>
          </w:p>
        </w:tc>
        <w:tc>
          <w:tcPr/>
          <w:p>
            <w:pPr>
              <w:pStyle w:val="Compact"/>
            </w:pPr>
            <w:r>
              <w:t xml:space="preserve">자본시장법, 금융위원회</w:t>
            </w:r>
          </w:p>
        </w:tc>
        <w:tc>
          <w:tcPr/>
          <w:p>
            <w:pPr>
              <w:pStyle w:val="Compact"/>
            </w:pPr>
            <w:r>
              <w:t xml:space="preserve">SEC, FINRA, Regulation ATS</w:t>
            </w:r>
          </w:p>
        </w:tc>
      </w:tr>
      <w:tr>
        <w:tc>
          <w:tcPr/>
          <w:p>
            <w:pPr>
              <w:pStyle w:val="Compact"/>
            </w:pPr>
            <w:r>
              <w:t xml:space="preserve">공매도</w:t>
            </w:r>
          </w:p>
        </w:tc>
        <w:tc>
          <w:tcPr/>
          <w:p>
            <w:pPr>
              <w:pStyle w:val="Compact"/>
            </w:pPr>
            <w:r>
              <w:t xml:space="preserve">제한적 허용</w:t>
            </w:r>
          </w:p>
        </w:tc>
        <w:tc>
          <w:tcPr/>
          <w:p>
            <w:pPr>
              <w:pStyle w:val="Compact"/>
            </w:pPr>
            <w:r>
              <w:t xml:space="preserve">야간 시간대 제한적</w:t>
            </w:r>
          </w:p>
        </w:tc>
      </w:tr>
      <w:tr>
        <w:tc>
          <w:tcPr/>
          <w:p>
            <w:pPr>
              <w:pStyle w:val="Compact"/>
            </w:pPr>
            <w:r>
              <w:t xml:space="preserve">서킷브레이커</w:t>
            </w:r>
          </w:p>
        </w:tc>
        <w:tc>
          <w:tcPr/>
          <w:p>
            <w:pPr>
              <w:pStyle w:val="Compact"/>
            </w:pPr>
            <w:r>
              <w:t xml:space="preserve">있음 (KOSPI 8/15/20%)</w:t>
            </w:r>
          </w:p>
        </w:tc>
        <w:tc>
          <w:tcPr/>
          <w:p>
            <w:pPr>
              <w:pStyle w:val="Compact"/>
            </w:pPr>
            <w:r>
              <w:t xml:space="preserve">가격 밴드 (±20%)</w:t>
            </w:r>
          </w:p>
        </w:tc>
      </w:tr>
    </w:tbl>
    <w:p>
      <w:pPr>
        <w:pStyle w:val="BodyText"/>
      </w:pPr>
      <w:r>
        <w:rPr>
          <w:b/>
          <w:bCs/>
        </w:rPr>
        <w:t xml:space="preserve">핵심 시사점:</w:t>
      </w:r>
    </w:p>
    <w:p>
      <w:pPr>
        <w:numPr>
          <w:ilvl w:val="0"/>
          <w:numId w:val="1002"/>
        </w:numPr>
      </w:pPr>
      <w:r>
        <w:rPr>
          <w:b/>
          <w:bCs/>
        </w:rPr>
        <w:t xml:space="preserve">시간대 상호보완성</w:t>
      </w:r>
      <w:r>
        <w:t xml:space="preserve">: KRX가 15:30에 폐장한 후, 미국 정규시장은 23:30 KST에 개장하므로 약 8시간의 공백이 존재한다. BOATS는 이 공백 중 상당 부분(</w:t>
      </w:r>
      <w:r>
        <w:rPr>
          <w:vertAlign w:val="subscript"/>
        </w:rPr>
        <w:t xml:space="preserve">10:00</w:t>
      </w:r>
      <w:r>
        <w:t xml:space="preserve">18:00 KST)을 채워주어, 한국 투자자에게 한국 주간 시간대 미국 주식 거래라는 독보적 가치를 제공한다.</w:t>
      </w:r>
    </w:p>
    <w:p>
      <w:pPr>
        <w:numPr>
          <w:ilvl w:val="0"/>
          <w:numId w:val="1002"/>
        </w:numPr>
      </w:pPr>
      <w:r>
        <w:rPr>
          <w:b/>
          <w:bCs/>
        </w:rPr>
        <w:t xml:space="preserve">결제 주기 차이</w:t>
      </w:r>
      <w:r>
        <w:t xml:space="preserve">: KRX의 T+2 대비 BOATS의 T+1은 자본 효율성 측면에서 우위를 가진다. 다만 한국 투자자 입장에서는 환전 및 해외 결제 과정이 추가되므로 실질 결제 소요시간은 다를 수 있다.</w:t>
      </w:r>
    </w:p>
    <w:p>
      <w:pPr>
        <w:numPr>
          <w:ilvl w:val="0"/>
          <w:numId w:val="1002"/>
        </w:numPr>
      </w:pPr>
      <w:r>
        <w:rPr>
          <w:b/>
          <w:bCs/>
        </w:rPr>
        <w:t xml:space="preserve">가격 통제 차이</w:t>
      </w:r>
      <w:r>
        <w:t xml:space="preserve">: KRX의 ±30% 상하한가 대비 BOATS의 ±20% 밴드는 더 보수적이다. 야간 시간대의 낮은 유동성을 감안하면 합리적이나, 실적 발표 등 대형 이벤트 시 가격 발견 기능이 제한될 수 있다.</w:t>
      </w:r>
    </w:p>
    <w:p>
      <w:pPr>
        <w:numPr>
          <w:ilvl w:val="0"/>
          <w:numId w:val="1002"/>
        </w:numPr>
      </w:pPr>
      <w:r>
        <w:rPr>
          <w:b/>
          <w:bCs/>
        </w:rPr>
        <w:t xml:space="preserve">주문 유형 제한</w:t>
      </w:r>
      <w:r>
        <w:t xml:space="preserve">: KRX는 다양한 주문 유형을 지원하지만, BOATS의 지정가 전용 정책은 야간 유동성 환경에서의 투자자 보호 관점에서 불가피한 선택이다. 향후 유동성이 충분히 성장하면 주문 유형 확대가 검토될 수 있다.</w:t>
      </w:r>
    </w:p>
    <w:p>
      <w:r>
        <w:pict>
          <v:rect style="width:0;height:1.5pt" o:hralign="center" o:hrstd="t" o:hr="t"/>
        </w:pict>
      </w:r>
    </w:p>
    <w:bookmarkEnd w:id="26"/>
    <w:bookmarkStart w:id="27" w:name="결론-및-전망"/>
    <w:p>
      <w:pPr>
        <w:pStyle w:val="Heading2"/>
      </w:pPr>
      <w:r>
        <w:t xml:space="preserve">결론 및 전망</w:t>
      </w:r>
    </w:p>
    <w:p>
      <w:pPr>
        <w:pStyle w:val="FirstParagraph"/>
      </w:pPr>
      <w:r>
        <w:t xml:space="preserve">Blue Ocean ATS는 미국 야간 주식 거래라는 새로운 시장을 사실상 창출한 선구자로서, 2025년 기준 약 $374.7B의 연간 거래대금과 83-95%의 야간 시장 점유율을 기록하며 독보적 위치를 확보하고 있다. 특히 한국 시장과의 깊은 연결은 BOATS의 정체성을 규정하는 핵심 요소이며, 2026년 초 서울 오피스 개설은 이 관계를 더욱 공고히 하려는 의지의 표현이다.</w:t>
      </w:r>
    </w:p>
    <w:p>
      <w:pPr>
        <w:pStyle w:val="BodyText"/>
      </w:pPr>
      <w:r>
        <w:t xml:space="preserve">그러나 Nasdaq Night(2026년 하반기)과 NYSE Bruce의 진입은 BOATS에 실존적 도전이 될 수 있다. 이들 거대 거래소의 기존 네트워크 효과, 브랜드 신뢰도, 기술 인프라는 BOATS의 선점 효과를 빠르게 잠식할 수 있는 잠재력을 보유하고 있다. BOATS가 MEMX 기반의 기술 안정성, RQD* Clearing과의 토큰화 이니셔티브, 그리고 아시아 시장에서의 깊은 관계를 차별화 요소로 유지할 수 있을지가 향후 경쟁 구도의 핵심 변수가 될 것이다.</w:t>
      </w:r>
    </w:p>
    <w:p>
      <w:r>
        <w:pict>
          <v:rect style="width:0;height:1.5pt" o:hralign="center" o:hrstd="t" o:hr="t"/>
        </w:pict>
      </w:r>
    </w:p>
    <w:p>
      <w:pPr>
        <w:pStyle w:val="FirstParagraph"/>
      </w:pPr>
      <w:r>
        <w:rPr>
          <w:i/>
          <w:iCs/>
        </w:rPr>
        <w:t xml:space="preserve">본 보고서는 공개된 자료를 기반으로 작성되었으며, 투자 권유를 목적으로 하지 않습니다.</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2026-03-27T04:13:51Z</dcterms:created>
  <dcterms:modified xsi:type="dcterms:W3CDTF">2026-03-27T04:13:51Z</dcterms:modified>
</cp:coreProperties>
</file>

<file path=docProps/custom.xml><?xml version="1.0" encoding="utf-8"?>
<Properties xmlns="http://schemas.openxmlformats.org/officeDocument/2006/custom-properties" xmlns:vt="http://schemas.openxmlformats.org/officeDocument/2006/docPropsVTypes"/>
</file>