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eurex-심층-분석"/>
    <w:p>
      <w:pPr>
        <w:pStyle w:val="Heading1"/>
      </w:pPr>
      <w:r>
        <w:t xml:space="preserve">Eurex 심층 분석</w:t>
      </w:r>
    </w:p>
    <w:p>
      <w:pPr>
        <w:pStyle w:val="BlockText"/>
      </w:pPr>
      <w:r>
        <w:rPr>
          <w:b/>
          <w:bCs/>
        </w:rPr>
        <w:t xml:space="preserve">작성일:</w:t>
      </w:r>
      <w:r>
        <w:t xml:space="preserve"> </w:t>
      </w:r>
      <w:r>
        <w:t xml:space="preserve">2026-03-27</w:t>
      </w:r>
      <w:r>
        <w:t xml:space="preserve"> </w:t>
      </w:r>
      <w:r>
        <w:rPr>
          <w:b/>
          <w:bCs/>
        </w:rPr>
        <w:t xml:space="preserve">대상 거래소:</w:t>
      </w:r>
      <w:r>
        <w:t xml:space="preserve"> </w:t>
      </w:r>
      <w:r>
        <w:t xml:space="preserve">Eurex (Deutsche Boerse Group)</w:t>
      </w:r>
      <w:r>
        <w:t xml:space="preserve"> </w:t>
      </w:r>
      <w:r>
        <w:rPr>
          <w:b/>
          <w:bCs/>
        </w:rPr>
        <w:t xml:space="preserve">분석 목적:</w:t>
      </w:r>
      <w:r>
        <w:t xml:space="preserve"> </w:t>
      </w:r>
      <w:r>
        <w:t xml:space="preserve">KRX 24시간 거래 체계 구축을 위한 Eurex 운영 모델 벤치마킹</w:t>
      </w:r>
    </w:p>
    <w:p>
      <w:r>
        <w:pict>
          <v:rect style="width:0;height:1.5pt" o:hralign="center" o:hrstd="t" o:hr="t"/>
        </w:pict>
      </w:r>
    </w:p>
    <w:bookmarkStart w:id="9" w:name="기관-개요-및-시장-내-위상"/>
    <w:p>
      <w:pPr>
        <w:pStyle w:val="Heading2"/>
      </w:pPr>
      <w:r>
        <w:t xml:space="preserve">1. 기관 개요 및 시장 내 위상</w:t>
      </w:r>
    </w:p>
    <w:p>
      <w:pPr>
        <w:pStyle w:val="FirstParagraph"/>
      </w:pPr>
      <w:r>
        <w:t xml:space="preserve">Eurex는 Deutsche Boerse Group 산하의 유럽 최대 파생상품 거래소로, 금리·주가지수·주식·변동성·배당·ESG 등 광범위한 파생상품을 상장·거래한다. 프랑크푸르트(독일)에 본부를 두고 있으며, 현물 주식 거래 플랫폼인 Xetra와 동일한 T7 거래 시스템을 공유한다.</w:t>
      </w:r>
    </w:p>
    <w:p>
      <w:pPr>
        <w:pStyle w:val="BodyText"/>
      </w:pPr>
      <w:r>
        <w:t xml:space="preserve">Eurex의 시장 내 위상은 다음과 같이 요약할 수 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소속 그룹</w:t>
            </w:r>
          </w:p>
        </w:tc>
        <w:tc>
          <w:tcPr/>
          <w:p>
            <w:pPr>
              <w:pStyle w:val="Compact"/>
            </w:pPr>
            <w:r>
              <w:t xml:space="preserve">Deutsche Boerse 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시장 유형</w:t>
            </w:r>
          </w:p>
        </w:tc>
        <w:tc>
          <w:tcPr/>
          <w:p>
            <w:pPr>
              <w:pStyle w:val="Compact"/>
            </w:pPr>
            <w:r>
              <w:t xml:space="preserve">파생상품 전문 거래소 (세계 최대 규모 중 하나)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주요 상품</w:t>
            </w:r>
          </w:p>
        </w:tc>
        <w:tc>
          <w:tcPr/>
          <w:p>
            <w:pPr>
              <w:pStyle w:val="Compact"/>
            </w:pPr>
            <w:r>
              <w:t xml:space="preserve">Euro-Bund/Bobl/Schatz/Buxl 금리선물, EURO STOXX 50/DAX 지수선물·옵션, VSTOXX 변동성 선물, MSCI 지수선물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청산 기관</w:t>
            </w:r>
          </w:p>
        </w:tc>
        <w:tc>
          <w:tcPr/>
          <w:p>
            <w:pPr>
              <w:pStyle w:val="Compact"/>
            </w:pPr>
            <w:r>
              <w:t xml:space="preserve">Eurex Clearing (유일하게 파생상품·현물·증권대차·레포를 통합 청산하는 유럽 CCP)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결제 기관</w:t>
            </w:r>
          </w:p>
        </w:tc>
        <w:tc>
          <w:tcPr/>
          <w:p>
            <w:pPr>
              <w:pStyle w:val="Compact"/>
            </w:pPr>
            <w:r>
              <w:t xml:space="preserve">Clearstream (Deutsche Boerse Group 산하)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최근 실적</w:t>
            </w:r>
          </w:p>
        </w:tc>
        <w:tc>
          <w:tcPr/>
          <w:p>
            <w:pPr>
              <w:pStyle w:val="Compact"/>
            </w:pPr>
            <w:r>
              <w:t xml:space="preserve">2025년 4분기 매출 전년 대비 9% 성장, 사상 최대 실적 기록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거래 시간</w:t>
            </w:r>
          </w:p>
        </w:tc>
        <w:tc>
          <w:tcPr/>
          <w:p>
            <w:pPr>
              <w:pStyle w:val="Compact"/>
            </w:pPr>
            <w:r>
              <w:t xml:space="preserve">최대 21시간 (01:00~22:00 CET) — 글로벌 파생상품 거래소 중 최장 수준</w:t>
            </w:r>
          </w:p>
        </w:tc>
      </w:tr>
    </w:tbl>
    <w:p>
      <w:pPr>
        <w:pStyle w:val="BodyText"/>
      </w:pPr>
      <w:r>
        <w:t xml:space="preserve">Deutsche Boerse Group은 거래소 운영 외에도 D7 디지털 증권 플랫폼(Clearstream 기반 DLT 디지털 발행), ECB 도매 디지털화폐 파일럿 참여, Crypto Finance-Kraken 파트너십 등 차세대 금융 인프라 혁신을 적극 추진하고 있어, 단순 거래소를 넘어 종합 시장 인프라 그룹으로서의 위상을 확고히 하고 있다.</w:t>
      </w:r>
    </w:p>
    <w:p>
      <w:r>
        <w:pict>
          <v:rect style="width:0;height:1.5pt" o:hralign="center" o:hrstd="t" o:hr="t"/>
        </w:pict>
      </w:r>
    </w:p>
    <w:bookmarkEnd w:id="9"/>
    <w:bookmarkStart w:id="13" w:name="현행-거래-제도"/>
    <w:p>
      <w:pPr>
        <w:pStyle w:val="Heading2"/>
      </w:pPr>
      <w:r>
        <w:t xml:space="preserve">2. 현행 거래 제도</w:t>
      </w:r>
    </w:p>
    <w:bookmarkStart w:id="10" w:name="거래-세션-구조-아시아유럽미국-시간대"/>
    <w:p>
      <w:pPr>
        <w:pStyle w:val="Heading3"/>
      </w:pPr>
      <w:r>
        <w:t xml:space="preserve">2.1 거래 세션 구조 (아시아/유럽/미국 시간대)</w:t>
      </w:r>
    </w:p>
    <w:p>
      <w:pPr>
        <w:pStyle w:val="FirstParagraph"/>
      </w:pPr>
      <w:r>
        <w:t xml:space="preserve">Eurex는 글로벌 투자자의 시간대별 수요를 충족하기 위해</w:t>
      </w:r>
      <w:r>
        <w:t xml:space="preserve"> </w:t>
      </w:r>
      <w:r>
        <w:rPr>
          <w:b/>
          <w:bCs/>
        </w:rPr>
        <w:t xml:space="preserve">3개 시간대에 걸친 다층 세션 구조</w:t>
      </w:r>
      <w:r>
        <w:t xml:space="preserve">를 운영한다. 이는 KRX의 24시간 거래 체계 설계 시 가장 직접적인 선례가 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3226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세션</w:t>
            </w:r>
          </w:p>
        </w:tc>
        <w:tc>
          <w:tcPr/>
          <w:p>
            <w:pPr>
              <w:pStyle w:val="Compact"/>
            </w:pPr>
            <w:r>
              <w:t xml:space="preserve">시간 (CET)</w:t>
            </w:r>
          </w:p>
        </w:tc>
        <w:tc>
          <w:tcPr/>
          <w:p>
            <w:pPr>
              <w:pStyle w:val="Compact"/>
            </w:pPr>
            <w:r>
              <w:t xml:space="preserve">주요 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아시아 시간대 프리트레이딩</w:t>
            </w:r>
          </w:p>
        </w:tc>
        <w:tc>
          <w:tcPr/>
          <w:p>
            <w:pPr>
              <w:pStyle w:val="Compact"/>
            </w:pPr>
            <w:r>
              <w:t xml:space="preserve">01:00~01:15</w:t>
            </w:r>
          </w:p>
        </w:tc>
        <w:tc>
          <w:tcPr/>
          <w:p>
            <w:pPr>
              <w:pStyle w:val="Compact"/>
            </w:pPr>
            <w:r>
              <w:t xml:space="preserve">개장 경매(Opening Auction) 실시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아시아 시간대 연속거래</w:t>
            </w:r>
          </w:p>
        </w:tc>
        <w:tc>
          <w:tcPr/>
          <w:p>
            <w:pPr>
              <w:pStyle w:val="Compact"/>
            </w:pPr>
            <w:r>
              <w:t xml:space="preserve">01:15~08:00</w:t>
            </w:r>
          </w:p>
        </w:tc>
        <w:tc>
          <w:tcPr/>
          <w:p>
            <w:pPr>
              <w:pStyle w:val="Compact"/>
            </w:pPr>
            <w:r>
              <w:t xml:space="preserve">DAX, Mini-DAX, EURO STOXX 50, VSTOXX, Euro-Bund/Bobl/Schatz/Buxl/OAT, MSCI 선물 등 선별 상품 거래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유럽 프리트레이딩</w:t>
            </w:r>
          </w:p>
        </w:tc>
        <w:tc>
          <w:tcPr/>
          <w:p>
            <w:pPr>
              <w:pStyle w:val="Compact"/>
            </w:pPr>
            <w:r>
              <w:rPr>
                <w:vertAlign w:val="subscript"/>
              </w:rPr>
              <w:t xml:space="preserve">07:30</w:t>
            </w:r>
            <w:r>
              <w:t xml:space="preserve">08:00</w:t>
            </w:r>
          </w:p>
        </w:tc>
        <w:tc>
          <w:tcPr/>
          <w:p>
            <w:pPr>
              <w:pStyle w:val="Compact"/>
            </w:pPr>
            <w:r>
              <w:t xml:space="preserve">상품별 상이 (금리 선물 08:00, 주식 파생 09:00 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유럽 연속거래</w:t>
            </w:r>
          </w:p>
        </w:tc>
        <w:tc>
          <w:tcPr/>
          <w:p>
            <w:pPr>
              <w:pStyle w:val="Compact"/>
            </w:pPr>
            <w:r>
              <w:t xml:space="preserve">08:00/09:00~17:30</w:t>
            </w:r>
          </w:p>
        </w:tc>
        <w:tc>
          <w:tcPr/>
          <w:p>
            <w:pPr>
              <w:pStyle w:val="Compact"/>
            </w:pPr>
            <w:r>
              <w:t xml:space="preserve">전 상품 거래. 주식 파생상품은 09:00 개시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미국 시간대 연속거래</w:t>
            </w:r>
          </w:p>
        </w:tc>
        <w:tc>
          <w:tcPr/>
          <w:p>
            <w:pPr>
              <w:pStyle w:val="Compact"/>
            </w:pPr>
            <w:r>
              <w:t xml:space="preserve">17:30~22:00</w:t>
            </w:r>
          </w:p>
        </w:tc>
        <w:tc>
          <w:tcPr/>
          <w:p>
            <w:pPr>
              <w:pStyle w:val="Compact"/>
            </w:pPr>
            <w:r>
              <w:t xml:space="preserve">선별 상품 (금리·지수 선물 중심)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포스트 트레이딩</w:t>
            </w:r>
          </w:p>
        </w:tc>
        <w:tc>
          <w:tcPr/>
          <w:p>
            <w:pPr>
              <w:pStyle w:val="Compact"/>
            </w:pPr>
            <w:r>
              <w:t xml:space="preserve">종가 이후</w:t>
            </w:r>
          </w:p>
        </w:tc>
        <w:tc>
          <w:tcPr/>
          <w:p>
            <w:pPr>
              <w:pStyle w:val="Compact"/>
            </w:pPr>
            <w:r>
              <w:t xml:space="preserve">다수 하위 구간으로 분할 운영</w:t>
            </w:r>
          </w:p>
        </w:tc>
      </w:tr>
    </w:tbl>
    <w:p>
      <w:pPr>
        <w:pStyle w:val="BodyText"/>
      </w:pPr>
      <w:r>
        <w:rPr>
          <w:b/>
          <w:bCs/>
        </w:rPr>
        <w:t xml:space="preserve">핵심 포인트:</w:t>
      </w:r>
      <w:r>
        <w:t xml:space="preserve"> </w:t>
      </w:r>
      <w:r>
        <w:t xml:space="preserve">Eurex는 주요 벤치마크 상품(DAX, EURO STOXX 50, Euro-Bund 등)에 대해 CET 기준 01:00부터 22:00까지</w:t>
      </w:r>
      <w:r>
        <w:t xml:space="preserve"> </w:t>
      </w:r>
      <w:r>
        <w:rPr>
          <w:b/>
          <w:bCs/>
        </w:rPr>
        <w:t xml:space="preserve">최대 21시간 연속 거래</w:t>
      </w:r>
      <w:r>
        <w:t xml:space="preserve">를 제공한다. 이는 아시아(도쿄·싱가포르·홍콩) 및 미국(뉴욕) 시간대 투자자가 유럽 장외 시간에도 Eurex 상품을 직접 거래할 수 있음을 의미한다.</w:t>
      </w:r>
    </w:p>
    <w:p>
      <w:pPr>
        <w:pStyle w:val="BodyText"/>
      </w:pPr>
      <w:r>
        <w:t xml:space="preserve">아시아 시간대 세션은 별도의 독립 거래소가 아닌,</w:t>
      </w:r>
      <w:r>
        <w:t xml:space="preserve"> </w:t>
      </w:r>
      <w:r>
        <w:rPr>
          <w:b/>
          <w:bCs/>
        </w:rPr>
        <w:t xml:space="preserve">동일한 T7 매칭 엔진과 Eurex Clearing 인프라</w:t>
      </w:r>
      <w:r>
        <w:t xml:space="preserve"> </w:t>
      </w:r>
      <w:r>
        <w:t xml:space="preserve">위에서 운영된다는 점이 중요하다. 즉, 단일 CCP(중앙거래상대방)가 전 세션에 걸쳐 통합 청산을 수행한다.</w:t>
      </w:r>
    </w:p>
    <w:bookmarkEnd w:id="10"/>
    <w:bookmarkStart w:id="11" w:name="주문-유형-및-체결-메커니즘"/>
    <w:p>
      <w:pPr>
        <w:pStyle w:val="Heading3"/>
      </w:pPr>
      <w:r>
        <w:t xml:space="preserve">2.2 주문 유형 및 체결 메커니즘</w:t>
      </w:r>
    </w:p>
    <w:p>
      <w:pPr>
        <w:pStyle w:val="FirstParagraph"/>
      </w:pPr>
      <w:r>
        <w:t xml:space="preserve">Eurex T7은 다양한 주문 유형과 체결 메커니즘을 지원한다.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7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주문/체결 유형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지정가 주문 (Limit Order)</w:t>
            </w:r>
          </w:p>
        </w:tc>
        <w:tc>
          <w:tcPr/>
          <w:p>
            <w:pPr>
              <w:pStyle w:val="Compact"/>
            </w:pPr>
            <w:r>
              <w:t xml:space="preserve">가격·수량 지정. 연속거래 시 가격·시간 우선 원칙 적용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시장가 주문 (Market Order)</w:t>
            </w:r>
          </w:p>
        </w:tc>
        <w:tc>
          <w:tcPr/>
          <w:p>
            <w:pPr>
              <w:pStyle w:val="Compact"/>
            </w:pPr>
            <w:r>
              <w:t xml:space="preserve">최우선 호가에 즉시 체결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Stop 주문</w:t>
            </w:r>
          </w:p>
        </w:tc>
        <w:tc>
          <w:tcPr/>
          <w:p>
            <w:pPr>
              <w:pStyle w:val="Compact"/>
            </w:pPr>
            <w:r>
              <w:t xml:space="preserve">트리거 가격 도달 시 활성화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Iceberg 주문</w:t>
            </w:r>
          </w:p>
        </w:tc>
        <w:tc>
          <w:tcPr/>
          <w:p>
            <w:pPr>
              <w:pStyle w:val="Compact"/>
            </w:pPr>
            <w:r>
              <w:t xml:space="preserve">총 수량의 일부만 호가창에 노출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Opening/Closing Auction</w:t>
            </w:r>
          </w:p>
        </w:tc>
        <w:tc>
          <w:tcPr/>
          <w:p>
            <w:pPr>
              <w:pStyle w:val="Compact"/>
            </w:pPr>
            <w:r>
              <w:t xml:space="preserve">세션 개시·종료 시 단일가 매매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EnLight RFQ</w:t>
            </w:r>
          </w:p>
        </w:tc>
        <w:tc>
          <w:tcPr/>
          <w:p>
            <w:pPr>
              <w:pStyle w:val="Compact"/>
            </w:pPr>
            <w:r>
              <w:t xml:space="preserve">기관 투자자 대상 호가 요청 시스템 (블록 트레이드)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T7 Entry Service</w:t>
            </w:r>
          </w:p>
        </w:tc>
        <w:tc>
          <w:tcPr/>
          <w:p>
            <w:pPr>
              <w:pStyle w:val="Compact"/>
            </w:pPr>
            <w:r>
              <w:t xml:space="preserve">OTC 거래의 장내 등록</w:t>
            </w:r>
          </w:p>
        </w:tc>
      </w:tr>
    </w:tbl>
    <w:p>
      <w:pPr>
        <w:pStyle w:val="BodyText"/>
      </w:pPr>
      <w:r>
        <w:t xml:space="preserve">체결 우선순위는</w:t>
      </w:r>
      <w:r>
        <w:t xml:space="preserve"> </w:t>
      </w:r>
      <w:r>
        <w:rPr>
          <w:b/>
          <w:bCs/>
        </w:rPr>
        <w:t xml:space="preserve">가격 우선 → 시간 우선 (Price-Time Priority)</w:t>
      </w:r>
      <w:r>
        <w:t xml:space="preserve"> </w:t>
      </w:r>
      <w:r>
        <w:t xml:space="preserve">원칙을 따르며, 경매 구간에서는</w:t>
      </w:r>
      <w:r>
        <w:t xml:space="preserve"> </w:t>
      </w:r>
      <w:r>
        <w:rPr>
          <w:b/>
          <w:bCs/>
        </w:rPr>
        <w:t xml:space="preserve">최대 체결 수량 원칙</w:t>
      </w:r>
      <w:r>
        <w:t xml:space="preserve">에 의해 단일 균형가격이 결정된다.</w:t>
      </w:r>
    </w:p>
    <w:bookmarkEnd w:id="11"/>
    <w:bookmarkStart w:id="12" w:name="변동성-통제-메커니즘"/>
    <w:p>
      <w:pPr>
        <w:pStyle w:val="Heading3"/>
      </w:pPr>
      <w:r>
        <w:t xml:space="preserve">2.3 변동성 통제 메커니즘</w:t>
      </w:r>
    </w:p>
    <w:p>
      <w:pPr>
        <w:pStyle w:val="FirstParagraph"/>
      </w:pPr>
      <w:r>
        <w:t xml:space="preserve">Eurex는 연장 세션의 유동성 특성을 고려하여</w:t>
      </w:r>
      <w:r>
        <w:t xml:space="preserve"> </w:t>
      </w:r>
      <w:r>
        <w:rPr>
          <w:b/>
          <w:bCs/>
        </w:rPr>
        <w:t xml:space="preserve">다층적 변동성 통제 체계</w:t>
      </w:r>
      <w:r>
        <w:t xml:space="preserve">를 운영한다.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304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통제 수단</w:t>
            </w:r>
          </w:p>
        </w:tc>
        <w:tc>
          <w:tcPr/>
          <w:p>
            <w:pPr>
              <w:pStyle w:val="Compact"/>
            </w:pPr>
            <w:r>
              <w:t xml:space="preserve">작동 방식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Volatility Interruption (VI)</w:t>
            </w:r>
          </w:p>
        </w:tc>
        <w:tc>
          <w:tcPr/>
          <w:p>
            <w:pPr>
              <w:pStyle w:val="Compact"/>
            </w:pPr>
            <w:r>
              <w:t xml:space="preserve">단기(Short Lookback) 및 장기(Long Lookback) 윈도우 기반 가격 변동 감시. 임계치 초과 시 거래 일시 중단 후 경매 전환</w:t>
            </w:r>
          </w:p>
        </w:tc>
        <w:tc>
          <w:tcPr/>
          <w:p>
            <w:pPr>
              <w:pStyle w:val="Compact"/>
            </w:pPr>
            <w:r>
              <w:t xml:space="preserve">아시아/미국 시간대에는 별도 파라미터 적용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Static Volatility Interruption</w:t>
            </w:r>
          </w:p>
        </w:tc>
        <w:tc>
          <w:tcPr/>
          <w:p>
            <w:pPr>
              <w:pStyle w:val="Compact"/>
            </w:pPr>
            <w:r>
              <w:t xml:space="preserve">정적 가격 범위 기반. 기준 가격 대비 일정 비율 이상 이탈 시 발동</w:t>
            </w:r>
          </w:p>
        </w:tc>
        <w:tc>
          <w:tcPr/>
          <w:p>
            <w:pPr>
              <w:pStyle w:val="Compact"/>
            </w:pPr>
            <w:r>
              <w:t xml:space="preserve">유동성 저하 시간대에 더 타이트하게 설정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 Collars (EnLight RFQ)</w:t>
            </w:r>
          </w:p>
        </w:tc>
        <w:tc>
          <w:tcPr/>
          <w:p>
            <w:pPr>
              <w:pStyle w:val="Compact"/>
            </w:pPr>
            <w:r>
              <w:t xml:space="preserve">RFQ 호가가 진입 구간(Entry Interval) 외부이면 자동 거부</w:t>
            </w:r>
          </w:p>
        </w:tc>
        <w:tc>
          <w:tcPr/>
          <w:p>
            <w:pPr>
              <w:pStyle w:val="Compact"/>
            </w:pPr>
            <w:r>
              <w:t xml:space="preserve">블록 트레이드 시세 조작 방지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Pre-Trade Risk Controls</w:t>
            </w:r>
          </w:p>
        </w:tc>
        <w:tc>
          <w:tcPr/>
          <w:p>
            <w:pPr>
              <w:pStyle w:val="Compact"/>
            </w:pPr>
            <w:r>
              <w:t xml:space="preserve">최대 주문 수량(Max Order Size), 최대 주문 금액(Max Order Value), 세션 레벨 스로틀(Session-Level Throttles)</w:t>
            </w:r>
          </w:p>
        </w:tc>
        <w:tc>
          <w:tcPr/>
          <w:p>
            <w:pPr>
              <w:pStyle w:val="Compact"/>
            </w:pPr>
            <w:r>
              <w:t xml:space="preserve">회원사별 사전 위험 한도</w:t>
            </w:r>
          </w:p>
        </w:tc>
      </w:tr>
    </w:tbl>
    <w:p>
      <w:pPr>
        <w:pStyle w:val="BodyText"/>
      </w:pPr>
      <w:r>
        <w:rPr>
          <w:b/>
          <w:bCs/>
        </w:rPr>
        <w:t xml:space="preserve">아시아/미국 시간대 조정:</w:t>
      </w:r>
      <w:r>
        <w:t xml:space="preserve"> </w:t>
      </w:r>
      <w:r>
        <w:t xml:space="preserve">Eurex는 아시아 및 미국 연장 거래 시간대에 VI 파라미터를 조정하여 운영한다. 이는 해당 시간대의 상대적 유동성 저하 및 참고 시장 부재 상황을 반영한 것으로,</w:t>
      </w:r>
      <w:r>
        <w:t xml:space="preserve"> </w:t>
      </w:r>
      <w:r>
        <w:rPr>
          <w:b/>
          <w:bCs/>
        </w:rPr>
        <w:t xml:space="preserve">KRX가 야간 거래 시간대의 변동성 통제 파라미터를 설계할 때 직접 참고할 수 있는 모델</w:t>
      </w:r>
      <w:r>
        <w:t xml:space="preserve">이다.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핵심-시스템-인프라"/>
    <w:p>
      <w:pPr>
        <w:pStyle w:val="Heading2"/>
      </w:pPr>
      <w:r>
        <w:t xml:space="preserve">3. 핵심 시스템 인프라</w:t>
      </w:r>
    </w:p>
    <w:bookmarkStart w:id="14" w:name="t7-매칭-엔진-아키텍처"/>
    <w:p>
      <w:pPr>
        <w:pStyle w:val="Heading3"/>
      </w:pPr>
      <w:r>
        <w:t xml:space="preserve">3.1 T7 매칭 엔진 아키텍처</w:t>
      </w:r>
    </w:p>
    <w:p>
      <w:pPr>
        <w:pStyle w:val="FirstParagraph"/>
      </w:pPr>
      <w:r>
        <w:t xml:space="preserve">T7은 Eurex(파생상품)와 Xetra(현물 주식)가 공유하는 최첨단 거래 플랫폼이다.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 요소</w:t>
            </w:r>
          </w:p>
        </w:tc>
        <w:tc>
          <w:tcPr/>
          <w:p>
            <w:pPr>
              <w:pStyle w:val="Compact"/>
            </w:pPr>
            <w:r>
              <w:t xml:space="preserve">사양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플랫폼명</w:t>
            </w:r>
          </w:p>
        </w:tc>
        <w:tc>
          <w:tcPr/>
          <w:p>
            <w:pPr>
              <w:pStyle w:val="Compact"/>
            </w:pPr>
            <w:r>
              <w:t xml:space="preserve">T7 (Release 14.0, 2025년 11월 출시. Release 14.1 준비 중)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내부 메시징</w:t>
            </w:r>
          </w:p>
        </w:tc>
        <w:tc>
          <w:tcPr/>
          <w:p>
            <w:pPr>
              <w:pStyle w:val="Compact"/>
            </w:pPr>
            <w:r>
              <w:t xml:space="preserve">Confinity Low Latency Messaging over InfiniBand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매칭 엔진 CPU</w:t>
            </w:r>
          </w:p>
        </w:tc>
        <w:tc>
          <w:tcPr/>
          <w:p>
            <w:pPr>
              <w:pStyle w:val="Compact"/>
            </w:pPr>
            <w:r>
              <w:t xml:space="preserve">Intel Xeon E5-2667 v3 (Haswell 아키텍처)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게이트웨이 CPU</w:t>
            </w:r>
          </w:p>
        </w:tc>
        <w:tc>
          <w:tcPr/>
          <w:p>
            <w:pPr>
              <w:pStyle w:val="Compact"/>
            </w:pPr>
            <w:r>
              <w:t xml:space="preserve">Intel Xeon Gold 6144 (Skylake 아키텍처)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운영 체제</w:t>
            </w:r>
          </w:p>
        </w:tc>
        <w:tc>
          <w:tcPr/>
          <w:p>
            <w:pPr>
              <w:pStyle w:val="Compact"/>
            </w:pPr>
            <w:r>
              <w:t xml:space="preserve">Red Hat Linux 6.9 (실시간 커널 적용)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최소 반응 시간</w:t>
            </w:r>
          </w:p>
        </w:tc>
        <w:tc>
          <w:tcPr/>
          <w:p>
            <w:pPr>
              <w:pStyle w:val="Compact"/>
            </w:pPr>
            <w:r>
              <w:t xml:space="preserve">약 2,740 나노초 (~2.7 마이크로초)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순간 처리량</w:t>
            </w:r>
          </w:p>
        </w:tc>
        <w:tc>
          <w:tcPr/>
          <w:p>
            <w:pPr>
              <w:pStyle w:val="Compact"/>
            </w:pPr>
            <w:r>
              <w:t xml:space="preserve">t_3n 기준 8,000 kHz, t_5 기준 약 500 kHz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네트워크</w:t>
            </w:r>
          </w:p>
        </w:tc>
        <w:tc>
          <w:tcPr/>
          <w:p>
            <w:pPr>
              <w:pStyle w:val="Compact"/>
            </w:pPr>
            <w:r>
              <w:t xml:space="preserve">10 GbE 크로스 커넥트, 케이블 길이 ±1미터 (±5나노초) 오차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클라우드 마이그레이션</w:t>
            </w:r>
          </w:p>
        </w:tc>
        <w:tc>
          <w:tcPr/>
          <w:p>
            <w:pPr>
              <w:pStyle w:val="Compact"/>
            </w:pPr>
            <w:r>
              <w:t xml:space="preserve">2026년 3월 28일 예정</w:t>
            </w:r>
          </w:p>
        </w:tc>
      </w:tr>
    </w:tbl>
    <w:p>
      <w:pPr>
        <w:pStyle w:val="BodyText"/>
      </w:pPr>
      <w:r>
        <w:t xml:space="preserve">T7의 설계 철학은</w:t>
      </w:r>
      <w:r>
        <w:t xml:space="preserve"> </w:t>
      </w:r>
      <w:r>
        <w:rPr>
          <w:b/>
          <w:bCs/>
        </w:rPr>
        <w:t xml:space="preserve">결정론적 지연시간(Deterministic Latency)</w:t>
      </w:r>
      <w:r>
        <w:t xml:space="preserve">이다. 매칭 엔진 전용 CPU로 Haswell 세대 프로세서를 채택한 이유는, 최신 프로세서 대비 코어 수는 적지만 단일 코어 주파수가 높고 캐시 동작이 예측 가능하여 지연시간의 분산(jitter)을 최소화할 수 있기 때문이다. 게이트웨이에는 보다 최신의 Skylake 프로세서를 사용하여 다수 참여자 세션의 동시 처리 성능을 확보한다.</w:t>
      </w:r>
    </w:p>
    <w:p>
      <w:pPr>
        <w:pStyle w:val="BodyText"/>
      </w:pPr>
      <w:r>
        <w:rPr>
          <w:b/>
          <w:bCs/>
        </w:rPr>
        <w:t xml:space="preserve">클라우드 마이그레이션 일정:</w:t>
      </w:r>
      <w:r>
        <w:t xml:space="preserve"> </w:t>
      </w:r>
      <w:r>
        <w:t xml:space="preserve">T7의 클라우드 전환이</w:t>
      </w:r>
      <w:r>
        <w:t xml:space="preserve"> </w:t>
      </w:r>
      <w:r>
        <w:rPr>
          <w:b/>
          <w:bCs/>
        </w:rPr>
        <w:t xml:space="preserve">2026년 3월 28일</w:t>
      </w:r>
      <w:r>
        <w:t xml:space="preserve">(내일)로 예정되어 있다는 점은 주목할 만하다. 이는 거래소 핵심 인프라의 클라우드 전환이라는 글로벌 추세를 반영하며, KRX의 장기 인프라 전략 수립에도 시사점을 제공한다.</w:t>
      </w:r>
    </w:p>
    <w:bookmarkEnd w:id="14"/>
    <w:bookmarkStart w:id="15" w:name="네트워크-및-지연시간"/>
    <w:p>
      <w:pPr>
        <w:pStyle w:val="Heading3"/>
      </w:pPr>
      <w:r>
        <w:t xml:space="preserve">3.2 네트워크 및 지연시간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Eurex T7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최소 반응 시간</w:t>
            </w:r>
          </w:p>
        </w:tc>
        <w:tc>
          <w:tcPr/>
          <w:p>
            <w:pPr>
              <w:pStyle w:val="Compact"/>
            </w:pPr>
            <w:r>
              <w:t xml:space="preserve">~2.7 마이크로초</w:t>
            </w:r>
          </w:p>
        </w:tc>
        <w:tc>
          <w:tcPr/>
          <w:p>
            <w:pPr>
              <w:pStyle w:val="Compact"/>
            </w:pPr>
            <w:r>
              <w:t xml:space="preserve">주문 수신부터 확인 응답까지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크로스 커넥트</w:t>
            </w:r>
          </w:p>
        </w:tc>
        <w:tc>
          <w:tcPr/>
          <w:p>
            <w:pPr>
              <w:pStyle w:val="Compact"/>
            </w:pPr>
            <w:r>
              <w:t xml:space="preserve">10 GbE</w:t>
            </w:r>
          </w:p>
        </w:tc>
        <w:tc>
          <w:tcPr/>
          <w:p>
            <w:pPr>
              <w:pStyle w:val="Compact"/>
            </w:pPr>
            <w:r>
              <w:t xml:space="preserve">코로케이션 참여자 연결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케이블 길이 균등화</w:t>
            </w:r>
          </w:p>
        </w:tc>
        <w:tc>
          <w:tcPr/>
          <w:p>
            <w:pPr>
              <w:pStyle w:val="Compact"/>
            </w:pPr>
            <w:r>
              <w:t xml:space="preserve">±1미터 (±5나노초)</w:t>
            </w:r>
          </w:p>
        </w:tc>
        <w:tc>
          <w:tcPr/>
          <w:p>
            <w:pPr>
              <w:pStyle w:val="Compact"/>
            </w:pPr>
            <w:r>
              <w:t xml:space="preserve">공정성 보장을 위한 물리적 균등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내부 통신</w:t>
            </w:r>
          </w:p>
        </w:tc>
        <w:tc>
          <w:tcPr/>
          <w:p>
            <w:pPr>
              <w:pStyle w:val="Compact"/>
            </w:pPr>
            <w:r>
              <w:t xml:space="preserve">InfiniBand + Confinity</w:t>
            </w:r>
          </w:p>
        </w:tc>
        <w:tc>
          <w:tcPr/>
          <w:p>
            <w:pPr>
              <w:pStyle w:val="Compact"/>
            </w:pPr>
            <w:r>
              <w:t xml:space="preserve">초저지연 메시징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순간 최대 처리량</w:t>
            </w:r>
          </w:p>
        </w:tc>
        <w:tc>
          <w:tcPr/>
          <w:p>
            <w:pPr>
              <w:pStyle w:val="Compact"/>
            </w:pPr>
            <w:r>
              <w:t xml:space="preserve">8,000 kHz (t_3n)</w:t>
            </w:r>
          </w:p>
        </w:tc>
        <w:tc>
          <w:tcPr/>
          <w:p>
            <w:pPr>
              <w:pStyle w:val="Compact"/>
            </w:pPr>
            <w:r>
              <w:t xml:space="preserve">대량 주문 유입 시 처리 능력</w:t>
            </w:r>
          </w:p>
        </w:tc>
      </w:tr>
    </w:tbl>
    <w:p>
      <w:pPr>
        <w:pStyle w:val="BodyText"/>
      </w:pPr>
      <w:r>
        <w:t xml:space="preserve">Eurex는 코로케이션 서비스를 제공하면서도, 모든 참여자에게</w:t>
      </w:r>
      <w:r>
        <w:t xml:space="preserve"> </w:t>
      </w:r>
      <w:r>
        <w:rPr>
          <w:b/>
          <w:bCs/>
        </w:rPr>
        <w:t xml:space="preserve">동일 길이의 케이블(±1미터 오차)</w:t>
      </w:r>
      <w:r>
        <w:t xml:space="preserve">을 제공하여 물리적 접근 공정성을 보장한다. ±1미터의 케이블 차이는 광속 기준 약 ±5나노초의 지연 차이에 해당하며, 이는 T7의 최소 반응 시간 2,740나노초 대비 무시할 수 있는 수준이다.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청산결제-체계"/>
    <w:p>
      <w:pPr>
        <w:pStyle w:val="Heading2"/>
      </w:pPr>
      <w:r>
        <w:t xml:space="preserve">4. 청산·결제 체계</w:t>
      </w:r>
    </w:p>
    <w:bookmarkStart w:id="17" w:name="eurex-clearing-prisma"/>
    <w:p>
      <w:pPr>
        <w:pStyle w:val="Heading3"/>
      </w:pPr>
      <w:r>
        <w:t xml:space="preserve">4.1 Eurex Clearing Prisma</w:t>
      </w:r>
    </w:p>
    <w:p>
      <w:pPr>
        <w:pStyle w:val="FirstParagraph"/>
      </w:pPr>
      <w:r>
        <w:t xml:space="preserve">Eurex Clearing은 유럽에서 유일하게</w:t>
      </w:r>
      <w:r>
        <w:t xml:space="preserve"> </w:t>
      </w:r>
      <w:r>
        <w:rPr>
          <w:b/>
          <w:bCs/>
        </w:rPr>
        <w:t xml:space="preserve">파생상품, 현물 주식, 증권대차, 레포를 단일 CCP로 통합 청산</w:t>
      </w:r>
      <w:r>
        <w:t xml:space="preserve">하는 인프라를 운영한다.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리스크 모델</w:t>
            </w:r>
          </w:p>
        </w:tc>
        <w:tc>
          <w:tcPr/>
          <w:p>
            <w:pPr>
              <w:pStyle w:val="Compact"/>
            </w:pPr>
            <w:r>
              <w:t xml:space="preserve">Eurex Clearing Prisma (포트폴리오 기반 증거금)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증거금 산출</w:t>
            </w:r>
          </w:p>
        </w:tc>
        <w:tc>
          <w:tcPr/>
          <w:p>
            <w:pPr>
              <w:pStyle w:val="Compact"/>
            </w:pPr>
            <w:r>
              <w:t xml:space="preserve">Stress Period VaR를 증거금 하한(Floor)으로 사용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현재 버전</w:t>
            </w:r>
          </w:p>
        </w:tc>
        <w:tc>
          <w:tcPr/>
          <w:p>
            <w:pPr>
              <w:pStyle w:val="Compact"/>
            </w:pPr>
            <w:r>
              <w:t xml:space="preserve">Prisma Release 15.0 (2025년)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Bond/Repo 통합</w:t>
            </w:r>
          </w:p>
        </w:tc>
        <w:tc>
          <w:tcPr/>
          <w:p>
            <w:pPr>
              <w:pStyle w:val="Compact"/>
            </w:pPr>
            <w:r>
              <w:t xml:space="preserve">2025년 12월 8일부터 Prisma 기반 증거금 산출 적용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부도 처리 순서 (Default Waterfall)</w:t>
            </w:r>
          </w:p>
        </w:tc>
        <w:tc>
          <w:tcPr/>
          <w:p>
            <w:pPr>
              <w:pStyle w:val="Compact"/>
            </w:pPr>
            <w:r>
              <w:t xml:space="preserve">(1) 회원 증거금 → (2) 회원 기본예탁금(Default Fund) → (3) ICA 면책 배상(Indemnity)</w:t>
            </w:r>
          </w:p>
        </w:tc>
      </w:tr>
    </w:tbl>
    <w:p>
      <w:pPr>
        <w:pStyle w:val="BodyText"/>
      </w:pPr>
      <w:r>
        <w:t xml:space="preserve">Prisma 리스크 모델의 핵심은</w:t>
      </w:r>
      <w:r>
        <w:t xml:space="preserve"> </w:t>
      </w:r>
      <w:r>
        <w:rPr>
          <w:b/>
          <w:bCs/>
        </w:rPr>
        <w:t xml:space="preserve">포트폴리오 기반 마진(Portfolio-Based Margining)</w:t>
      </w:r>
      <w:r>
        <w:t xml:space="preserve">이다. 개별 포지션 단위가 아닌, 회원사의 전체 포트폴리오를 대상으로 상관관계와 상계 효과를 반영하여 증거금을 산출한다. 이를 통해 다양한 상품을 거래하는 회원사의 자본 효율성을 극대화한다.</w:t>
      </w:r>
    </w:p>
    <w:p>
      <w:pPr>
        <w:pStyle w:val="BodyText"/>
      </w:pPr>
      <w:r>
        <w:rPr>
          <w:b/>
          <w:bCs/>
        </w:rPr>
        <w:t xml:space="preserve">Stress Period VaR 하한(Floor):</w:t>
      </w:r>
      <w:r>
        <w:t xml:space="preserve"> </w:t>
      </w:r>
      <w:r>
        <w:t xml:space="preserve">Prisma는 현재 시장 변동성이 극도로 낮은 시기에도, 과거 스트레스 기간의 VaR 수준 이하로 증거금이 하락하지 않도록 하한을 설정한다. 이는 순환적(pro-cyclical) 증거금 변동을 완화하는 핵심 장치이다.</w:t>
      </w:r>
    </w:p>
    <w:bookmarkEnd w:id="17"/>
    <w:bookmarkStart w:id="18" w:name="c7-담보관리-시스템"/>
    <w:p>
      <w:pPr>
        <w:pStyle w:val="Heading3"/>
      </w:pPr>
      <w:r>
        <w:t xml:space="preserve">4.2 C7 담보관리 시스템</w:t>
      </w:r>
    </w:p>
    <w:p>
      <w:pPr>
        <w:pStyle w:val="FirstParagraph"/>
      </w:pPr>
      <w:r>
        <w:t xml:space="preserve">Eurex Clearing은</w:t>
      </w:r>
      <w:r>
        <w:t xml:space="preserve"> </w:t>
      </w:r>
      <w:r>
        <w:rPr>
          <w:b/>
          <w:bCs/>
        </w:rPr>
        <w:t xml:space="preserve">C7 Collateral Management System</w:t>
      </w:r>
      <w:r>
        <w:t xml:space="preserve">을 통해 회원사의 담보 관리를 수행한다.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실시간 담보 평가</w:t>
            </w:r>
          </w:p>
        </w:tc>
        <w:tc>
          <w:tcPr/>
          <w:p>
            <w:pPr>
              <w:pStyle w:val="Compact"/>
            </w:pPr>
            <w:r>
              <w:t xml:space="preserve">시장가 변동에 따른 담보 가치 실시간 재산정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다중 자산 담보</w:t>
            </w:r>
          </w:p>
        </w:tc>
        <w:tc>
          <w:tcPr/>
          <w:p>
            <w:pPr>
              <w:pStyle w:val="Compact"/>
            </w:pPr>
            <w:r>
              <w:t xml:space="preserve">현금, 국채, 주식 등 다양한 자산을 담보로 인정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자동 담보 이전</w:t>
            </w:r>
          </w:p>
        </w:tc>
        <w:tc>
          <w:tcPr/>
          <w:p>
            <w:pPr>
              <w:pStyle w:val="Compact"/>
            </w:pPr>
            <w:r>
              <w:t xml:space="preserve">증거금 부족 시 사전 설정된 규칙에 따라 자동 이전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통합 관리</w:t>
            </w:r>
          </w:p>
        </w:tc>
        <w:tc>
          <w:tcPr/>
          <w:p>
            <w:pPr>
              <w:pStyle w:val="Compact"/>
            </w:pPr>
            <w:r>
              <w:t xml:space="preserve">파생상품·현물·레포 전 영역의 담보를 단일 시스템에서 관리</w:t>
            </w:r>
          </w:p>
        </w:tc>
      </w:tr>
    </w:tbl>
    <w:p>
      <w:pPr>
        <w:pStyle w:val="BodyText"/>
      </w:pPr>
      <w:r>
        <w:t xml:space="preserve">C7의 통합 담보 관리 기능은 Eurex가 21시간 연장 거래를 운영하면서도 리스크 관리의 일관성을 유지할 수 있는 핵심 기반이다. 아시아 시간대에 발생한 포지션 변동이 실시간으로 담보 요구에 반영되어, 세션 간 리스크 격차가 발생하지 않는다.</w:t>
      </w:r>
    </w:p>
    <w:bookmarkEnd w:id="18"/>
    <w:bookmarkStart w:id="19" w:name="결제-주기-및-t1-전환"/>
    <w:p>
      <w:pPr>
        <w:pStyle w:val="Heading3"/>
      </w:pPr>
      <w:r>
        <w:t xml:space="preserve">4.3 결제 주기 및 T+1 전환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현행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결제 주기</w:t>
            </w:r>
          </w:p>
        </w:tc>
        <w:tc>
          <w:tcPr/>
          <w:p>
            <w:pPr>
              <w:pStyle w:val="Compact"/>
            </w:pPr>
            <w:r>
              <w:t xml:space="preserve">T+2</w:t>
            </w:r>
          </w:p>
        </w:tc>
        <w:tc>
          <w:tcPr/>
          <w:p>
            <w:pPr>
              <w:pStyle w:val="Compact"/>
            </w:pPr>
            <w:r>
              <w:t xml:space="preserve">T+1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T+1 전환 예정일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2027년 10월 11일 (EU 전역 동시 시행)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배경</w:t>
            </w:r>
          </w:p>
        </w:tc>
        <w:tc>
          <w:tcPr/>
          <w:p>
            <w:pPr>
              <w:pStyle w:val="Compact"/>
            </w:pPr>
            <w:r>
              <w:t xml:space="preserve">EU 규제 당국의 결제 리스크 감축 요구</w:t>
            </w:r>
          </w:p>
        </w:tc>
        <w:tc>
          <w:tcPr/>
          <w:p>
            <w:pPr>
              <w:pStyle w:val="Compact"/>
            </w:pPr>
            <w:r>
              <w:t xml:space="preserve">미국(2024년 T+1 전환) 사례를 참고하되, EU 전역 동시 전환 방식 채택</w:t>
            </w:r>
          </w:p>
        </w:tc>
      </w:tr>
    </w:tbl>
    <w:p>
      <w:pPr>
        <w:pStyle w:val="BodyText"/>
      </w:pPr>
      <w:r>
        <w:t xml:space="preserve">EU의 T+1 전환은 2027년 10월 11일로 예정되어 있으며, Eurex Clearing과 Clearstream이 이에 대응한 시스템 개편을 준비 중이다. 이미 T+2로 운영하고 있는 KRX로서는, EU와 유사한 시기에 T+1 전환이 이루어질 경우 Eurex/KRX Link를 통한 교차 결제 효율성이 크게 향상될 수 있다.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시간-거래-체계-운영-현황"/>
    <w:p>
      <w:pPr>
        <w:pStyle w:val="Heading2"/>
      </w:pPr>
      <w:r>
        <w:t xml:space="preserve">5. 24시간 거래 체계 운영 현황</w:t>
      </w:r>
    </w:p>
    <w:bookmarkStart w:id="21" w:name="아시안-트레이딩-아워-이니셔티브"/>
    <w:p>
      <w:pPr>
        <w:pStyle w:val="Heading3"/>
      </w:pPr>
      <w:r>
        <w:t xml:space="preserve">5.1 아시안 트레이딩 아워 이니셔티브</w:t>
      </w:r>
    </w:p>
    <w:p>
      <w:pPr>
        <w:pStyle w:val="FirstParagraph"/>
      </w:pPr>
      <w:r>
        <w:t xml:space="preserve">Eurex의 아시아 시간대 거래(Asian Trading Hours)는 글로벌 파생상품 거래소 중</w:t>
      </w:r>
      <w:r>
        <w:t xml:space="preserve"> </w:t>
      </w:r>
      <w:r>
        <w:rPr>
          <w:b/>
          <w:bCs/>
        </w:rPr>
        <w:t xml:space="preserve">가장 선진적인 연장 거래 모델</w:t>
      </w:r>
      <w:r>
        <w:t xml:space="preserve">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운영 시간</w:t>
            </w:r>
          </w:p>
        </w:tc>
        <w:tc>
          <w:tcPr/>
          <w:p>
            <w:pPr>
              <w:pStyle w:val="Compact"/>
            </w:pPr>
            <w:r>
              <w:t xml:space="preserve">01:00~08:00 CET (한국 시간 09:00~16:00)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대상 상품</w:t>
            </w:r>
          </w:p>
        </w:tc>
        <w:tc>
          <w:tcPr/>
          <w:p>
            <w:pPr>
              <w:pStyle w:val="Compact"/>
            </w:pPr>
            <w:r>
              <w:t xml:space="preserve">DAX, Mini-DAX, EURO STOXX 50, VSTOXX, Euro-Bund/Bobl/Schatz/Buxl/OAT, MSCI 선물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인프라</w:t>
            </w:r>
          </w:p>
        </w:tc>
        <w:tc>
          <w:tcPr/>
          <w:p>
            <w:pPr>
              <w:pStyle w:val="Compact"/>
            </w:pPr>
            <w:r>
              <w:t xml:space="preserve">유럽 정규 세션과 동일한 T7 엔진 및 Eurex Clearing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변동성 통제</w:t>
            </w:r>
          </w:p>
        </w:tc>
        <w:tc>
          <w:tcPr/>
          <w:p>
            <w:pPr>
              <w:pStyle w:val="Compact"/>
            </w:pPr>
            <w:r>
              <w:t xml:space="preserve">VI 파라미터를 아시아 시간대에 맞게 별도 조정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참여자</w:t>
            </w:r>
          </w:p>
        </w:tc>
        <w:tc>
          <w:tcPr/>
          <w:p>
            <w:pPr>
              <w:pStyle w:val="Compact"/>
            </w:pPr>
            <w:r>
              <w:t xml:space="preserve">아시아 소재 기관 투자자, 글로벌 헤지펀드, 자기매매 회사(Prop Firm)</w:t>
            </w:r>
          </w:p>
        </w:tc>
      </w:tr>
    </w:tbl>
    <w:p>
      <w:pPr>
        <w:pStyle w:val="BodyText"/>
      </w:pPr>
      <w:r>
        <w:t xml:space="preserve">아시아 트레이딩 아워의 성공 요인은 다음과 같다.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상품 선별의 전략성:</w:t>
      </w:r>
      <w:r>
        <w:t xml:space="preserve"> </w:t>
      </w:r>
      <w:r>
        <w:t xml:space="preserve">전 상품을 무리하게 연장하지 않고, 글로벌 수요가 확인된 벤치마크 상품만 선별 배치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단일 CCP 통합:</w:t>
      </w:r>
      <w:r>
        <w:t xml:space="preserve"> </w:t>
      </w:r>
      <w:r>
        <w:t xml:space="preserve">아시아 시간대 거래도 Eurex Clearing이 동일한 리스크 관리 기준으로 청산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변동성 통제 파라미터 차별화:</w:t>
      </w:r>
      <w:r>
        <w:t xml:space="preserve"> </w:t>
      </w:r>
      <w:r>
        <w:t xml:space="preserve">유동성 수준이 다른 시간대에 맞춰 VI 임계치를 조정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점진적 확대:</w:t>
      </w:r>
      <w:r>
        <w:t xml:space="preserve"> </w:t>
      </w:r>
      <w:r>
        <w:t xml:space="preserve">초기 소수 상품에서 시작하여 MSCI 선물 등으로 점진 확대</w:t>
      </w:r>
    </w:p>
    <w:bookmarkEnd w:id="21"/>
    <w:bookmarkStart w:id="22" w:name="시장조성자-프로그램"/>
    <w:p>
      <w:pPr>
        <w:pStyle w:val="Heading3"/>
      </w:pPr>
      <w:r>
        <w:t xml:space="preserve">5.2 시장조성자 프로그램</w:t>
      </w:r>
    </w:p>
    <w:p>
      <w:pPr>
        <w:pStyle w:val="FirstParagraph"/>
      </w:pPr>
      <w:r>
        <w:t xml:space="preserve">Eurex는 연장 거래 시간대의 유동성을 확보하기 위해 다양한 시장조성자 인센티브 프로그램을 운영한다.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7"/>
        <w:gridCol w:w="2731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프로그램</w:t>
            </w:r>
          </w:p>
        </w:tc>
        <w:tc>
          <w:tcPr/>
          <w:p>
            <w:pPr>
              <w:pStyle w:val="Compact"/>
            </w:pPr>
            <w:r>
              <w:t xml:space="preserve">도입 시기</w:t>
            </w:r>
          </w:p>
        </w:tc>
        <w:tc>
          <w:tcPr/>
          <w:p>
            <w:pPr>
              <w:pStyle w:val="Compact"/>
            </w:pPr>
            <w:r>
              <w:t xml:space="preserve">주요 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OESX Liquidity Provider Program</w:t>
            </w:r>
          </w:p>
        </w:tc>
        <w:tc>
          <w:tcPr/>
          <w:p>
            <w:pPr>
              <w:pStyle w:val="Compact"/>
            </w:pPr>
            <w:r>
              <w:t xml:space="preserve">2025년 7월</w:t>
            </w:r>
          </w:p>
        </w:tc>
        <w:tc>
          <w:tcPr/>
          <w:p>
            <w:pPr>
              <w:pStyle w:val="Compact"/>
            </w:pPr>
            <w:r>
              <w:t xml:space="preserve">Basis + Advanced Building Blocks 구조. 90% 호가 커버리지 요구. 수동적(Passive) 체결 인센티브 제공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Credit Index Derivatives Partnership</w:t>
            </w:r>
          </w:p>
        </w:tc>
        <w:tc>
          <w:tcPr/>
          <w:p>
            <w:pPr>
              <w:pStyle w:val="Compact"/>
            </w:pPr>
            <w:r>
              <w:t xml:space="preserve">2025년 8월</w:t>
            </w:r>
          </w:p>
        </w:tc>
        <w:tc>
          <w:tcPr/>
          <w:p>
            <w:pPr>
              <w:pStyle w:val="Compact"/>
            </w:pPr>
            <w:r>
              <w:t xml:space="preserve">8개 기관 참여. 신용지수 파생상품 유동성 강화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Sponsored Access Model</w:t>
            </w:r>
          </w:p>
        </w:tc>
        <w:tc>
          <w:tcPr/>
          <w:p>
            <w:pPr>
              <w:pStyle w:val="Compact"/>
            </w:pPr>
            <w:r>
              <w:t xml:space="preserve">2025년 11월</w:t>
            </w:r>
          </w:p>
        </w:tc>
        <w:tc>
          <w:tcPr/>
          <w:p>
            <w:pPr>
              <w:pStyle w:val="Compact"/>
            </w:pPr>
            <w:r>
              <w:t xml:space="preserve">바이사이드(Buy-Side)의 직접 시장 접근 장벽 완화. 스폰서 회원을 통한 접근 허용</w:t>
            </w:r>
          </w:p>
        </w:tc>
      </w:tr>
    </w:tbl>
    <w:p>
      <w:pPr>
        <w:pStyle w:val="BodyText"/>
      </w:pPr>
      <w:r>
        <w:t xml:space="preserve">OESX(EURO STOXX 50 옵션) 유동성 제공자 프로그램은</w:t>
      </w:r>
      <w:r>
        <w:t xml:space="preserve"> </w:t>
      </w:r>
      <w:r>
        <w:rPr>
          <w:b/>
          <w:bCs/>
        </w:rPr>
        <w:t xml:space="preserve">Building Blocks 방식</w:t>
      </w:r>
      <w:r>
        <w:t xml:space="preserve">을 채택하고 있다. Basis 블록은 기본적인 호가 의무를 정의하고, Advanced 블록은 추가 커버리지·시간대 확장 등을 선택적으로 조합할 수 있다. 이 모듈형 설계는 시장조성자가 자사 역량에 맞게 참여 수준을 조절할 수 있게 하며, 특히 연장 시간대의 점진적 유동성 확보에 효과적이다.</w:t>
      </w:r>
    </w:p>
    <w:p>
      <w:pPr>
        <w:pStyle w:val="BodyText"/>
      </w:pPr>
      <w:r>
        <w:rPr>
          <w:b/>
          <w:bCs/>
        </w:rPr>
        <w:t xml:space="preserve">Sponsored Access Model</w:t>
      </w:r>
      <w:r>
        <w:t xml:space="preserve">은 2025년 11월에 도입되어, 기존에 직접 회원 자격이 없던 바이사이드 기관(자산운용사, 연기금 등)이 스폰서 회원을 통해 Eurex에 직접 접근할 수 있게 했다. 이는 아시아 시간대를 포함한 전 세션의 참여자 저변을 확대하는 핵심 정책이다.</w:t>
      </w:r>
    </w:p>
    <w:bookmarkEnd w:id="22"/>
    <w:bookmarkStart w:id="23" w:name="eurexkrx-link"/>
    <w:p>
      <w:pPr>
        <w:pStyle w:val="Heading3"/>
      </w:pPr>
      <w:r>
        <w:t xml:space="preserve">5.3 Eurex/KRX Link</w:t>
      </w:r>
    </w:p>
    <w:p>
      <w:pPr>
        <w:pStyle w:val="FirstParagraph"/>
      </w:pPr>
      <w:r>
        <w:t xml:space="preserve">Eurex와 KRX 간에는</w:t>
      </w:r>
      <w:r>
        <w:t xml:space="preserve"> </w:t>
      </w:r>
      <w:r>
        <w:rPr>
          <w:b/>
          <w:bCs/>
        </w:rPr>
        <w:t xml:space="preserve">KOSPI 200 파생상품 교차 거래를 위한 링크</w:t>
      </w:r>
      <w:r>
        <w:t xml:space="preserve">가 이미 존재한다.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대상 상품</w:t>
            </w:r>
          </w:p>
        </w:tc>
        <w:tc>
          <w:tcPr/>
          <w:p>
            <w:pPr>
              <w:pStyle w:val="Compact"/>
            </w:pPr>
            <w:r>
              <w:t xml:space="preserve">KOSPI 200 선물·옵션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운영 방식</w:t>
            </w:r>
          </w:p>
        </w:tc>
        <w:tc>
          <w:tcPr/>
          <w:p>
            <w:pPr>
              <w:pStyle w:val="Compact"/>
            </w:pPr>
            <w:r>
              <w:t xml:space="preserve">Eurex 참여자가 T7을 통해 KOSPI 200 파생상품 거래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청산</w:t>
            </w:r>
          </w:p>
        </w:tc>
        <w:tc>
          <w:tcPr/>
          <w:p>
            <w:pPr>
              <w:pStyle w:val="Compact"/>
            </w:pPr>
            <w:r>
              <w:t xml:space="preserve">Eurex Clearing과 KRX 한국거래소 청산소 간 상호 연계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시사점</w:t>
            </w:r>
          </w:p>
        </w:tc>
        <w:tc>
          <w:tcPr/>
          <w:p>
            <w:pPr>
              <w:pStyle w:val="Compact"/>
            </w:pPr>
            <w:r>
              <w:t xml:space="preserve">양 거래소 간 기술적·제도적 협력 프레임워크가 이미 검증됨</w:t>
            </w:r>
          </w:p>
        </w:tc>
      </w:tr>
    </w:tbl>
    <w:p>
      <w:pPr>
        <w:pStyle w:val="BodyText"/>
      </w:pPr>
      <w:r>
        <w:t xml:space="preserve">이 링크의 존재는 KRX가 24시간 거래 체계를 구축할 때 Eurex와의 협력을 심화할 수 있는 기반이 된다. Eurex 측에서도 아시아 시간대 유동성의 상당 부분이 한국 참여자로부터 유입될 수 있으므로, 양측 모두에게 전략적 이익이 존재한다.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krx-현행-제도와의-비교-분석"/>
    <w:p>
      <w:pPr>
        <w:pStyle w:val="Heading2"/>
      </w:pPr>
      <w:r>
        <w:t xml:space="preserve">6. KRX 현행 제도와의 비교 분석</w:t>
      </w:r>
    </w:p>
    <w:bookmarkStart w:id="25" w:name="종합-비교표"/>
    <w:p>
      <w:pPr>
        <w:pStyle w:val="Heading3"/>
      </w:pPr>
      <w:r>
        <w:t xml:space="preserve">6.1 종합 비교표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1980"/>
        <w:gridCol w:w="1414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비교 항목</w:t>
            </w:r>
          </w:p>
        </w:tc>
        <w:tc>
          <w:tcPr/>
          <w:p>
            <w:pPr>
              <w:pStyle w:val="Compact"/>
            </w:pPr>
            <w:r>
              <w:t xml:space="preserve">Eurex</w:t>
            </w:r>
          </w:p>
        </w:tc>
        <w:tc>
          <w:tcPr/>
          <w:p>
            <w:pPr>
              <w:pStyle w:val="Compact"/>
            </w:pPr>
            <w:r>
              <w:t xml:space="preserve">KRX</w:t>
            </w:r>
          </w:p>
        </w:tc>
        <w:tc>
          <w:tcPr/>
          <w:p>
            <w:pPr>
              <w:pStyle w:val="Compact"/>
            </w:pPr>
            <w:r>
              <w:t xml:space="preserve">분석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거래 시간</w:t>
            </w:r>
          </w:p>
        </w:tc>
        <w:tc>
          <w:tcPr/>
          <w:p>
            <w:pPr>
              <w:pStyle w:val="Compact"/>
            </w:pPr>
            <w:r>
              <w:t xml:space="preserve">최대 21시간 (01:00~22:00 CET)</w:t>
            </w:r>
          </w:p>
        </w:tc>
        <w:tc>
          <w:tcPr/>
          <w:p>
            <w:pPr>
              <w:pStyle w:val="Compact"/>
            </w:pPr>
            <w:r>
              <w:t xml:space="preserve">6.5시간 (09:00~15:30 KST, 야간 별도)</w:t>
            </w:r>
          </w:p>
        </w:tc>
        <w:tc>
          <w:tcPr/>
          <w:p>
            <w:pPr>
              <w:pStyle w:val="Compact"/>
            </w:pPr>
            <w:r>
              <w:t xml:space="preserve">Eurex는</w:t>
            </w:r>
            <w:r>
              <w:t xml:space="preserve"> </w:t>
            </w:r>
            <w:r>
              <w:rPr>
                <w:b/>
                <w:bCs/>
              </w:rPr>
              <w:t xml:space="preserve">KRX 24시간 전환의 가장 직접적 선례</w:t>
            </w:r>
            <w:r>
              <w:t xml:space="preserve">. 3개 시간대 세션 구조가 핵심 참고 모델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매칭 엔진 지연시간</w:t>
            </w:r>
          </w:p>
        </w:tc>
        <w:tc>
          <w:tcPr/>
          <w:p>
            <w:pPr>
              <w:pStyle w:val="Compact"/>
            </w:pPr>
            <w:r>
              <w:t xml:space="preserve">~2.7 마이크로초 (T7)</w:t>
            </w:r>
          </w:p>
        </w:tc>
        <w:tc>
          <w:tcPr/>
          <w:p>
            <w:pPr>
              <w:pStyle w:val="Compact"/>
            </w:pPr>
            <w:r>
              <w:t xml:space="preserve">~50 마이크로초 (EXTURE 3.0)</w:t>
            </w:r>
          </w:p>
        </w:tc>
        <w:tc>
          <w:tcPr/>
          <w:p>
            <w:pPr>
              <w:pStyle w:val="Compact"/>
            </w:pPr>
            <w:r>
              <w:t xml:space="preserve">Eurex가 약</w:t>
            </w:r>
            <w:r>
              <w:t xml:space="preserve"> </w:t>
            </w:r>
            <w:r>
              <w:rPr>
                <w:b/>
                <w:bCs/>
              </w:rPr>
              <w:t xml:space="preserve">18.5배 빠름</w:t>
            </w:r>
            <w:r>
              <w:t xml:space="preserve">. KRX는 차세대 시스템에서 격차 축소 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변동성 통제</w:t>
            </w:r>
          </w:p>
        </w:tc>
        <w:tc>
          <w:tcPr/>
          <w:p>
            <w:pPr>
              <w:pStyle w:val="Compact"/>
            </w:pPr>
            <w:r>
              <w:t xml:space="preserve">VI (단기/장기), Static VI, Price Collars, Pre-Trade Risk</w:t>
            </w:r>
          </w:p>
        </w:tc>
        <w:tc>
          <w:tcPr/>
          <w:p>
            <w:pPr>
              <w:pStyle w:val="Compact"/>
            </w:pPr>
            <w:r>
              <w:t xml:space="preserve">KOSPI 서킷브레이커, 가격제한폭, VI</w:t>
            </w:r>
          </w:p>
        </w:tc>
        <w:tc>
          <w:tcPr/>
          <w:p>
            <w:pPr>
              <w:pStyle w:val="Compact"/>
            </w:pPr>
            <w:r>
              <w:t xml:space="preserve">Eurex는 시간대별 VI 파라미터를 차별 적용 — KRX 야간 세션 설계 시 핵심 참고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청산 모델</w:t>
            </w:r>
          </w:p>
        </w:tc>
        <w:tc>
          <w:tcPr/>
          <w:p>
            <w:pPr>
              <w:pStyle w:val="Compact"/>
            </w:pPr>
            <w:r>
              <w:t xml:space="preserve">단일 CCP 통합 (파생·현물·레포·증권대차)</w:t>
            </w:r>
          </w:p>
        </w:tc>
        <w:tc>
          <w:tcPr/>
          <w:p>
            <w:pPr>
              <w:pStyle w:val="Compact"/>
            </w:pPr>
            <w:r>
              <w:t xml:space="preserve">KRX 청산소 (파생·현물 분리 운영)</w:t>
            </w:r>
          </w:p>
        </w:tc>
        <w:tc>
          <w:tcPr/>
          <w:p>
            <w:pPr>
              <w:pStyle w:val="Compact"/>
            </w:pPr>
            <w:r>
              <w:t xml:space="preserve">Eurex의 통합 CCP 모델이 연장 거래 시 리스크 관리 일관성에서 우위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증거금 모델</w:t>
            </w:r>
          </w:p>
        </w:tc>
        <w:tc>
          <w:tcPr/>
          <w:p>
            <w:pPr>
              <w:pStyle w:val="Compact"/>
            </w:pPr>
            <w:r>
              <w:t xml:space="preserve">Prisma (포트폴리오 기반, Stress Period VaR Floor)</w:t>
            </w:r>
          </w:p>
        </w:tc>
        <w:tc>
          <w:tcPr/>
          <w:p>
            <w:pPr>
              <w:pStyle w:val="Compact"/>
            </w:pPr>
            <w:r>
              <w:t xml:space="preserve">SPAN 기반</w:t>
            </w:r>
          </w:p>
        </w:tc>
        <w:tc>
          <w:tcPr/>
          <w:p>
            <w:pPr>
              <w:pStyle w:val="Compact"/>
            </w:pPr>
            <w:r>
              <w:t xml:space="preserve">Eurex Prisma의 포트폴리오 상계 기능이 자본 효율성에서 우위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결제 주기</w:t>
            </w:r>
          </w:p>
        </w:tc>
        <w:tc>
          <w:tcPr/>
          <w:p>
            <w:pPr>
              <w:pStyle w:val="Compact"/>
            </w:pPr>
            <w:r>
              <w:t xml:space="preserve">T+2 (T+1 목표: 2027.10.11)</w:t>
            </w:r>
          </w:p>
        </w:tc>
        <w:tc>
          <w:tcPr/>
          <w:p>
            <w:pPr>
              <w:pStyle w:val="Compact"/>
            </w:pPr>
            <w:r>
              <w:t xml:space="preserve">T+2</w:t>
            </w:r>
          </w:p>
        </w:tc>
        <w:tc>
          <w:tcPr/>
          <w:p>
            <w:pPr>
              <w:pStyle w:val="Compact"/>
            </w:pPr>
            <w:r>
              <w:t xml:space="preserve">유사. EU T+1 전환 시 Eurex/KRX Link 결제 효율성 향상 기대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시장조성 인센티브</w:t>
            </w:r>
          </w:p>
        </w:tc>
        <w:tc>
          <w:tcPr/>
          <w:p>
            <w:pPr>
              <w:pStyle w:val="Compact"/>
            </w:pPr>
            <w:r>
              <w:t xml:space="preserve">Building Blocks 방식, Sponsored Access</w:t>
            </w:r>
          </w:p>
        </w:tc>
        <w:tc>
          <w:tcPr/>
          <w:p>
            <w:pPr>
              <w:pStyle w:val="Compact"/>
            </w:pPr>
            <w:r>
              <w:t xml:space="preserve">지정 마켓메이커 제도</w:t>
            </w:r>
          </w:p>
        </w:tc>
        <w:tc>
          <w:tcPr/>
          <w:p>
            <w:pPr>
              <w:pStyle w:val="Compact"/>
            </w:pPr>
            <w:r>
              <w:t xml:space="preserve">Eurex의 모듈형 인센티브가 연장 시간대 유동성 확보에 더 유연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교차 링크</w:t>
            </w:r>
          </w:p>
        </w:tc>
        <w:tc>
          <w:tcPr/>
          <w:p>
            <w:pPr>
              <w:pStyle w:val="Compact"/>
            </w:pPr>
            <w:r>
              <w:t xml:space="preserve">Eurex/KRX Link (KOSPI 200) 존재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  <w:tc>
          <w:tcPr/>
          <w:p>
            <w:pPr>
              <w:pStyle w:val="Compact"/>
            </w:pPr>
            <w:r>
              <w:t xml:space="preserve">양 거래소 간 기술적·제도적 협력 기반 이미 확보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클라우드 전환</w:t>
            </w:r>
          </w:p>
        </w:tc>
        <w:tc>
          <w:tcPr/>
          <w:p>
            <w:pPr>
              <w:pStyle w:val="Compact"/>
            </w:pPr>
            <w:r>
              <w:t xml:space="preserve">2026.03.28 예정</w:t>
            </w:r>
          </w:p>
        </w:tc>
        <w:tc>
          <w:tcPr/>
          <w:p>
            <w:pPr>
              <w:pStyle w:val="Compact"/>
            </w:pPr>
            <w:r>
              <w:t xml:space="preserve">미정</w:t>
            </w:r>
          </w:p>
        </w:tc>
        <w:tc>
          <w:tcPr/>
          <w:p>
            <w:pPr>
              <w:pStyle w:val="Compact"/>
            </w:pPr>
            <w:r>
              <w:t xml:space="preserve">Eurex가 선도적으로 클라우드 전환 추진</w:t>
            </w:r>
          </w:p>
        </w:tc>
      </w:tr>
    </w:tbl>
    <w:bookmarkEnd w:id="25"/>
    <w:bookmarkStart w:id="26" w:name="krx-시사점-도출"/>
    <w:p>
      <w:pPr>
        <w:pStyle w:val="Heading3"/>
      </w:pPr>
      <w:r>
        <w:t xml:space="preserve">6.2 KRX 시사점 도출</w:t>
      </w:r>
    </w:p>
    <w:p>
      <w:pPr>
        <w:pStyle w:val="FirstParagraph"/>
      </w:pPr>
      <w:r>
        <w:t xml:space="preserve">Eurex의 운영 모델에서 KRX가 도출할 수 있는 핵심 시사점은 다음과 같다.</w:t>
      </w:r>
    </w:p>
    <w:p>
      <w:pPr>
        <w:pStyle w:val="BodyText"/>
      </w:pPr>
      <w:r>
        <w:rPr>
          <w:b/>
          <w:bCs/>
        </w:rPr>
        <w:t xml:space="preserve">첫째, 단계적 상품 확대 전략.</w:t>
      </w:r>
      <w:r>
        <w:t xml:space="preserve"> </w:t>
      </w:r>
      <w:r>
        <w:t xml:space="preserve">Eurex는 아시아 시간대에 전 상품을 한꺼번에 배치하지 않았다. DAX·EURO STOXX 50·Euro-Bund 등 글로벌 수요가 검증된 벤치마크 상품부터 배치하고, 이후 MSCI 선물 등으로 점진 확대했다. KRX도 KOSPI 200 선물·옵션 등 핵심 상품부터 야간 거래를 시작하고, 유동성 확인 후 확대하는 전략이 타당하다.</w:t>
      </w:r>
    </w:p>
    <w:p>
      <w:pPr>
        <w:pStyle w:val="BodyText"/>
      </w:pPr>
      <w:r>
        <w:rPr>
          <w:b/>
          <w:bCs/>
        </w:rPr>
        <w:t xml:space="preserve">둘째, 시간대별 변동성 통제 파라미터 차별화.</w:t>
      </w:r>
      <w:r>
        <w:t xml:space="preserve"> </w:t>
      </w:r>
      <w:r>
        <w:t xml:space="preserve">Eurex는 아시아/미국 시간대의 유동성 수준이 유럽 정규 세션 대비 낮다는 점을 반영하여 VI 파라미터를 별도 조정한다. KRX도 야간 세션에서는 정규 시간 대비 더 보수적인(타이트한) 변동성 통제 임계치를 적용할 필요가 있다.</w:t>
      </w:r>
    </w:p>
    <w:p>
      <w:pPr>
        <w:pStyle w:val="BodyText"/>
      </w:pPr>
      <w:r>
        <w:rPr>
          <w:b/>
          <w:bCs/>
        </w:rPr>
        <w:t xml:space="preserve">셋째, 단일 CCP 통합 청산의 중요성.</w:t>
      </w:r>
      <w:r>
        <w:t xml:space="preserve"> </w:t>
      </w:r>
      <w:r>
        <w:t xml:space="preserve">Eurex가 21시간 연장 거래를 안정적으로 운영할 수 있는 핵심 요인은, 전 세션에 걸쳐 동일한 Eurex Clearing이 통합 청산을 수행한다는 점이다. KRX도 야간 세션의 청산을 별도 기관에 위탁하기보다, 기존 KRX 청산소의 운영 시간을 연장하는 방향이 리스크 관리 일관성 측면에서 바람직하다.</w:t>
      </w:r>
    </w:p>
    <w:p>
      <w:pPr>
        <w:pStyle w:val="BodyText"/>
      </w:pPr>
      <w:r>
        <w:rPr>
          <w:b/>
          <w:bCs/>
        </w:rPr>
        <w:t xml:space="preserve">넷째, 모듈형 시장조성 인센티브.</w:t>
      </w:r>
      <w:r>
        <w:t xml:space="preserve"> </w:t>
      </w:r>
      <w:r>
        <w:t xml:space="preserve">Eurex의 OESX Building Blocks 방식은 시장조성자가 기본 의무와 추가 의무를 선택적으로 조합할 수 있게 한다. KRX도 야간 세션 시장조성에 대해 별도의 인센티브 블록을 설계하여, 기존 정규 시간 시장조성자가 점진적으로 야간 참여를 확대할 수 있는 경로를 마련해야 한다.</w:t>
      </w:r>
    </w:p>
    <w:p>
      <w:pPr>
        <w:pStyle w:val="BodyText"/>
      </w:pPr>
      <w:r>
        <w:rPr>
          <w:b/>
          <w:bCs/>
        </w:rPr>
        <w:t xml:space="preserve">다섯째, 기존 Eurex/KRX Link 활용.</w:t>
      </w:r>
      <w:r>
        <w:t xml:space="preserve"> </w:t>
      </w:r>
      <w:r>
        <w:t xml:space="preserve">KOSPI 200 파생상품에 대한 Eurex/KRX Link가 이미 존재하므로, 이를 24시간 거래 체계의 국제 연계 기반으로 적극 활용할 수 있다. Eurex 아시아 시간대(CET 01:00~08:00 = KST 09:00~16:00)는 KRX 정규 시간과 정확히 겹치므로, 양 시장 간 차익거래 및 헤지 수요의 실시간 충족이 가능하다.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부록-eurex-최신-동향-요약-20252026"/>
    <w:p>
      <w:pPr>
        <w:pStyle w:val="Heading2"/>
      </w:pPr>
      <w:r>
        <w:t xml:space="preserve">부록: Eurex 최신 동향 요약 (2025~2026)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시기</w:t>
            </w:r>
          </w:p>
        </w:tc>
        <w:tc>
          <w:tcPr/>
          <w:p>
            <w:pPr>
              <w:pStyle w:val="Compact"/>
            </w:pPr>
            <w:r>
              <w:t xml:space="preserve">사건</w:t>
            </w:r>
          </w:p>
        </w:tc>
        <w:tc>
          <w:tcPr/>
          <w:p>
            <w:pPr>
              <w:pStyle w:val="Compact"/>
            </w:pPr>
            <w:r>
              <w:t xml:space="preserve">의의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2025년 7월</w:t>
            </w:r>
          </w:p>
        </w:tc>
        <w:tc>
          <w:tcPr/>
          <w:p>
            <w:pPr>
              <w:pStyle w:val="Compact"/>
            </w:pPr>
            <w:r>
              <w:t xml:space="preserve">OESX Liquidity Provider Program 도입</w:t>
            </w:r>
          </w:p>
        </w:tc>
        <w:tc>
          <w:tcPr/>
          <w:p>
            <w:pPr>
              <w:pStyle w:val="Compact"/>
            </w:pPr>
            <w:r>
              <w:t xml:space="preserve">옵션 시장 유동성 강화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2025년 8월</w:t>
            </w:r>
          </w:p>
        </w:tc>
        <w:tc>
          <w:tcPr/>
          <w:p>
            <w:pPr>
              <w:pStyle w:val="Compact"/>
            </w:pPr>
            <w:r>
              <w:t xml:space="preserve">Credit Index Derivatives Partnership (8개 기관)</w:t>
            </w:r>
          </w:p>
        </w:tc>
        <w:tc>
          <w:tcPr/>
          <w:p>
            <w:pPr>
              <w:pStyle w:val="Compact"/>
            </w:pPr>
            <w:r>
              <w:t xml:space="preserve">신용 파생상품 시장 다변화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2025년 11월</w:t>
            </w:r>
          </w:p>
        </w:tc>
        <w:tc>
          <w:tcPr/>
          <w:p>
            <w:pPr>
              <w:pStyle w:val="Compact"/>
            </w:pPr>
            <w:r>
              <w:t xml:space="preserve">T7 Release 14.0 출시</w:t>
            </w:r>
          </w:p>
        </w:tc>
        <w:tc>
          <w:tcPr/>
          <w:p>
            <w:pPr>
              <w:pStyle w:val="Compact"/>
            </w:pPr>
            <w:r>
              <w:t xml:space="preserve">매칭 엔진 성능 개선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2025년 11월</w:t>
            </w:r>
          </w:p>
        </w:tc>
        <w:tc>
          <w:tcPr/>
          <w:p>
            <w:pPr>
              <w:pStyle w:val="Compact"/>
            </w:pPr>
            <w:r>
              <w:t xml:space="preserve">Sponsored Access Model 도입</w:t>
            </w:r>
          </w:p>
        </w:tc>
        <w:tc>
          <w:tcPr/>
          <w:p>
            <w:pPr>
              <w:pStyle w:val="Compact"/>
            </w:pPr>
            <w:r>
              <w:t xml:space="preserve">바이사이드 접근성 확대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2025년 12월</w:t>
            </w:r>
          </w:p>
        </w:tc>
        <w:tc>
          <w:tcPr/>
          <w:p>
            <w:pPr>
              <w:pStyle w:val="Compact"/>
            </w:pPr>
            <w:r>
              <w:t xml:space="preserve">Bond/Repo Prisma 마이그레이션</w:t>
            </w:r>
          </w:p>
        </w:tc>
        <w:tc>
          <w:tcPr/>
          <w:p>
            <w:pPr>
              <w:pStyle w:val="Compact"/>
            </w:pPr>
            <w:r>
              <w:t xml:space="preserve">통합 리스크 관리 완성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2025년 4분기</w:t>
            </w:r>
          </w:p>
        </w:tc>
        <w:tc>
          <w:tcPr/>
          <w:p>
            <w:pPr>
              <w:pStyle w:val="Compact"/>
            </w:pPr>
            <w:r>
              <w:t xml:space="preserve">Deutsche Boerse 사상 최대 실적 (매출 +9%)</w:t>
            </w:r>
          </w:p>
        </w:tc>
        <w:tc>
          <w:tcPr/>
          <w:p>
            <w:pPr>
              <w:pStyle w:val="Compact"/>
            </w:pPr>
            <w:r>
              <w:t xml:space="preserve">거래량 성장세 지속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2026년 3월 28일</w:t>
            </w:r>
          </w:p>
        </w:tc>
        <w:tc>
          <w:tcPr/>
          <w:p>
            <w:pPr>
              <w:pStyle w:val="Compact"/>
            </w:pPr>
            <w:r>
              <w:t xml:space="preserve">T7 클라우드 마이그레이션 예정</w:t>
            </w:r>
          </w:p>
        </w:tc>
        <w:tc>
          <w:tcPr/>
          <w:p>
            <w:pPr>
              <w:pStyle w:val="Compact"/>
            </w:pPr>
            <w:r>
              <w:t xml:space="preserve">차세대 인프라 전환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결론:</w:t>
      </w:r>
      <w:r>
        <w:t xml:space="preserve"> </w:t>
      </w:r>
      <w:r>
        <w:t xml:space="preserve">Eurex는 21시간 연장 거래, 단일 CCP 통합 청산, 시간대별 차별화된 변동성 통제, 모듈형 시장조성 인센티브 등 KRX 24시간 거래 체계 설계에 가장 직접적이고 포괄적인 선례를 제공하는 거래소이다. 특히 Eurex/KRX Link가 이미 존재한다는 점은 양 거래소 간 협력 심화의 기반이 되며, Eurex의 아시아 시간대 운영 경험은 KRX가 야간 세션을 설계할 때 실무적으로 가장 유용한 참고 자료가 된다.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2026-03-27T04:13:52Z</dcterms:created>
  <dcterms:modified xsi:type="dcterms:W3CDTF">2026-03-27T04:13:52Z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