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일본증권청산기구jscc-심층-분석"/>
    <w:p>
      <w:pPr>
        <w:pStyle w:val="Heading1"/>
      </w:pPr>
      <w:r>
        <w:t xml:space="preserve">일본증권청산기구(JSCC) 심층 분석</w:t>
      </w:r>
    </w:p>
    <w:p>
      <w:pPr>
        <w:pStyle w:val="BlockText"/>
      </w:pPr>
      <w:r>
        <w:t xml:space="preserve">작성일: 2026-03-27</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일본증권청산기구(Japan Securities Clearing Corporation, 이하 JSCC)는 일본 증권시장의</w:t>
      </w:r>
      <w:r>
        <w:t xml:space="preserve"> </w:t>
      </w:r>
      <w:r>
        <w:rPr>
          <w:b/>
          <w:bCs/>
        </w:rPr>
        <w:t xml:space="preserve">중앙청산기관(Central Counterparty, CCP)</w:t>
      </w:r>
      <w:r>
        <w:t xml:space="preserve">으로서, 일본거래소그룹(Japan Exchange Group, JPX)의 100% 자회사이다. JSCC는 도쿄증권거래소(TSE)를 포함한 일본 주요 증권시장에서 체결되는 거래의 청산 및 결제를 담당하며, 일본 금융시장 인프라의 핵심 축을 형성하고 있다.</w:t>
      </w:r>
    </w:p>
    <w:p>
      <w:pPr>
        <w:pStyle w:val="BodyText"/>
      </w:pPr>
      <w:r>
        <w:t xml:space="preserve">JSCC의 주요 특징은 다음과 같다.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정식 명칭</w:t>
            </w:r>
          </w:p>
        </w:tc>
        <w:tc>
          <w:tcPr/>
          <w:p>
            <w:pPr>
              <w:pStyle w:val="Compact"/>
            </w:pPr>
            <w:r>
              <w:t xml:space="preserve">Japan Securities Clearing Corporation (일본증권청산기구)</w:t>
            </w:r>
          </w:p>
        </w:tc>
      </w:tr>
      <w:tr>
        <w:tc>
          <w:tcPr/>
          <w:p>
            <w:pPr>
              <w:pStyle w:val="Compact"/>
            </w:pPr>
            <w:r>
              <w:t xml:space="preserve">모회사</w:t>
            </w:r>
          </w:p>
        </w:tc>
        <w:tc>
          <w:tcPr/>
          <w:p>
            <w:pPr>
              <w:pStyle w:val="Compact"/>
            </w:pPr>
            <w:r>
              <w:t xml:space="preserve">Japan Exchange Group (JPX)</w:t>
            </w:r>
          </w:p>
        </w:tc>
      </w:tr>
      <w:tr>
        <w:tc>
          <w:tcPr/>
          <w:p>
            <w:pPr>
              <w:pStyle w:val="Compact"/>
            </w:pPr>
            <w:r>
              <w:t xml:space="preserve">기관 유형</w:t>
            </w:r>
          </w:p>
        </w:tc>
        <w:tc>
          <w:tcPr/>
          <w:p>
            <w:pPr>
              <w:pStyle w:val="Compact"/>
            </w:pPr>
            <w:r>
              <w:t xml:space="preserve">중앙청산기관 (CCP)</w:t>
            </w:r>
          </w:p>
        </w:tc>
      </w:tr>
      <w:tr>
        <w:tc>
          <w:tcPr/>
          <w:p>
            <w:pPr>
              <w:pStyle w:val="Compact"/>
            </w:pPr>
            <w:r>
              <w:t xml:space="preserve">청산 대상</w:t>
            </w:r>
          </w:p>
        </w:tc>
        <w:tc>
          <w:tcPr/>
          <w:p>
            <w:pPr>
              <w:pStyle w:val="Compact"/>
            </w:pPr>
            <w:r>
              <w:t xml:space="preserve">주식, 파생상품, 일본국채(JGB), 신용부도스왑(CDS)</w:t>
            </w:r>
          </w:p>
        </w:tc>
      </w:tr>
      <w:tr>
        <w:tc>
          <w:tcPr/>
          <w:p>
            <w:pPr>
              <w:pStyle w:val="Compact"/>
            </w:pPr>
            <w:r>
              <w:t xml:space="preserve">시장 내 역할</w:t>
            </w:r>
          </w:p>
        </w:tc>
        <w:tc>
          <w:tcPr/>
          <w:p>
            <w:pPr>
              <w:pStyle w:val="Compact"/>
            </w:pPr>
            <w:r>
              <w:t xml:space="preserve">일본 증권시장 전반의 거래상대방 리스크 관리 및 결제 보증</w:t>
            </w:r>
          </w:p>
        </w:tc>
      </w:tr>
    </w:tbl>
    <w:p>
      <w:pPr>
        <w:pStyle w:val="BodyText"/>
      </w:pPr>
      <w:r>
        <w:t xml:space="preserve">JSCC는 JPX 그룹의 자회사라는 점에서 거래소와 청산기관이 수직적으로 통합된 구조를 가진다. 이는 한국의 KRX-KSD 관계, 미국의 거래소-DTCC 관계와 유사하면서도 차이점이 있는 구조이다. JPX 그룹 내에서 거래 체결(TSE)과 청산(JSCC)이 동일 기업집단 하에 운영됨으로써 시스템 간 연계 효율성을 확보하고 있으나, 동시에 시장 인프라 전반의 혁신 속도가 그룹 내 의사결정 구조에 의존하는 특성을 보인다.</w:t>
      </w:r>
    </w:p>
    <w:p>
      <w:r>
        <w:pict>
          <v:rect style="width:0;height:1.5pt" o:hralign="center" o:hrstd="t" o:hr="t"/>
        </w:pict>
      </w:r>
    </w:p>
    <w:bookmarkEnd w:id="9"/>
    <w:bookmarkStart w:id="14" w:name="현행-청산결제-체계"/>
    <w:p>
      <w:pPr>
        <w:pStyle w:val="Heading2"/>
      </w:pPr>
      <w:r>
        <w:t xml:space="preserve">2. 현행 청산·결제 체계</w:t>
      </w:r>
    </w:p>
    <w:bookmarkStart w:id="10" w:name="청산-대상-및-ccp-구조"/>
    <w:p>
      <w:pPr>
        <w:pStyle w:val="Heading3"/>
      </w:pPr>
      <w:r>
        <w:t xml:space="preserve">2.1 청산 대상 및 CCP 구조</w:t>
      </w:r>
    </w:p>
    <w:p>
      <w:pPr>
        <w:pStyle w:val="FirstParagraph"/>
      </w:pPr>
      <w:r>
        <w:t xml:space="preserve">JSCC는 일본 증권시장에서 거래되는 다양한 금융상품에 대해 중앙청산 서비스를 제공한다. CCP로서 JSCC는 매도자에게는 매수자 역할을, 매수자에게는 매도자 역할을 수행하여 거래상대방 리스크(counterparty risk)를 집중 관리한다.</w:t>
      </w:r>
    </w:p>
    <w:tbl>
      <w:tblPr>
        <w:tblStyle w:val="Table"/>
        <w:tblW w:type="pct" w:w="5000"/>
        <w:tblLayout w:type="fixed"/>
        <w:tblLook w:firstRow="1" w:lastRow="0" w:firstColumn="0" w:lastColumn="0" w:noHBand="0" w:noVBand="0" w:val="0020"/>
      </w:tblPr>
      <w:tblGrid>
        <w:gridCol w:w="5760"/>
        <w:gridCol w:w="2160"/>
      </w:tblGrid>
      <w:tr>
        <w:trPr>
          <w:tblHeader w:val="on"/>
        </w:trPr>
        <w:tc>
          <w:tcPr/>
          <w:p>
            <w:pPr>
              <w:pStyle w:val="Compact"/>
            </w:pPr>
            <w:r>
              <w:t xml:space="preserve">청산 대상 상품</w:t>
            </w:r>
          </w:p>
        </w:tc>
        <w:tc>
          <w:tcPr/>
          <w:p>
            <w:pPr>
              <w:pStyle w:val="Compact"/>
            </w:pPr>
            <w:r>
              <w:t xml:space="preserve">설명</w:t>
            </w:r>
          </w:p>
        </w:tc>
      </w:tr>
      <w:tr>
        <w:tc>
          <w:tcPr/>
          <w:p>
            <w:pPr>
              <w:pStyle w:val="Compact"/>
            </w:pPr>
            <w:r>
              <w:rPr>
                <w:b/>
                <w:bCs/>
              </w:rPr>
              <w:t xml:space="preserve">주식(Equities)</w:t>
            </w:r>
          </w:p>
        </w:tc>
        <w:tc>
          <w:tcPr/>
          <w:p>
            <w:pPr>
              <w:pStyle w:val="Compact"/>
            </w:pPr>
            <w:r>
              <w:t xml:space="preserve">TSE 상장 주식 및 ETF 등 현물 거래</w:t>
            </w:r>
          </w:p>
        </w:tc>
      </w:tr>
      <w:tr>
        <w:tc>
          <w:tcPr/>
          <w:p>
            <w:pPr>
              <w:pStyle w:val="Compact"/>
            </w:pPr>
            <w:r>
              <w:rPr>
                <w:b/>
                <w:bCs/>
              </w:rPr>
              <w:t xml:space="preserve">파생상품(Derivatives)</w:t>
            </w:r>
          </w:p>
        </w:tc>
        <w:tc>
          <w:tcPr/>
          <w:p>
            <w:pPr>
              <w:pStyle w:val="Compact"/>
            </w:pPr>
            <w:r>
              <w:t xml:space="preserve">주가지수 선물·옵션, 개별주식 선물·옵션 등</w:t>
            </w:r>
          </w:p>
        </w:tc>
      </w:tr>
      <w:tr>
        <w:tc>
          <w:tcPr/>
          <w:p>
            <w:pPr>
              <w:pStyle w:val="Compact"/>
            </w:pPr>
            <w:r>
              <w:rPr>
                <w:b/>
                <w:bCs/>
              </w:rPr>
              <w:t xml:space="preserve">일본국채(JGB)</w:t>
            </w:r>
          </w:p>
        </w:tc>
        <w:tc>
          <w:tcPr/>
          <w:p>
            <w:pPr>
              <w:pStyle w:val="Compact"/>
            </w:pPr>
            <w:r>
              <w:t xml:space="preserve">일본 정부가 발행하는 국채의 장외거래 청산</w:t>
            </w:r>
          </w:p>
        </w:tc>
      </w:tr>
      <w:tr>
        <w:tc>
          <w:tcPr/>
          <w:p>
            <w:pPr>
              <w:pStyle w:val="Compact"/>
            </w:pPr>
            <w:r>
              <w:rPr>
                <w:b/>
                <w:bCs/>
              </w:rPr>
              <w:t xml:space="preserve">신용부도스왑(CDS)</w:t>
            </w:r>
          </w:p>
        </w:tc>
        <w:tc>
          <w:tcPr/>
          <w:p>
            <w:pPr>
              <w:pStyle w:val="Compact"/>
            </w:pPr>
            <w:r>
              <w:t xml:space="preserve">장외 신용파생상품의 중앙청산</w:t>
            </w:r>
          </w:p>
        </w:tc>
      </w:tr>
    </w:tbl>
    <w:p>
      <w:pPr>
        <w:pStyle w:val="BodyText"/>
      </w:pPr>
      <w:r>
        <w:t xml:space="preserve">JSCC의 CCP 구조는</w:t>
      </w:r>
      <w:r>
        <w:t xml:space="preserve"> </w:t>
      </w:r>
      <w:r>
        <w:rPr>
          <w:b/>
          <w:bCs/>
        </w:rPr>
        <w:t xml:space="preserve">다자간 차감(multilateral netting)</w:t>
      </w:r>
      <w:r>
        <w:t xml:space="preserve"> </w:t>
      </w:r>
      <w:r>
        <w:t xml:space="preserve">방식을 기본으로 하며, 청산참가자(clearing participant) 간 채권·채무를 상계하여 결제 규모를 축소한다. 이를 통해 결제 리스크를 경감하고 유동성 효율성을 제고하는 역할을 수행한다.</w:t>
      </w:r>
    </w:p>
    <w:bookmarkEnd w:id="10"/>
    <w:bookmarkStart w:id="11" w:name="결제-주기-주식-t2-국채-t1"/>
    <w:p>
      <w:pPr>
        <w:pStyle w:val="Heading3"/>
      </w:pPr>
      <w:r>
        <w:t xml:space="preserve">2.2 결제 주기 (주식 T+2, 국채 T+1)</w:t>
      </w:r>
    </w:p>
    <w:p>
      <w:pPr>
        <w:pStyle w:val="FirstParagraph"/>
      </w:pPr>
      <w:r>
        <w:t xml:space="preserve">JSCC가 처리하는 주요 상품군의 결제 주기는 다음과 같다.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상품</w:t>
            </w:r>
          </w:p>
        </w:tc>
        <w:tc>
          <w:tcPr/>
          <w:p>
            <w:pPr>
              <w:pStyle w:val="Compact"/>
            </w:pPr>
            <w:r>
              <w:t xml:space="preserve">결제 주기</w:t>
            </w:r>
          </w:p>
        </w:tc>
        <w:tc>
          <w:tcPr/>
          <w:p>
            <w:pPr>
              <w:pStyle w:val="Compact"/>
            </w:pPr>
            <w:r>
              <w:t xml:space="preserve">변경 이력</w:t>
            </w:r>
          </w:p>
        </w:tc>
      </w:tr>
      <w:tr>
        <w:tc>
          <w:tcPr/>
          <w:p>
            <w:pPr>
              <w:pStyle w:val="Compact"/>
            </w:pPr>
            <w:r>
              <w:rPr>
                <w:b/>
                <w:bCs/>
              </w:rPr>
              <w:t xml:space="preserve">주식</w:t>
            </w:r>
          </w:p>
        </w:tc>
        <w:tc>
          <w:tcPr/>
          <w:p>
            <w:pPr>
              <w:pStyle w:val="Compact"/>
            </w:pPr>
            <w:r>
              <w:t xml:space="preserve">T+2</w:t>
            </w:r>
          </w:p>
        </w:tc>
        <w:tc>
          <w:tcPr/>
          <w:p>
            <w:pPr>
              <w:pStyle w:val="Compact"/>
            </w:pPr>
            <w:r>
              <w:t xml:space="preserve">2019년 7월 T+3에서 T+2로 단축</w:t>
            </w:r>
          </w:p>
        </w:tc>
      </w:tr>
      <w:tr>
        <w:tc>
          <w:tcPr/>
          <w:p>
            <w:pPr>
              <w:pStyle w:val="Compact"/>
            </w:pPr>
            <w:r>
              <w:rPr>
                <w:b/>
                <w:bCs/>
              </w:rPr>
              <w:t xml:space="preserve">일본국채(JGB)</w:t>
            </w:r>
          </w:p>
        </w:tc>
        <w:tc>
          <w:tcPr/>
          <w:p>
            <w:pPr>
              <w:pStyle w:val="Compact"/>
            </w:pPr>
            <w:r>
              <w:t xml:space="preserve">T+1</w:t>
            </w:r>
          </w:p>
        </w:tc>
        <w:tc>
          <w:tcPr/>
          <w:p>
            <w:pPr>
              <w:pStyle w:val="Compact"/>
            </w:pPr>
            <w:r>
              <w:t xml:space="preserve">2018년 5월 T+2에서 T+1로 단축</w:t>
            </w:r>
          </w:p>
        </w:tc>
      </w:tr>
    </w:tbl>
    <w:p>
      <w:pPr>
        <w:pStyle w:val="BodyText"/>
      </w:pPr>
      <w:r>
        <w:t xml:space="preserve">일본 주식시장의 결제 주기는 2019년 7월에 T+3에서 T+2로 단축되었다. 이는 글로벌 주요 시장의 결제 주기 단축 추세에 맞춘 조치였으나, 미국이 2024년 5월에 T+1으로 전환한 것과 비교하면 여전히 한 단계 뒤처져 있는 상황이다. 일본국채의 경우 2018년 5월에 이미 T+1 결제를 달성하여 글로벌 기준에 부합하는 수준을 유지하고 있다.</w:t>
      </w:r>
    </w:p>
    <w:p>
      <w:pPr>
        <w:pStyle w:val="BodyText"/>
      </w:pPr>
      <w:r>
        <w:t xml:space="preserve">현재 일본 주식시장의 T+1 전환에 대해서는</w:t>
      </w:r>
      <w:r>
        <w:t xml:space="preserve"> </w:t>
      </w:r>
      <w:r>
        <w:rPr>
          <w:b/>
          <w:bCs/>
        </w:rPr>
        <w:t xml:space="preserve">구체적인 일정이 발표되지 않았으며</w:t>
      </w:r>
      <w:r>
        <w:t xml:space="preserve">, 비공식적인 논의 수준에 머물러 있다. 이는 미국(2024년 5월 T+1 전환 완료)과 한국(2027년 10월 T+1 전환 목표, KSD 워킹그룹 구성)과 대비되는 점이다.</w:t>
      </w:r>
    </w:p>
    <w:bookmarkEnd w:id="11"/>
    <w:bookmarkStart w:id="12" w:name="청산-스케줄-및-배치-처리"/>
    <w:p>
      <w:pPr>
        <w:pStyle w:val="Heading3"/>
      </w:pPr>
      <w:r>
        <w:t xml:space="preserve">2.3 청산 스케줄 및 배치 처리</w:t>
      </w:r>
    </w:p>
    <w:p>
      <w:pPr>
        <w:pStyle w:val="FirstParagraph"/>
      </w:pPr>
      <w:r>
        <w:t xml:space="preserve">JSCC의 청산 프로세스는</w:t>
      </w:r>
      <w:r>
        <w:t xml:space="preserve"> </w:t>
      </w:r>
      <w:r>
        <w:rPr>
          <w:b/>
          <w:bCs/>
        </w:rPr>
        <w:t xml:space="preserve">고정된 배치 처리 윈도우(fixed batch windows)</w:t>
      </w:r>
      <w:r>
        <w:t xml:space="preserve">에 의존하는 구조이다. 이는 실시간 연속 처리 방식과 대비되는 특성으로, 시스템 운영의 예측 가능성을 높이지만 유연성 측면에서 제약이 따른다.</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항목</w:t>
            </w:r>
          </w:p>
        </w:tc>
        <w:tc>
          <w:tcPr/>
          <w:p>
            <w:pPr>
              <w:pStyle w:val="Compact"/>
            </w:pPr>
            <w:r>
              <w:t xml:space="preserve">시간 (JST)</w:t>
            </w:r>
          </w:p>
        </w:tc>
        <w:tc>
          <w:tcPr/>
          <w:p>
            <w:pPr>
              <w:pStyle w:val="Compact"/>
            </w:pPr>
            <w:r>
              <w:t xml:space="preserve">설명</w:t>
            </w:r>
          </w:p>
        </w:tc>
      </w:tr>
      <w:tr>
        <w:tc>
          <w:tcPr/>
          <w:p>
            <w:pPr>
              <w:pStyle w:val="Compact"/>
            </w:pPr>
            <w:r>
              <w:rPr>
                <w:b/>
                <w:bCs/>
              </w:rPr>
              <w:t xml:space="preserve">증권 마감(Securities Cutoff)</w:t>
            </w:r>
          </w:p>
        </w:tc>
        <w:tc>
          <w:tcPr/>
          <w:p>
            <w:pPr>
              <w:pStyle w:val="Compact"/>
            </w:pPr>
            <w:r>
              <w:t xml:space="preserve">13:00</w:t>
            </w:r>
          </w:p>
        </w:tc>
        <w:tc>
          <w:tcPr/>
          <w:p>
            <w:pPr>
              <w:pStyle w:val="Compact"/>
            </w:pPr>
            <w:r>
              <w:t xml:space="preserve">결제일 기준 증권 인도 마감 시한</w:t>
            </w:r>
          </w:p>
        </w:tc>
      </w:tr>
      <w:tr>
        <w:tc>
          <w:tcPr/>
          <w:p>
            <w:pPr>
              <w:pStyle w:val="Compact"/>
            </w:pPr>
            <w:r>
              <w:rPr>
                <w:b/>
                <w:bCs/>
              </w:rPr>
              <w:t xml:space="preserve">현금 마감(Cash Cutoff)</w:t>
            </w:r>
          </w:p>
        </w:tc>
        <w:tc>
          <w:tcPr/>
          <w:p>
            <w:pPr>
              <w:pStyle w:val="Compact"/>
            </w:pPr>
            <w:r>
              <w:t xml:space="preserve">14:15</w:t>
            </w:r>
          </w:p>
        </w:tc>
        <w:tc>
          <w:tcPr/>
          <w:p>
            <w:pPr>
              <w:pStyle w:val="Compact"/>
            </w:pPr>
            <w:r>
              <w:t xml:space="preserve">결제일 기준 자금 결제 마감 시한</w:t>
            </w:r>
          </w:p>
        </w:tc>
      </w:tr>
      <w:tr>
        <w:tc>
          <w:tcPr/>
          <w:p>
            <w:pPr>
              <w:pStyle w:val="Compact"/>
            </w:pPr>
            <w:r>
              <w:rPr>
                <w:b/>
                <w:bCs/>
              </w:rPr>
              <w:t xml:space="preserve">배치 처리</w:t>
            </w:r>
          </w:p>
        </w:tc>
        <w:tc>
          <w:tcPr/>
          <w:p>
            <w:pPr>
              <w:pStyle w:val="Compact"/>
            </w:pPr>
            <w:r>
              <w:t xml:space="preserve">고정 윈도우</w:t>
            </w:r>
          </w:p>
        </w:tc>
        <w:tc>
          <w:tcPr/>
          <w:p>
            <w:pPr>
              <w:pStyle w:val="Compact"/>
            </w:pPr>
            <w:r>
              <w:t xml:space="preserve">정해진 시간대에 일괄 처리 수행</w:t>
            </w:r>
          </w:p>
        </w:tc>
      </w:tr>
    </w:tbl>
    <w:p>
      <w:pPr>
        <w:pStyle w:val="BodyText"/>
      </w:pPr>
      <w:r>
        <w:t xml:space="preserve">이러한 고정 배치 처리 구조는 결제 참가자들에게 명확한 시간 기준을 제공하지만, 다음과 같은 제약을 수반한다.</w:t>
      </w:r>
    </w:p>
    <w:p>
      <w:pPr>
        <w:pStyle w:val="Compact"/>
        <w:numPr>
          <w:ilvl w:val="0"/>
          <w:numId w:val="1001"/>
        </w:numPr>
      </w:pPr>
      <w:r>
        <w:t xml:space="preserve">마감 시한 이후 체결된 거래는 다음 결제 사이클로 이월</w:t>
      </w:r>
    </w:p>
    <w:p>
      <w:pPr>
        <w:pStyle w:val="Compact"/>
        <w:numPr>
          <w:ilvl w:val="0"/>
          <w:numId w:val="1001"/>
        </w:numPr>
      </w:pPr>
      <w:r>
        <w:t xml:space="preserve">배치 윈도우 외 시간대에는 청산 처리 불가</w:t>
      </w:r>
    </w:p>
    <w:p>
      <w:pPr>
        <w:pStyle w:val="Compact"/>
        <w:numPr>
          <w:ilvl w:val="0"/>
          <w:numId w:val="1001"/>
        </w:numPr>
      </w:pPr>
      <w:r>
        <w:t xml:space="preserve">시스템 확장 시 배치 구조 자체의 근본적 재설계 필요</w:t>
      </w:r>
    </w:p>
    <w:bookmarkEnd w:id="12"/>
    <w:bookmarkStart w:id="13" w:name="dvp-결제-jasdec-boj-net"/>
    <w:p>
      <w:pPr>
        <w:pStyle w:val="Heading3"/>
      </w:pPr>
      <w:r>
        <w:t xml:space="preserve">2.4 DVP 결제 (JASDEC / BOJ-NET)</w:t>
      </w:r>
    </w:p>
    <w:p>
      <w:pPr>
        <w:pStyle w:val="FirstParagraph"/>
      </w:pPr>
      <w:r>
        <w:t xml:space="preserve">JSCC의 DVP(Delivery versus Payment, 증권 인도 대 자금 지급) 결제는 상품 유형에 따라 서로 다른 인프라를 통해 수행된다.</w:t>
      </w:r>
    </w:p>
    <w:tbl>
      <w:tblPr>
        <w:tblStyle w:val="Table"/>
        <w:tblW w:type="pct" w:w="5000"/>
        <w:tblLayout w:type="fixed"/>
        <w:tblLook w:firstRow="1" w:lastRow="0" w:firstColumn="0" w:lastColumn="0" w:noHBand="0" w:noVBand="0" w:val="0020"/>
      </w:tblPr>
      <w:tblGrid>
        <w:gridCol w:w="1638"/>
        <w:gridCol w:w="3277"/>
        <w:gridCol w:w="3004"/>
      </w:tblGrid>
      <w:tr>
        <w:trPr>
          <w:tblHeader w:val="on"/>
        </w:trPr>
        <w:tc>
          <w:tcPr/>
          <w:p>
            <w:pPr>
              <w:pStyle w:val="Compact"/>
            </w:pPr>
            <w:r>
              <w:t xml:space="preserve">상품</w:t>
            </w:r>
          </w:p>
        </w:tc>
        <w:tc>
          <w:tcPr/>
          <w:p>
            <w:pPr>
              <w:pStyle w:val="Compact"/>
            </w:pPr>
            <w:r>
              <w:t xml:space="preserve">결제 인프라</w:t>
            </w:r>
          </w:p>
        </w:tc>
        <w:tc>
          <w:tcPr/>
          <w:p>
            <w:pPr>
              <w:pStyle w:val="Compact"/>
            </w:pPr>
            <w:r>
              <w:t xml:space="preserve">결제 방식</w:t>
            </w:r>
          </w:p>
        </w:tc>
      </w:tr>
      <w:tr>
        <w:tc>
          <w:tcPr/>
          <w:p>
            <w:pPr>
              <w:pStyle w:val="Compact"/>
            </w:pPr>
            <w:r>
              <w:rPr>
                <w:b/>
                <w:bCs/>
              </w:rPr>
              <w:t xml:space="preserve">주식</w:t>
            </w:r>
          </w:p>
        </w:tc>
        <w:tc>
          <w:tcPr/>
          <w:p>
            <w:pPr>
              <w:pStyle w:val="Compact"/>
            </w:pPr>
            <w:r>
              <w:t xml:space="preserve">JASDEC(일본증권예탁결제기구) + 결제은행</w:t>
            </w:r>
          </w:p>
        </w:tc>
        <w:tc>
          <w:tcPr/>
          <w:p>
            <w:pPr>
              <w:pStyle w:val="Compact"/>
            </w:pPr>
            <w:r>
              <w:t xml:space="preserve">차감 결제(net settlement)</w:t>
            </w:r>
          </w:p>
        </w:tc>
      </w:tr>
      <w:tr>
        <w:tc>
          <w:tcPr/>
          <w:p>
            <w:pPr>
              <w:pStyle w:val="Compact"/>
            </w:pPr>
            <w:r>
              <w:rPr>
                <w:b/>
                <w:bCs/>
              </w:rPr>
              <w:t xml:space="preserve">일본국채(JGB)</w:t>
            </w:r>
          </w:p>
        </w:tc>
        <w:tc>
          <w:tcPr/>
          <w:p>
            <w:pPr>
              <w:pStyle w:val="Compact"/>
            </w:pPr>
            <w:r>
              <w:t xml:space="preserve">BOJ-NET RTGS(일본은행 실시간총액결제시스템)</w:t>
            </w:r>
          </w:p>
        </w:tc>
        <w:tc>
          <w:tcPr/>
          <w:p>
            <w:pPr>
              <w:pStyle w:val="Compact"/>
            </w:pPr>
            <w:r>
              <w:t xml:space="preserve">총액-총액 DVP(gross-gross DVP)</w:t>
            </w:r>
          </w:p>
        </w:tc>
      </w:tr>
    </w:tbl>
    <w:p>
      <w:pPr>
        <w:pStyle w:val="BodyText"/>
      </w:pPr>
      <w:r>
        <w:rPr>
          <w:b/>
          <w:bCs/>
        </w:rPr>
        <w:t xml:space="preserve">주식 결제</w:t>
      </w:r>
      <w:r>
        <w:t xml:space="preserve">의 경우, 증권의 인도는 JASDEC(Japan Securities Depository Center)을 통해, 자금의 결제는 청산참가자 은행을 통해 이루어진다. 차감 결제 방식을 채택하여 결제 참가자 간 순수 차액만을 정산함으로써 결제 규모와 유동성 소요를 최소화한다.</w:t>
      </w:r>
    </w:p>
    <w:p>
      <w:pPr>
        <w:pStyle w:val="BodyText"/>
      </w:pPr>
      <w:r>
        <w:rPr>
          <w:b/>
          <w:bCs/>
        </w:rPr>
        <w:t xml:space="preserve">일본국채 결제</w:t>
      </w:r>
      <w:r>
        <w:t xml:space="preserve">의 경우, 일본은행이 운영하는 BOJ-NET RTGS 시스템을 통해 총액-총액 DVP 방식으로 처리된다. 이는 각 거래 건별로 증권 인도와 자금 지급이 동시에 이루어지는 가장 안전한 결제 방식이다. 다만, BOJ-NET의 운영시간에 의존하기 때문에 시간적 제약이 존재한다.</w:t>
      </w:r>
    </w:p>
    <w:p>
      <w:r>
        <w:pict>
          <v:rect style="width:0;height:1.5pt" o:hralign="center" o:hrstd="t" o:hr="t"/>
        </w:pict>
      </w:r>
    </w:p>
    <w:bookmarkEnd w:id="13"/>
    <w:bookmarkEnd w:id="14"/>
    <w:bookmarkStart w:id="17" w:name="증거금-관리"/>
    <w:p>
      <w:pPr>
        <w:pStyle w:val="Heading2"/>
      </w:pPr>
      <w:r>
        <w:t xml:space="preserve">3. 증거금 관리</w:t>
      </w:r>
    </w:p>
    <w:bookmarkStart w:id="15" w:name="var-모델-전환-spanvar"/>
    <w:p>
      <w:pPr>
        <w:pStyle w:val="Heading3"/>
      </w:pPr>
      <w:r>
        <w:t xml:space="preserve">3.1 VaR 모델 전환 (SPAN→VaR)</w:t>
      </w:r>
    </w:p>
    <w:p>
      <w:pPr>
        <w:pStyle w:val="FirstParagraph"/>
      </w:pPr>
      <w:r>
        <w:t xml:space="preserve">JSCC는 2023년 11월, 기존의 SPAN(Standard Portfolio Analysis of Risk) 방식에서</w:t>
      </w:r>
      <w:r>
        <w:t xml:space="preserve"> </w:t>
      </w:r>
      <w:r>
        <w:rPr>
          <w:b/>
          <w:bCs/>
        </w:rPr>
        <w:t xml:space="preserve">VaR(Value at Risk) 모델</w:t>
      </w:r>
      <w:r>
        <w:t xml:space="preserve">로 증거금 산출 방식을 전환하였다. 이는 리스크 관리 체계의 근본적인 업그레이드에 해당한다.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기존 (SPAN)</w:t>
            </w:r>
          </w:p>
        </w:tc>
        <w:tc>
          <w:tcPr/>
          <w:p>
            <w:pPr>
              <w:pStyle w:val="Compact"/>
            </w:pPr>
            <w:r>
              <w:t xml:space="preserve">현행 (VaR)</w:t>
            </w:r>
          </w:p>
        </w:tc>
      </w:tr>
      <w:tr>
        <w:tc>
          <w:tcPr/>
          <w:p>
            <w:pPr>
              <w:pStyle w:val="Compact"/>
            </w:pPr>
            <w:r>
              <w:rPr>
                <w:b/>
                <w:bCs/>
              </w:rPr>
              <w:t xml:space="preserve">전환 시기</w:t>
            </w:r>
          </w:p>
        </w:tc>
        <w:tc>
          <w:tcPr/>
          <w:p>
            <w:pPr>
              <w:pStyle w:val="Compact"/>
            </w:pPr>
            <w:r>
              <w:t xml:space="preserve">-</w:t>
            </w:r>
          </w:p>
        </w:tc>
        <w:tc>
          <w:tcPr/>
          <w:p>
            <w:pPr>
              <w:pStyle w:val="Compact"/>
            </w:pPr>
            <w:r>
              <w:t xml:space="preserve">2023년 11월</w:t>
            </w:r>
          </w:p>
        </w:tc>
      </w:tr>
      <w:tr>
        <w:tc>
          <w:tcPr/>
          <w:p>
            <w:pPr>
              <w:pStyle w:val="Compact"/>
            </w:pPr>
            <w:r>
              <w:rPr>
                <w:b/>
                <w:bCs/>
              </w:rPr>
              <w:t xml:space="preserve">방법론</w:t>
            </w:r>
          </w:p>
        </w:tc>
        <w:tc>
          <w:tcPr/>
          <w:p>
            <w:pPr>
              <w:pStyle w:val="Compact"/>
            </w:pPr>
            <w:r>
              <w:t xml:space="preserve">시나리오 기반</w:t>
            </w:r>
          </w:p>
        </w:tc>
        <w:tc>
          <w:tcPr/>
          <w:p>
            <w:pPr>
              <w:pStyle w:val="Compact"/>
            </w:pPr>
            <w:r>
              <w:t xml:space="preserve">통계적 분포 기반</w:t>
            </w:r>
          </w:p>
        </w:tc>
      </w:tr>
      <w:tr>
        <w:tc>
          <w:tcPr/>
          <w:p>
            <w:pPr>
              <w:pStyle w:val="Compact"/>
            </w:pPr>
            <w:r>
              <w:rPr>
                <w:b/>
                <w:bCs/>
              </w:rPr>
              <w:t xml:space="preserve">신뢰 수준</w:t>
            </w:r>
          </w:p>
        </w:tc>
        <w:tc>
          <w:tcPr/>
          <w:p>
            <w:pPr>
              <w:pStyle w:val="Compact"/>
            </w:pPr>
            <w:r>
              <w:t xml:space="preserve">-</w:t>
            </w:r>
          </w:p>
        </w:tc>
        <w:tc>
          <w:tcPr/>
          <w:p>
            <w:pPr>
              <w:pStyle w:val="Compact"/>
            </w:pPr>
            <w:r>
              <w:t xml:space="preserve">99%</w:t>
            </w:r>
          </w:p>
        </w:tc>
      </w:tr>
      <w:tr>
        <w:tc>
          <w:tcPr/>
          <w:p>
            <w:pPr>
              <w:pStyle w:val="Compact"/>
            </w:pPr>
            <w:r>
              <w:rPr>
                <w:b/>
                <w:bCs/>
              </w:rPr>
              <w:t xml:space="preserve">역사적 데이터</w:t>
            </w:r>
          </w:p>
        </w:tc>
        <w:tc>
          <w:tcPr/>
          <w:p>
            <w:pPr>
              <w:pStyle w:val="Compact"/>
            </w:pPr>
            <w:r>
              <w:t xml:space="preserve">제한적</w:t>
            </w:r>
          </w:p>
        </w:tc>
        <w:tc>
          <w:tcPr/>
          <w:p>
            <w:pPr>
              <w:pStyle w:val="Compact"/>
            </w:pPr>
            <w:r>
              <w:t xml:space="preserve">1,250개 이상 데이터 포인트</w:t>
            </w:r>
          </w:p>
        </w:tc>
      </w:tr>
      <w:tr>
        <w:tc>
          <w:tcPr/>
          <w:p>
            <w:pPr>
              <w:pStyle w:val="Compact"/>
            </w:pPr>
            <w:r>
              <w:rPr>
                <w:b/>
                <w:bCs/>
              </w:rPr>
              <w:t xml:space="preserve">적용 범위</w:t>
            </w:r>
          </w:p>
        </w:tc>
        <w:tc>
          <w:tcPr/>
          <w:p>
            <w:pPr>
              <w:pStyle w:val="Compact"/>
            </w:pPr>
            <w:r>
              <w:t xml:space="preserve">상품별 별도 관리</w:t>
            </w:r>
          </w:p>
        </w:tc>
        <w:tc>
          <w:tcPr/>
          <w:p>
            <w:pPr>
              <w:pStyle w:val="Compact"/>
            </w:pPr>
            <w:r>
              <w:t xml:space="preserve">JSCC 청산 전 상품 통합 적용</w:t>
            </w:r>
          </w:p>
        </w:tc>
      </w:tr>
    </w:tbl>
    <w:p>
      <w:pPr>
        <w:pStyle w:val="BodyText"/>
      </w:pPr>
      <w:r>
        <w:t xml:space="preserve">VaR 모델 전환의 주요 의의는 다음과 같다.</w:t>
      </w:r>
    </w:p>
    <w:p>
      <w:pPr>
        <w:pStyle w:val="BodyText"/>
      </w:pPr>
      <w:r>
        <w:rPr>
          <w:b/>
          <w:bCs/>
        </w:rPr>
        <w:t xml:space="preserve">첫째, 리스크 측정의 정교화이다.</w:t>
      </w:r>
      <w:r>
        <w:t xml:space="preserve"> </w:t>
      </w:r>
      <w:r>
        <w:t xml:space="preserve">SPAN 모델이 사전에 정의된 시나리오에 기반하여 증거금을 산출하는 반면, VaR 모델은 99% 신뢰 수준에서 1,250개 이상의 역사적 데이터 포인트를 활용하여 통계적으로 잠재 손실을 추정한다. 이를 통해 시장 환경 변화에 보다 민감하게 반응하는 증거금 체계를 구축하였다.</w:t>
      </w:r>
    </w:p>
    <w:p>
      <w:pPr>
        <w:pStyle w:val="BodyText"/>
      </w:pPr>
      <w:r>
        <w:rPr>
          <w:b/>
          <w:bCs/>
        </w:rPr>
        <w:t xml:space="preserve">둘째, 통합적 리스크 관리이다.</w:t>
      </w:r>
      <w:r>
        <w:t xml:space="preserve"> </w:t>
      </w:r>
      <w:r>
        <w:t xml:space="preserve">기존에 상품별로 분리 관리되던 증거금 산출을 JSCC가 청산하는 전 상품(주식, 파생상품, JGB, CDS)에 대해 통합적으로 적용함으로써 포트폴리오 수준의 리스크 관리가 가능해졌다.</w:t>
      </w:r>
    </w:p>
    <w:p>
      <w:pPr>
        <w:pStyle w:val="BodyText"/>
      </w:pPr>
      <w:r>
        <w:t xml:space="preserve">다만, 미국 DTCC/NSCC가</w:t>
      </w:r>
      <w:r>
        <w:t xml:space="preserve"> </w:t>
      </w:r>
      <w:r>
        <w:rPr>
          <w:b/>
          <w:bCs/>
        </w:rPr>
        <w:t xml:space="preserve">15분 간격의 연속 VaR(Continuous VaR)</w:t>
      </w:r>
      <w:r>
        <w:t xml:space="preserve"> </w:t>
      </w:r>
      <w:r>
        <w:t xml:space="preserve">방식을 도입한 것과 비교하면, JSCC의 VaR 모델은 배치 기반으로 운영되어 일중(intraday) 리스크 포착 능력에서 차이가 있다.</w:t>
      </w:r>
    </w:p>
    <w:bookmarkEnd w:id="15"/>
    <w:bookmarkStart w:id="16" w:name="담보-관리"/>
    <w:p>
      <w:pPr>
        <w:pStyle w:val="Heading3"/>
      </w:pPr>
      <w:r>
        <w:t xml:space="preserve">3.2 담보 관리</w:t>
      </w:r>
    </w:p>
    <w:p>
      <w:pPr>
        <w:pStyle w:val="FirstParagraph"/>
      </w:pPr>
      <w:r>
        <w:t xml:space="preserve">JSCC의 증거금 체계에서 청산참가자는 현금 또는 적격 유가증권을 담보로 제출해야 한다. VaR 모델 전환 이후 증거금 수준이 시장 변동성에 보다 민감하게 연동됨에 따라, 참가자들의 담보 관리 부담이 증가할 수 있다. 특히 시장 급변 시 추가 증거금(margin call)의 규모와 빈도가 SPAN 방식 대비 변동성을 보일 수 있으며, 이에 대한 참가자의 유동성 관리 역량이 더욱 중요해졌다.</w:t>
      </w:r>
    </w:p>
    <w:p>
      <w:r>
        <w:pict>
          <v:rect style="width:0;height:1.5pt" o:hralign="center" o:hrstd="t" o:hr="t"/>
        </w:pict>
      </w:r>
    </w:p>
    <w:bookmarkEnd w:id="16"/>
    <w:bookmarkEnd w:id="17"/>
    <w:bookmarkStart w:id="18" w:name="t1-결제-전환-논의"/>
    <w:p>
      <w:pPr>
        <w:pStyle w:val="Heading2"/>
      </w:pPr>
      <w:r>
        <w:t xml:space="preserve">4. T+1 결제 전환 논의</w:t>
      </w:r>
    </w:p>
    <w:p>
      <w:pPr>
        <w:pStyle w:val="FirstParagraph"/>
      </w:pPr>
      <w:r>
        <w:t xml:space="preserve">일본 주식시장의 T+1 결제 전환은 현재</w:t>
      </w:r>
      <w:r>
        <w:t xml:space="preserve"> </w:t>
      </w:r>
      <w:r>
        <w:rPr>
          <w:b/>
          <w:bCs/>
        </w:rPr>
        <w:t xml:space="preserve">비공식적 논의 단계</w:t>
      </w:r>
      <w:r>
        <w:t xml:space="preserve">에 머물러 있으며, 구체적인 이행 일정은 발표되지 않은 상태이다. 이는 글로벌 주요 시장의 동향과 대비된다.</w:t>
      </w:r>
    </w:p>
    <w:tbl>
      <w:tblPr>
        <w:tblStyle w:val="Table"/>
        <w:tblW w:type="pct" w:w="5000"/>
        <w:tblLayout w:type="fixed"/>
        <w:tblLook w:firstRow="1" w:lastRow="0" w:firstColumn="0" w:lastColumn="0" w:noHBand="0" w:noVBand="0" w:val="0020"/>
      </w:tblPr>
      <w:tblGrid>
        <w:gridCol w:w="1357"/>
        <w:gridCol w:w="3394"/>
        <w:gridCol w:w="3168"/>
      </w:tblGrid>
      <w:tr>
        <w:trPr>
          <w:tblHeader w:val="on"/>
        </w:trPr>
        <w:tc>
          <w:tcPr/>
          <w:p>
            <w:pPr>
              <w:pStyle w:val="Compact"/>
            </w:pPr>
            <w:r>
              <w:t xml:space="preserve">시장</w:t>
            </w:r>
          </w:p>
        </w:tc>
        <w:tc>
          <w:tcPr/>
          <w:p>
            <w:pPr>
              <w:pStyle w:val="Compact"/>
            </w:pPr>
            <w:r>
              <w:t xml:space="preserve">현행 결제 주기</w:t>
            </w:r>
          </w:p>
        </w:tc>
        <w:tc>
          <w:tcPr/>
          <w:p>
            <w:pPr>
              <w:pStyle w:val="Compact"/>
            </w:pPr>
            <w:r>
              <w:t xml:space="preserve">T+1 전환 상황</w:t>
            </w:r>
          </w:p>
        </w:tc>
      </w:tr>
      <w:tr>
        <w:tc>
          <w:tcPr/>
          <w:p>
            <w:pPr>
              <w:pStyle w:val="Compact"/>
            </w:pPr>
            <w:r>
              <w:rPr>
                <w:b/>
                <w:bCs/>
              </w:rPr>
              <w:t xml:space="preserve">미국 (DTCC/NSCC)</w:t>
            </w:r>
          </w:p>
        </w:tc>
        <w:tc>
          <w:tcPr/>
          <w:p>
            <w:pPr>
              <w:pStyle w:val="Compact"/>
            </w:pPr>
            <w:r>
              <w:t xml:space="preserve">T+1</w:t>
            </w:r>
          </w:p>
        </w:tc>
        <w:tc>
          <w:tcPr/>
          <w:p>
            <w:pPr>
              <w:pStyle w:val="Compact"/>
            </w:pPr>
            <w:r>
              <w:t xml:space="preserve">2024년 5월 전환 완료</w:t>
            </w:r>
          </w:p>
        </w:tc>
      </w:tr>
      <w:tr>
        <w:tc>
          <w:tcPr/>
          <w:p>
            <w:pPr>
              <w:pStyle w:val="Compact"/>
            </w:pPr>
            <w:r>
              <w:rPr>
                <w:b/>
                <w:bCs/>
              </w:rPr>
              <w:t xml:space="preserve">한국 (KRX/KSD)</w:t>
            </w:r>
          </w:p>
        </w:tc>
        <w:tc>
          <w:tcPr/>
          <w:p>
            <w:pPr>
              <w:pStyle w:val="Compact"/>
            </w:pPr>
            <w:r>
              <w:t xml:space="preserve">T+2</w:t>
            </w:r>
          </w:p>
        </w:tc>
        <w:tc>
          <w:tcPr/>
          <w:p>
            <w:pPr>
              <w:pStyle w:val="Compact"/>
            </w:pPr>
            <w:r>
              <w:rPr>
                <w:b/>
                <w:bCs/>
              </w:rPr>
              <w:t xml:space="preserve">2027년 10월</w:t>
            </w:r>
            <w:r>
              <w:t xml:space="preserve"> </w:t>
            </w:r>
            <w:r>
              <w:t xml:space="preserve">T+1 전환 목표 (KSD 워킹그룹 구성, EU/UK와 정렬)</w:t>
            </w:r>
          </w:p>
        </w:tc>
      </w:tr>
      <w:tr>
        <w:tc>
          <w:tcPr/>
          <w:p>
            <w:pPr>
              <w:pStyle w:val="Compact"/>
            </w:pPr>
            <w:r>
              <w:rPr>
                <w:b/>
                <w:bCs/>
              </w:rPr>
              <w:t xml:space="preserve">일본 (JSCC)</w:t>
            </w:r>
          </w:p>
        </w:tc>
        <w:tc>
          <w:tcPr/>
          <w:p>
            <w:pPr>
              <w:pStyle w:val="Compact"/>
            </w:pPr>
            <w:r>
              <w:t xml:space="preserve">T+2</w:t>
            </w:r>
          </w:p>
        </w:tc>
        <w:tc>
          <w:tcPr/>
          <w:p>
            <w:pPr>
              <w:pStyle w:val="Compact"/>
            </w:pPr>
            <w:r>
              <w:t xml:space="preserve">비공식 논의 단계, 구체적 일정 없음</w:t>
            </w:r>
          </w:p>
        </w:tc>
      </w:tr>
      <w:tr>
        <w:tc>
          <w:tcPr/>
          <w:p>
            <w:pPr>
              <w:pStyle w:val="Compact"/>
            </w:pPr>
            <w:r>
              <w:rPr>
                <w:b/>
                <w:bCs/>
              </w:rPr>
              <w:t xml:space="preserve">유럽 (Euroclear 등)</w:t>
            </w:r>
          </w:p>
        </w:tc>
        <w:tc>
          <w:tcPr/>
          <w:p>
            <w:pPr>
              <w:pStyle w:val="Compact"/>
            </w:pPr>
            <w:r>
              <w:t xml:space="preserve">T+2</w:t>
            </w:r>
          </w:p>
        </w:tc>
        <w:tc>
          <w:tcPr/>
          <w:p>
            <w:pPr>
              <w:pStyle w:val="Compact"/>
            </w:pPr>
            <w:r>
              <w:t xml:space="preserve">T+1 전환 논의 진행 중</w:t>
            </w:r>
          </w:p>
        </w:tc>
      </w:tr>
    </w:tbl>
    <w:p>
      <w:pPr>
        <w:pStyle w:val="BodyText"/>
      </w:pPr>
      <w:r>
        <w:t xml:space="preserve">일본이 T+1 전환에 소극적인 배경에는 여러 구조적 요인이 존재한다.</w:t>
      </w:r>
    </w:p>
    <w:p>
      <w:pPr>
        <w:pStyle w:val="BodyText"/>
      </w:pPr>
      <w:r>
        <w:rPr>
          <w:b/>
          <w:bCs/>
        </w:rPr>
        <w:t xml:space="preserve">첫째, 시장 참가자의 준비 부담이다.</w:t>
      </w:r>
      <w:r>
        <w:t xml:space="preserve"> </w:t>
      </w:r>
      <w:r>
        <w:t xml:space="preserve">T+2에서 T+1로의 전환은 증권사, 운용사, 수탁은행 등 시장 참가자 전반의 백오피스 시스템 개편을 요구한다. 2019년 T+3에서 T+2로의 전환 경험이 비교적 최근인 점도 추가 단축에 대한 시장의 피로감으로 작용할 수 있다.</w:t>
      </w:r>
    </w:p>
    <w:p>
      <w:pPr>
        <w:pStyle w:val="BodyText"/>
      </w:pPr>
      <w:r>
        <w:rPr>
          <w:b/>
          <w:bCs/>
        </w:rPr>
        <w:t xml:space="preserve">둘째, 배치 처리 구조의 제약이다.</w:t>
      </w:r>
      <w:r>
        <w:t xml:space="preserve"> </w:t>
      </w:r>
      <w:r>
        <w:t xml:space="preserve">앞서 살펴본 고정 배치 윈도우 구조에서 결제 주기를 단축하면 처리 시간이 더욱 압축되어 운영 리스크가 증가할 수 있다. 현행 13:00 JST 증권 마감, 14:15 JST 현금 마감의 타이트한 스케줄이 T+1 환경에서는 더욱 촉박해질 수 있다.</w:t>
      </w:r>
    </w:p>
    <w:p>
      <w:pPr>
        <w:pStyle w:val="BodyText"/>
      </w:pPr>
      <w:r>
        <w:rPr>
          <w:b/>
          <w:bCs/>
        </w:rPr>
        <w:t xml:space="preserve">셋째, 해외 투자자 대응 문제이다.</w:t>
      </w:r>
      <w:r>
        <w:t xml:space="preserve"> </w:t>
      </w:r>
      <w:r>
        <w:t xml:space="preserve">일본 주식시장에서 해외 투자자의 비중이 상당한 점을 고려할 때, T+1 결제는 시차로 인한 자금 조달 및 증권 인도 시간 부족 문제를 야기할 수 있다.</w:t>
      </w:r>
    </w:p>
    <w:p>
      <w:r>
        <w:pict>
          <v:rect style="width:0;height:1.5pt" o:hralign="center" o:hrstd="t" o:hr="t"/>
        </w:pict>
      </w:r>
    </w:p>
    <w:bookmarkEnd w:id="18"/>
    <w:bookmarkStart w:id="22" w:name="시간-거래-대응-과제"/>
    <w:p>
      <w:pPr>
        <w:pStyle w:val="Heading2"/>
      </w:pPr>
      <w:r>
        <w:t xml:space="preserve">5. 24시간 거래 대응 과제</w:t>
      </w:r>
    </w:p>
    <w:bookmarkStart w:id="19" w:name="배치-처리-의존성"/>
    <w:p>
      <w:pPr>
        <w:pStyle w:val="Heading3"/>
      </w:pPr>
      <w:r>
        <w:t xml:space="preserve">5.1 배치 처리 의존성</w:t>
      </w:r>
    </w:p>
    <w:p>
      <w:pPr>
        <w:pStyle w:val="FirstParagraph"/>
      </w:pPr>
      <w:r>
        <w:t xml:space="preserve">JSCC의 24시간 거래 대응에 있어</w:t>
      </w:r>
      <w:r>
        <w:t xml:space="preserve"> </w:t>
      </w:r>
      <w:r>
        <w:rPr>
          <w:b/>
          <w:bCs/>
        </w:rPr>
        <w:t xml:space="preserve">가장 근본적인 제약은 배치 처리 의존성</w:t>
      </w:r>
      <w:r>
        <w:t xml:space="preserve">이다. 현행 시스템은 고정된 배치 윈도우를 중심으로 설계되어 있으며, 이러한 구조는 연속적인 거래 시간 확장과 근본적으로 상충한다.</w:t>
      </w:r>
    </w:p>
    <w:p>
      <w:pPr>
        <w:pStyle w:val="BodyText"/>
      </w:pPr>
      <w:r>
        <w:t xml:space="preserve">배치 처리 의존성이 24시간 거래에 미치는 영향은 다음과 같이 정리할 수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제약 요인</w:t>
            </w:r>
          </w:p>
        </w:tc>
        <w:tc>
          <w:tcPr/>
          <w:p>
            <w:pPr>
              <w:pStyle w:val="Compact"/>
            </w:pPr>
            <w:r>
              <w:t xml:space="preserve">현행 상황</w:t>
            </w:r>
          </w:p>
        </w:tc>
        <w:tc>
          <w:tcPr/>
          <w:p>
            <w:pPr>
              <w:pStyle w:val="Compact"/>
            </w:pPr>
            <w:r>
              <w:t xml:space="preserve">24시간 대응 시 필요 변화</w:t>
            </w:r>
          </w:p>
        </w:tc>
      </w:tr>
      <w:tr>
        <w:tc>
          <w:tcPr/>
          <w:p>
            <w:pPr>
              <w:pStyle w:val="Compact"/>
            </w:pPr>
            <w:r>
              <w:t xml:space="preserve">청산 처리 방식</w:t>
            </w:r>
          </w:p>
        </w:tc>
        <w:tc>
          <w:tcPr/>
          <w:p>
            <w:pPr>
              <w:pStyle w:val="Compact"/>
            </w:pPr>
            <w:r>
              <w:t xml:space="preserve">고정 배치 윈도우</w:t>
            </w:r>
          </w:p>
        </w:tc>
        <w:tc>
          <w:tcPr/>
          <w:p>
            <w:pPr>
              <w:pStyle w:val="Compact"/>
            </w:pPr>
            <w:r>
              <w:t xml:space="preserve">실시간 또는 준실시간 연속 처리</w:t>
            </w:r>
          </w:p>
        </w:tc>
      </w:tr>
      <w:tr>
        <w:tc>
          <w:tcPr/>
          <w:p>
            <w:pPr>
              <w:pStyle w:val="Compact"/>
            </w:pPr>
            <w:r>
              <w:t xml:space="preserve">증권 마감 시한</w:t>
            </w:r>
          </w:p>
        </w:tc>
        <w:tc>
          <w:tcPr/>
          <w:p>
            <w:pPr>
              <w:pStyle w:val="Compact"/>
            </w:pPr>
            <w:r>
              <w:t xml:space="preserve">13:00 JST 고정</w:t>
            </w:r>
          </w:p>
        </w:tc>
        <w:tc>
          <w:tcPr/>
          <w:p>
            <w:pPr>
              <w:pStyle w:val="Compact"/>
            </w:pPr>
            <w:r>
              <w:t xml:space="preserve">다중 결제 사이클 또는 연속 결제</w:t>
            </w:r>
          </w:p>
        </w:tc>
      </w:tr>
      <w:tr>
        <w:tc>
          <w:tcPr/>
          <w:p>
            <w:pPr>
              <w:pStyle w:val="Compact"/>
            </w:pPr>
            <w:r>
              <w:t xml:space="preserve">현금 마감 시한</w:t>
            </w:r>
          </w:p>
        </w:tc>
        <w:tc>
          <w:tcPr/>
          <w:p>
            <w:pPr>
              <w:pStyle w:val="Compact"/>
            </w:pPr>
            <w:r>
              <w:t xml:space="preserve">14:15 JST 고정</w:t>
            </w:r>
          </w:p>
        </w:tc>
        <w:tc>
          <w:tcPr/>
          <w:p>
            <w:pPr>
              <w:pStyle w:val="Compact"/>
            </w:pPr>
            <w:r>
              <w:t xml:space="preserve">야간 자금 결제 메커니즘 필요</w:t>
            </w:r>
          </w:p>
        </w:tc>
      </w:tr>
      <w:tr>
        <w:tc>
          <w:tcPr/>
          <w:p>
            <w:pPr>
              <w:pStyle w:val="Compact"/>
            </w:pPr>
            <w:r>
              <w:t xml:space="preserve">차감 처리</w:t>
            </w:r>
          </w:p>
        </w:tc>
        <w:tc>
          <w:tcPr/>
          <w:p>
            <w:pPr>
              <w:pStyle w:val="Compact"/>
            </w:pPr>
            <w:r>
              <w:t xml:space="preserve">일 1회 일괄 차감</w:t>
            </w:r>
          </w:p>
        </w:tc>
        <w:tc>
          <w:tcPr/>
          <w:p>
            <w:pPr>
              <w:pStyle w:val="Compact"/>
            </w:pPr>
            <w:r>
              <w:t xml:space="preserve">다중 차감 또는 건별 처리</w:t>
            </w:r>
          </w:p>
        </w:tc>
      </w:tr>
    </w:tbl>
    <w:p>
      <w:pPr>
        <w:pStyle w:val="BodyText"/>
      </w:pPr>
      <w:r>
        <w:t xml:space="preserve">JSCC가 24시간 거래를 지원하려면 배치 기반 아키텍처의</w:t>
      </w:r>
      <w:r>
        <w:t xml:space="preserve"> </w:t>
      </w:r>
      <w:r>
        <w:rPr>
          <w:b/>
          <w:bCs/>
        </w:rPr>
        <w:t xml:space="preserve">근본적인 재구축(fundamental restructuring)</w:t>
      </w:r>
      <w:r>
        <w:t xml:space="preserve">이 필요하다. 이는 단순한 운영시간 연장이 아니라 시스템 설계 철학 자체의 전환을 의미한다.</w:t>
      </w:r>
    </w:p>
    <w:bookmarkEnd w:id="19"/>
    <w:bookmarkStart w:id="20" w:name="결제은행-운영시간-제약"/>
    <w:p>
      <w:pPr>
        <w:pStyle w:val="Heading3"/>
      </w:pPr>
      <w:r>
        <w:t xml:space="preserve">5.2 결제은행 운영시간 제약</w:t>
      </w:r>
    </w:p>
    <w:p>
      <w:pPr>
        <w:pStyle w:val="FirstParagraph"/>
      </w:pPr>
      <w:r>
        <w:t xml:space="preserve">JSCC의 자금 결제는 청산참가자 은행(결제은행)을 통해 이루어지므로, 결제은행의 운영시간이 청산 가능 시간대를 제한하는</w:t>
      </w:r>
      <w:r>
        <w:t xml:space="preserve"> </w:t>
      </w:r>
      <w:r>
        <w:rPr>
          <w:b/>
          <w:bCs/>
        </w:rPr>
        <w:t xml:space="preserve">구속 조건(binding constraint)</w:t>
      </w:r>
      <w:r>
        <w:t xml:space="preserve">으로 작용한다. 일본의 은행 시스템은 야간 시간대에 실시간 자금 이체가 제한적이며, 이는 야간 거래에 대한 DVP 결제를 사실상 불가능하게 만든다.</w:t>
      </w:r>
    </w:p>
    <w:p>
      <w:pPr>
        <w:pStyle w:val="BodyText"/>
      </w:pPr>
      <w:r>
        <w:t xml:space="preserve">이 문제를 해결하기 위해서는 다음과 같은 대안이 검토될 수 있다.</w:t>
      </w:r>
    </w:p>
    <w:p>
      <w:pPr>
        <w:pStyle w:val="Compact"/>
        <w:numPr>
          <w:ilvl w:val="0"/>
          <w:numId w:val="1002"/>
        </w:numPr>
      </w:pPr>
      <w:r>
        <w:t xml:space="preserve">결제은행의 운영시간 연장 또는 24시간 운영 체제 전환</w:t>
      </w:r>
    </w:p>
    <w:p>
      <w:pPr>
        <w:pStyle w:val="Compact"/>
        <w:numPr>
          <w:ilvl w:val="0"/>
          <w:numId w:val="1002"/>
        </w:numPr>
      </w:pPr>
      <w:r>
        <w:t xml:space="preserve">사전 예치금(pre-funded) 방식을 통한 야간 결제 지원</w:t>
      </w:r>
    </w:p>
    <w:p>
      <w:pPr>
        <w:pStyle w:val="Compact"/>
        <w:numPr>
          <w:ilvl w:val="0"/>
          <w:numId w:val="1002"/>
        </w:numPr>
      </w:pPr>
      <w:r>
        <w:t xml:space="preserve">중앙은행 디지털 화폐(CBDC) 등 새로운 결제 수단 활용</w:t>
      </w:r>
    </w:p>
    <w:bookmarkEnd w:id="20"/>
    <w:bookmarkStart w:id="21" w:name="boj-net-연계-한계"/>
    <w:p>
      <w:pPr>
        <w:pStyle w:val="Heading3"/>
      </w:pPr>
      <w:r>
        <w:t xml:space="preserve">5.3 BOJ-NET 연계 한계</w:t>
      </w:r>
    </w:p>
    <w:p>
      <w:pPr>
        <w:pStyle w:val="FirstParagraph"/>
      </w:pPr>
      <w:r>
        <w:t xml:space="preserve">일본국채(JGB) 결제의 핵심 인프라인 BOJ-NET RTGS 시스템은 일본은행이 운영하며, 정해진 운영시간 내에서만 결제가 가능하다. JSCC의 JGB 청산은 BOJ-NET에 전적으로 의존하므로, BOJ-NET의 운영시간이 확장되지 않는 한 JGB 관련 야간 청산은 불가능하다.</w:t>
      </w:r>
    </w:p>
    <w:p>
      <w:pPr>
        <w:pStyle w:val="BodyText"/>
      </w:pPr>
      <w:r>
        <w:t xml:space="preserve">이는 단일 기관(JSCC)의 노력만으로 해결할 수 없는 구조적 문제로, 일본은행의 인프라 정책과 연계된 범시장적 논의가 필요한 사안이다.</w:t>
      </w:r>
    </w:p>
    <w:p>
      <w:r>
        <w:pict>
          <v:rect style="width:0;height:1.5pt" o:hralign="center" o:hrstd="t" o:hr="t"/>
        </w:pict>
      </w:r>
    </w:p>
    <w:bookmarkEnd w:id="21"/>
    <w:bookmarkEnd w:id="22"/>
    <w:bookmarkStart w:id="23" w:name="dtccnscc와의-비교"/>
    <w:p>
      <w:pPr>
        <w:pStyle w:val="Heading2"/>
      </w:pPr>
      <w:r>
        <w:t xml:space="preserve">6. DTCC/NSCC와의 비교</w:t>
      </w:r>
    </w:p>
    <w:p>
      <w:pPr>
        <w:pStyle w:val="FirstParagraph"/>
      </w:pPr>
      <w:r>
        <w:t xml:space="preserve">JSCC와 미국의 DTCC/NSCC를 주요 차원에서 비교하면 다음과 같다.</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pPr>
            <w:r>
              <w:t xml:space="preserve">비교 항목</w:t>
            </w:r>
          </w:p>
        </w:tc>
        <w:tc>
          <w:tcPr/>
          <w:p>
            <w:pPr>
              <w:pStyle w:val="Compact"/>
            </w:pPr>
            <w:r>
              <w:t xml:space="preserve">JSCC</w:t>
            </w:r>
          </w:p>
        </w:tc>
        <w:tc>
          <w:tcPr/>
          <w:p>
            <w:pPr>
              <w:pStyle w:val="Compact"/>
            </w:pPr>
            <w:r>
              <w:t xml:space="preserve">DTCC/NSCC</w:t>
            </w:r>
          </w:p>
        </w:tc>
      </w:tr>
      <w:tr>
        <w:tc>
          <w:tcPr/>
          <w:p>
            <w:pPr>
              <w:pStyle w:val="Compact"/>
            </w:pPr>
            <w:r>
              <w:rPr>
                <w:b/>
                <w:bCs/>
              </w:rPr>
              <w:t xml:space="preserve">주식 결제 주기</w:t>
            </w:r>
          </w:p>
        </w:tc>
        <w:tc>
          <w:tcPr/>
          <w:p>
            <w:pPr>
              <w:pStyle w:val="Compact"/>
            </w:pPr>
            <w:r>
              <w:t xml:space="preserve">T+2</w:t>
            </w:r>
          </w:p>
        </w:tc>
        <w:tc>
          <w:tcPr/>
          <w:p>
            <w:pPr>
              <w:pStyle w:val="Compact"/>
            </w:pPr>
            <w:r>
              <w:t xml:space="preserve">T+1 (2024년 5월 전환)</w:t>
            </w:r>
          </w:p>
        </w:tc>
      </w:tr>
      <w:tr>
        <w:tc>
          <w:tcPr/>
          <w:p>
            <w:pPr>
              <w:pStyle w:val="Compact"/>
            </w:pPr>
            <w:r>
              <w:rPr>
                <w:b/>
                <w:bCs/>
              </w:rPr>
              <w:t xml:space="preserve">국채 결제 주기</w:t>
            </w:r>
          </w:p>
        </w:tc>
        <w:tc>
          <w:tcPr/>
          <w:p>
            <w:pPr>
              <w:pStyle w:val="Compact"/>
            </w:pPr>
            <w:r>
              <w:t xml:space="preserve">T+1 (JGB)</w:t>
            </w:r>
          </w:p>
        </w:tc>
        <w:tc>
          <w:tcPr/>
          <w:p>
            <w:pPr>
              <w:pStyle w:val="Compact"/>
            </w:pPr>
            <w:r>
              <w:t xml:space="preserve">T+1 (US Treasury)</w:t>
            </w:r>
          </w:p>
        </w:tc>
      </w:tr>
      <w:tr>
        <w:tc>
          <w:tcPr/>
          <w:p>
            <w:pPr>
              <w:pStyle w:val="Compact"/>
            </w:pPr>
            <w:r>
              <w:rPr>
                <w:b/>
                <w:bCs/>
              </w:rPr>
              <w:t xml:space="preserve">24x5 청산</w:t>
            </w:r>
          </w:p>
        </w:tc>
        <w:tc>
          <w:tcPr/>
          <w:p>
            <w:pPr>
              <w:pStyle w:val="Compact"/>
            </w:pPr>
            <w:r>
              <w:t xml:space="preserve">계획 없음</w:t>
            </w:r>
          </w:p>
        </w:tc>
        <w:tc>
          <w:tcPr/>
          <w:p>
            <w:pPr>
              <w:pStyle w:val="Compact"/>
            </w:pPr>
            <w:r>
              <w:t xml:space="preserve">Phase 2 (2026년 6월 목표)</w:t>
            </w:r>
          </w:p>
        </w:tc>
      </w:tr>
      <w:tr>
        <w:tc>
          <w:tcPr/>
          <w:p>
            <w:pPr>
              <w:pStyle w:val="Compact"/>
            </w:pPr>
            <w:r>
              <w:rPr>
                <w:b/>
                <w:bCs/>
              </w:rPr>
              <w:t xml:space="preserve">증거금 모델</w:t>
            </w:r>
          </w:p>
        </w:tc>
        <w:tc>
          <w:tcPr/>
          <w:p>
            <w:pPr>
              <w:pStyle w:val="Compact"/>
            </w:pPr>
            <w:r>
              <w:t xml:space="preserve">VaR (2023년 11월 전환)</w:t>
            </w:r>
          </w:p>
        </w:tc>
        <w:tc>
          <w:tcPr/>
          <w:p>
            <w:pPr>
              <w:pStyle w:val="Compact"/>
            </w:pPr>
            <w:r>
              <w:t xml:space="preserve">Continuous VaR (15분 간격)</w:t>
            </w:r>
          </w:p>
        </w:tc>
      </w:tr>
      <w:tr>
        <w:tc>
          <w:tcPr/>
          <w:p>
            <w:pPr>
              <w:pStyle w:val="Compact"/>
            </w:pPr>
            <w:r>
              <w:rPr>
                <w:b/>
                <w:bCs/>
              </w:rPr>
              <w:t xml:space="preserve">실시간 채무인수(Novation)</w:t>
            </w:r>
          </w:p>
        </w:tc>
        <w:tc>
          <w:tcPr/>
          <w:p>
            <w:pPr>
              <w:pStyle w:val="Compact"/>
            </w:pPr>
            <w:r>
              <w:t xml:space="preserve">미지원</w:t>
            </w:r>
          </w:p>
        </w:tc>
        <w:tc>
          <w:tcPr/>
          <w:p>
            <w:pPr>
              <w:pStyle w:val="Compact"/>
            </w:pPr>
            <w:r>
              <w:t xml:space="preserve">Phase 2 목표</w:t>
            </w:r>
          </w:p>
        </w:tc>
      </w:tr>
      <w:tr>
        <w:tc>
          <w:tcPr/>
          <w:p>
            <w:pPr>
              <w:pStyle w:val="Compact"/>
            </w:pPr>
            <w:r>
              <w:rPr>
                <w:b/>
                <w:bCs/>
              </w:rPr>
              <w:t xml:space="preserve">청산 운영시간</w:t>
            </w:r>
          </w:p>
        </w:tc>
        <w:tc>
          <w:tcPr/>
          <w:p>
            <w:pPr>
              <w:pStyle w:val="Compact"/>
            </w:pPr>
            <w:r>
              <w:t xml:space="preserve">고정 배치 윈도우</w:t>
            </w:r>
          </w:p>
        </w:tc>
        <w:tc>
          <w:tcPr/>
          <w:p>
            <w:pPr>
              <w:pStyle w:val="Compact"/>
            </w:pPr>
            <w:r>
              <w:t xml:space="preserve">24x5로 확장 추진 중</w:t>
            </w:r>
          </w:p>
        </w:tc>
      </w:tr>
      <w:tr>
        <w:tc>
          <w:tcPr/>
          <w:p>
            <w:pPr>
              <w:pStyle w:val="Compact"/>
            </w:pPr>
            <w:r>
              <w:rPr>
                <w:b/>
                <w:bCs/>
              </w:rPr>
              <w:t xml:space="preserve">시스템 아키텍처 방향</w:t>
            </w:r>
          </w:p>
        </w:tc>
        <w:tc>
          <w:tcPr/>
          <w:p>
            <w:pPr>
              <w:pStyle w:val="Compact"/>
            </w:pPr>
            <w:r>
              <w:t xml:space="preserve">배치 기반 유지</w:t>
            </w:r>
          </w:p>
        </w:tc>
        <w:tc>
          <w:tcPr/>
          <w:p>
            <w:pPr>
              <w:pStyle w:val="Compact"/>
            </w:pPr>
            <w:r>
              <w:t xml:space="preserve">실시간 연속 처리로 전환 중</w:t>
            </w:r>
          </w:p>
        </w:tc>
      </w:tr>
    </w:tbl>
    <w:p>
      <w:pPr>
        <w:pStyle w:val="BodyText"/>
      </w:pPr>
      <w:r>
        <w:t xml:space="preserve">양 기관 간 가장 두드러진 차이는</w:t>
      </w:r>
      <w:r>
        <w:t xml:space="preserve"> </w:t>
      </w:r>
      <w:r>
        <w:rPr>
          <w:b/>
          <w:bCs/>
        </w:rPr>
        <w:t xml:space="preserve">미래 청산 인프라에 대한 비전의 차이</w:t>
      </w:r>
      <w:r>
        <w:t xml:space="preserve">이다. DTCC/NSCC는 Phase 2(2026년 6월)를 통해 24x5 청산, 15분 간격 연속 VaR, 실시간 채무인수 등 근본적인 인프라 혁신을 추진하고 있다. 반면 JSCC는 2023년 VaR 모델 전환이라는 의미 있는 진전을 이루었으나, 청산 운영시간 확장이나 실시간 처리 전환에 대한 구체적 계획은 아직 없는 상태이다.</w:t>
      </w:r>
    </w:p>
    <w:p>
      <w:pPr>
        <w:pStyle w:val="BodyText"/>
      </w:pPr>
      <w:r>
        <w:t xml:space="preserve">증거금 모델 측면에서도 차이가 존재한다. JSCC의 VaR 모델이 99% 신뢰 수준에서 1,250개 이상의 데이터 포인트를 활용한다는 점에서 방법론적으로 견실하지만, DTCC/NSCC의 15분 간격 연속 VaR과 비교하면 일중 리스크 포착의 빈도와 정밀도에서 격차가 있다. 특히 24시간 거래 환경에서는 연속적인 리스크 모니터링이 필수적이므로, 이 차이는 향후 더욱 부각될 전망이다.</w:t>
      </w:r>
    </w:p>
    <w:p>
      <w:pPr>
        <w:pStyle w:val="BodyText"/>
      </w:pPr>
      <w:r>
        <w:t xml:space="preserve">결제 주기 면에서 미국은 이미 T+1을 달성한 반면, 일본은 T+2에 머물러 있어</w:t>
      </w:r>
      <w:r>
        <w:t xml:space="preserve"> </w:t>
      </w:r>
      <w:r>
        <w:rPr>
          <w:b/>
          <w:bCs/>
        </w:rPr>
        <w:t xml:space="preserve">글로벌 표준과의 격차가 존재</w:t>
      </w:r>
      <w:r>
        <w:t xml:space="preserve">한다. 다만, JGB는 양국 모두 T+1을 적용하고 있어 채권 결제 영역에서는 동등한 수준을 유지하고 있다.</w:t>
      </w:r>
    </w:p>
    <w:p>
      <w:r>
        <w:pict>
          <v:rect style="width:0;height:1.5pt" o:hralign="center" o:hrstd="t" o:hr="t"/>
        </w:pict>
      </w:r>
    </w:p>
    <w:bookmarkEnd w:id="23"/>
    <w:bookmarkStart w:id="26" w:name="krxksd와의-비교-분석"/>
    <w:p>
      <w:pPr>
        <w:pStyle w:val="Heading2"/>
      </w:pPr>
      <w:r>
        <w:t xml:space="preserve">7. KRX/KSD와의 비교 분석</w:t>
      </w:r>
    </w:p>
    <w:bookmarkStart w:id="24" w:name="구조적-유사성"/>
    <w:p>
      <w:pPr>
        <w:pStyle w:val="Heading3"/>
      </w:pPr>
      <w:r>
        <w:t xml:space="preserve">7.1 구조적 유사성</w:t>
      </w:r>
    </w:p>
    <w:p>
      <w:pPr>
        <w:pStyle w:val="FirstParagraph"/>
      </w:pPr>
      <w:r>
        <w:t xml:space="preserve">JSCC와 한국의 KSD(한국예탁결제원)는 여러 측면에서 구조적 유사성을 공유한다.</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pPr>
            <w:r>
              <w:t xml:space="preserve">비교 항목</w:t>
            </w:r>
          </w:p>
        </w:tc>
        <w:tc>
          <w:tcPr/>
          <w:p>
            <w:pPr>
              <w:pStyle w:val="Compact"/>
            </w:pPr>
            <w:r>
              <w:t xml:space="preserve">JSCC</w:t>
            </w:r>
          </w:p>
        </w:tc>
        <w:tc>
          <w:tcPr/>
          <w:p>
            <w:pPr>
              <w:pStyle w:val="Compact"/>
            </w:pPr>
            <w:r>
              <w:t xml:space="preserve">KSD</w:t>
            </w:r>
          </w:p>
        </w:tc>
      </w:tr>
      <w:tr>
        <w:tc>
          <w:tcPr/>
          <w:p>
            <w:pPr>
              <w:pStyle w:val="Compact"/>
            </w:pPr>
            <w:r>
              <w:rPr>
                <w:b/>
                <w:bCs/>
              </w:rPr>
              <w:t xml:space="preserve">주식 결제 주기</w:t>
            </w:r>
          </w:p>
        </w:tc>
        <w:tc>
          <w:tcPr/>
          <w:p>
            <w:pPr>
              <w:pStyle w:val="Compact"/>
            </w:pPr>
            <w:r>
              <w:t xml:space="preserve">T+2</w:t>
            </w:r>
          </w:p>
        </w:tc>
        <w:tc>
          <w:tcPr/>
          <w:p>
            <w:pPr>
              <w:pStyle w:val="Compact"/>
            </w:pPr>
            <w:r>
              <w:t xml:space="preserve">T+2</w:t>
            </w:r>
          </w:p>
        </w:tc>
      </w:tr>
      <w:tr>
        <w:tc>
          <w:tcPr/>
          <w:p>
            <w:pPr>
              <w:pStyle w:val="Compact"/>
            </w:pPr>
            <w:r>
              <w:rPr>
                <w:b/>
                <w:bCs/>
              </w:rPr>
              <w:t xml:space="preserve">T+1 전환 계획</w:t>
            </w:r>
          </w:p>
        </w:tc>
        <w:tc>
          <w:tcPr/>
          <w:p>
            <w:pPr>
              <w:pStyle w:val="Compact"/>
            </w:pPr>
            <w:r>
              <w:t xml:space="preserve">비공식 논의 단계</w:t>
            </w:r>
          </w:p>
        </w:tc>
        <w:tc>
          <w:tcPr/>
          <w:p>
            <w:pPr>
              <w:pStyle w:val="Compact"/>
            </w:pPr>
            <w:r>
              <w:rPr>
                <w:b/>
                <w:bCs/>
              </w:rPr>
              <w:t xml:space="preserve">2027년 10월</w:t>
            </w:r>
            <w:r>
              <w:t xml:space="preserve"> </w:t>
            </w:r>
            <w:r>
              <w:t xml:space="preserve">목표 (EU/UK와 정렬)</w:t>
            </w:r>
          </w:p>
        </w:tc>
      </w:tr>
      <w:tr>
        <w:tc>
          <w:tcPr/>
          <w:p>
            <w:pPr>
              <w:pStyle w:val="Compact"/>
            </w:pPr>
            <w:r>
              <w:rPr>
                <w:b/>
                <w:bCs/>
              </w:rPr>
              <w:t xml:space="preserve">CCP 모델</w:t>
            </w:r>
          </w:p>
        </w:tc>
        <w:tc>
          <w:tcPr/>
          <w:p>
            <w:pPr>
              <w:pStyle w:val="Compact"/>
            </w:pPr>
            <w:r>
              <w:t xml:space="preserve">중앙집중형 (JPX 자회사)</w:t>
            </w:r>
          </w:p>
        </w:tc>
        <w:tc>
          <w:tcPr/>
          <w:p>
            <w:pPr>
              <w:pStyle w:val="Compact"/>
            </w:pPr>
            <w:r>
              <w:t xml:space="preserve">중앙집중형 (KRX 자회사)</w:t>
            </w:r>
          </w:p>
        </w:tc>
      </w:tr>
      <w:tr>
        <w:tc>
          <w:tcPr/>
          <w:p>
            <w:pPr>
              <w:pStyle w:val="Compact"/>
            </w:pPr>
            <w:r>
              <w:rPr>
                <w:b/>
                <w:bCs/>
              </w:rPr>
              <w:t xml:space="preserve">배치 의존도</w:t>
            </w:r>
          </w:p>
        </w:tc>
        <w:tc>
          <w:tcPr/>
          <w:p>
            <w:pPr>
              <w:pStyle w:val="Compact"/>
            </w:pPr>
            <w:r>
              <w:t xml:space="preserve">높음</w:t>
            </w:r>
          </w:p>
        </w:tc>
        <w:tc>
          <w:tcPr/>
          <w:p>
            <w:pPr>
              <w:pStyle w:val="Compact"/>
            </w:pPr>
            <w:r>
              <w:t xml:space="preserve">높음</w:t>
            </w:r>
          </w:p>
        </w:tc>
      </w:tr>
      <w:tr>
        <w:tc>
          <w:tcPr/>
          <w:p>
            <w:pPr>
              <w:pStyle w:val="Compact"/>
            </w:pPr>
            <w:r>
              <w:rPr>
                <w:b/>
                <w:bCs/>
              </w:rPr>
              <w:t xml:space="preserve">야간 청산 지원</w:t>
            </w:r>
          </w:p>
        </w:tc>
        <w:tc>
          <w:tcPr/>
          <w:p>
            <w:pPr>
              <w:pStyle w:val="Compact"/>
            </w:pPr>
            <w:r>
              <w:t xml:space="preserve">미지원</w:t>
            </w:r>
          </w:p>
        </w:tc>
        <w:tc>
          <w:tcPr/>
          <w:p>
            <w:pPr>
              <w:pStyle w:val="Compact"/>
            </w:pPr>
            <w:r>
              <w:t xml:space="preserve">2026~2027년까지 구축 필요</w:t>
            </w:r>
          </w:p>
        </w:tc>
      </w:tr>
      <w:tr>
        <w:tc>
          <w:tcPr/>
          <w:p>
            <w:pPr>
              <w:pStyle w:val="Compact"/>
            </w:pPr>
            <w:r>
              <w:rPr>
                <w:b/>
                <w:bCs/>
              </w:rPr>
              <w:t xml:space="preserve">시장 구조</w:t>
            </w:r>
          </w:p>
        </w:tc>
        <w:tc>
          <w:tcPr/>
          <w:p>
            <w:pPr>
              <w:pStyle w:val="Compact"/>
            </w:pPr>
            <w:r>
              <w:t xml:space="preserve">단일 거래소 중심 (TSE)</w:t>
            </w:r>
          </w:p>
        </w:tc>
        <w:tc>
          <w:tcPr/>
          <w:p>
            <w:pPr>
              <w:pStyle w:val="Compact"/>
            </w:pPr>
            <w:r>
              <w:t xml:space="preserve">단일 거래소 중심 (KRX) → 대체거래소 등장</w:t>
            </w:r>
          </w:p>
        </w:tc>
      </w:tr>
    </w:tbl>
    <w:p>
      <w:pPr>
        <w:pStyle w:val="BodyText"/>
      </w:pPr>
      <w:r>
        <w:t xml:space="preserve">양 기관의 핵심 유사점은 다음과 같다.</w:t>
      </w:r>
    </w:p>
    <w:p>
      <w:pPr>
        <w:pStyle w:val="BodyText"/>
      </w:pPr>
      <w:r>
        <w:rPr>
          <w:b/>
          <w:bCs/>
        </w:rPr>
        <w:t xml:space="preserve">첫째, 배치 의존적 아키텍처이다.</w:t>
      </w:r>
      <w:r>
        <w:t xml:space="preserve"> </w:t>
      </w:r>
      <w:r>
        <w:t xml:space="preserve">JSCC와 KSD 모두 고정된 배치 윈도우에 기반한 청산·결제 시스템을 운영하고 있다. 이는 두 기관 모두에게 24시간 거래 환경으로의 전환에 있어 근본적인 기술적 장벽으로 작용한다.</w:t>
      </w:r>
    </w:p>
    <w:p>
      <w:pPr>
        <w:pStyle w:val="BodyText"/>
      </w:pPr>
      <w:r>
        <w:rPr>
          <w:b/>
          <w:bCs/>
        </w:rPr>
        <w:t xml:space="preserve">둘째, 결제은행 운영시간 제약이다.</w:t>
      </w:r>
      <w:r>
        <w:t xml:space="preserve"> </w:t>
      </w:r>
      <w:r>
        <w:t xml:space="preserve">양국 모두 자금 결제가 은행 시스템에 의존하며, 은행의 야간 운영 제한이 야간 DVP 결제의 장애 요인이 된다. 이는 청산기관 단독으로 해결할 수 없는 범금융 인프라 차원의 문제이다.</w:t>
      </w:r>
    </w:p>
    <w:p>
      <w:pPr>
        <w:pStyle w:val="BodyText"/>
      </w:pPr>
      <w:r>
        <w:rPr>
          <w:b/>
          <w:bCs/>
        </w:rPr>
        <w:t xml:space="preserve">셋째, 야간 청산 역량의 부재이다.</w:t>
      </w:r>
      <w:r>
        <w:t xml:space="preserve"> </w:t>
      </w:r>
      <w:r>
        <w:t xml:space="preserve">현재 두 기관 모두 야간 시간대의 청산 서비스를 제공하지 않으며, 24시간 거래를 지원하기 위한 인프라가 구축되어 있지 않다.</w:t>
      </w:r>
    </w:p>
    <w:p>
      <w:pPr>
        <w:pStyle w:val="BodyText"/>
      </w:pPr>
      <w:r>
        <w:rPr>
          <w:b/>
          <w:bCs/>
        </w:rPr>
        <w:t xml:space="preserve">넷째, 거래소 그룹 자회사 구조이다.</w:t>
      </w:r>
      <w:r>
        <w:t xml:space="preserve"> </w:t>
      </w:r>
      <w:r>
        <w:t xml:space="preserve">JSCC는 JPX의, KSD는 KRX의 자회사로 운영되어 거래소-청산기관 간 수직적 통합 구조를 공유한다.</w:t>
      </w:r>
    </w:p>
    <w:bookmarkEnd w:id="24"/>
    <w:bookmarkStart w:id="25" w:name="ksd-24시간-청산-전환-시사점"/>
    <w:p>
      <w:pPr>
        <w:pStyle w:val="Heading3"/>
      </w:pPr>
      <w:r>
        <w:t xml:space="preserve">7.2 KSD 24시간 청산 전환 시사점</w:t>
      </w:r>
    </w:p>
    <w:p>
      <w:pPr>
        <w:pStyle w:val="FirstParagraph"/>
      </w:pPr>
      <w:r>
        <w:t xml:space="preserve">양 기관의 구조적 유사성에도 불구하고, KRX/KSD가 직면한</w:t>
      </w:r>
      <w:r>
        <w:t xml:space="preserve"> </w:t>
      </w:r>
      <w:r>
        <w:rPr>
          <w:b/>
          <w:bCs/>
        </w:rPr>
        <w:t xml:space="preserve">경쟁적 압력의 크기</w:t>
      </w:r>
      <w:r>
        <w:t xml:space="preserve">에서 결정적인 차이가 존재한다.</w:t>
      </w:r>
    </w:p>
    <w:tbl>
      <w:tblPr>
        <w:tblStyle w:val="Table"/>
        <w:tblW w:type="pct" w:w="5000"/>
        <w:tblLayout w:type="fixed"/>
        <w:tblLook w:firstRow="1" w:lastRow="0" w:firstColumn="0" w:lastColumn="0" w:noHBand="0" w:noVBand="0" w:val="0020"/>
      </w:tblPr>
      <w:tblGrid>
        <w:gridCol w:w="3334"/>
        <w:gridCol w:w="2501"/>
        <w:gridCol w:w="2084"/>
      </w:tblGrid>
      <w:tr>
        <w:trPr>
          <w:tblHeader w:val="on"/>
        </w:trPr>
        <w:tc>
          <w:tcPr/>
          <w:p>
            <w:pPr>
              <w:pStyle w:val="Compact"/>
            </w:pPr>
            <w:r>
              <w:t xml:space="preserve">차이점</w:t>
            </w:r>
          </w:p>
        </w:tc>
        <w:tc>
          <w:tcPr/>
          <w:p>
            <w:pPr>
              <w:pStyle w:val="Compact"/>
            </w:pPr>
            <w:r>
              <w:t xml:space="preserve">JSCC</w:t>
            </w:r>
          </w:p>
        </w:tc>
        <w:tc>
          <w:tcPr/>
          <w:p>
            <w:pPr>
              <w:pStyle w:val="Compact"/>
            </w:pPr>
            <w:r>
              <w:t xml:space="preserve">KSD</w:t>
            </w:r>
          </w:p>
        </w:tc>
      </w:tr>
      <w:tr>
        <w:tc>
          <w:tcPr/>
          <w:p>
            <w:pPr>
              <w:pStyle w:val="Compact"/>
            </w:pPr>
            <w:r>
              <w:rPr>
                <w:b/>
                <w:bCs/>
              </w:rPr>
              <w:t xml:space="preserve">대체거래소 압력</w:t>
            </w:r>
          </w:p>
        </w:tc>
        <w:tc>
          <w:tcPr/>
          <w:p>
            <w:pPr>
              <w:pStyle w:val="Compact"/>
            </w:pPr>
            <w:r>
              <w:t xml:space="preserve">미미함</w:t>
            </w:r>
          </w:p>
        </w:tc>
        <w:tc>
          <w:tcPr/>
          <w:p>
            <w:pPr>
              <w:pStyle w:val="Compact"/>
            </w:pPr>
            <w:r>
              <w:t xml:space="preserve">넥스트레이드(Nextrade) 출범으로 인한 직접적 경쟁 압력</w:t>
            </w:r>
          </w:p>
        </w:tc>
      </w:tr>
      <w:tr>
        <w:tc>
          <w:tcPr/>
          <w:p>
            <w:pPr>
              <w:pStyle w:val="Compact"/>
            </w:pPr>
            <w:r>
              <w:rPr>
                <w:b/>
                <w:bCs/>
              </w:rPr>
              <w:t xml:space="preserve">전환 시급성</w:t>
            </w:r>
          </w:p>
        </w:tc>
        <w:tc>
          <w:tcPr/>
          <w:p>
            <w:pPr>
              <w:pStyle w:val="Compact"/>
            </w:pPr>
            <w:r>
              <w:t xml:space="preserve">낮음 (비공식 논의)</w:t>
            </w:r>
          </w:p>
        </w:tc>
        <w:tc>
          <w:tcPr/>
          <w:p>
            <w:pPr>
              <w:pStyle w:val="Compact"/>
            </w:pPr>
            <w:r>
              <w:t xml:space="preserve">높음 (구체적 일정 발표)</w:t>
            </w:r>
          </w:p>
        </w:tc>
      </w:tr>
      <w:tr>
        <w:tc>
          <w:tcPr/>
          <w:p>
            <w:pPr>
              <w:pStyle w:val="Compact"/>
            </w:pPr>
            <w:r>
              <w:rPr>
                <w:b/>
                <w:bCs/>
              </w:rPr>
              <w:t xml:space="preserve">24시간 대응 목표</w:t>
            </w:r>
          </w:p>
        </w:tc>
        <w:tc>
          <w:tcPr/>
          <w:p>
            <w:pPr>
              <w:pStyle w:val="Compact"/>
            </w:pPr>
            <w:r>
              <w:t xml:space="preserve">미정</w:t>
            </w:r>
          </w:p>
        </w:tc>
        <w:tc>
          <w:tcPr/>
          <w:p>
            <w:pPr>
              <w:pStyle w:val="Compact"/>
            </w:pPr>
            <w:r>
              <w:t xml:space="preserve">2026~2027년</w:t>
            </w:r>
          </w:p>
        </w:tc>
      </w:tr>
      <w:tr>
        <w:tc>
          <w:tcPr/>
          <w:p>
            <w:pPr>
              <w:pStyle w:val="Compact"/>
            </w:pPr>
            <w:r>
              <w:rPr>
                <w:b/>
                <w:bCs/>
              </w:rPr>
              <w:t xml:space="preserve">T+1 전환</w:t>
            </w:r>
          </w:p>
        </w:tc>
        <w:tc>
          <w:tcPr/>
          <w:p>
            <w:pPr>
              <w:pStyle w:val="Compact"/>
            </w:pPr>
            <w:r>
              <w:t xml:space="preserve">구체적 계획 없음</w:t>
            </w:r>
          </w:p>
        </w:tc>
        <w:tc>
          <w:tcPr/>
          <w:p>
            <w:pPr>
              <w:pStyle w:val="Compact"/>
            </w:pPr>
            <w:r>
              <w:rPr>
                <w:b/>
                <w:bCs/>
              </w:rPr>
              <w:t xml:space="preserve">2027년 10월</w:t>
            </w:r>
            <w:r>
              <w:t xml:space="preserve"> </w:t>
            </w:r>
            <w:r>
              <w:t xml:space="preserve">T+1 전환 목표 (KSD 워킹그룹 구성)</w:t>
            </w:r>
          </w:p>
        </w:tc>
      </w:tr>
      <w:tr>
        <w:tc>
          <w:tcPr/>
          <w:p>
            <w:pPr>
              <w:pStyle w:val="Compact"/>
            </w:pPr>
            <w:r>
              <w:rPr>
                <w:b/>
                <w:bCs/>
              </w:rPr>
              <w:t xml:space="preserve">정책적 추진력</w:t>
            </w:r>
          </w:p>
        </w:tc>
        <w:tc>
          <w:tcPr/>
          <w:p>
            <w:pPr>
              <w:pStyle w:val="Compact"/>
            </w:pPr>
            <w:r>
              <w:t xml:space="preserve">자율적 판단</w:t>
            </w:r>
          </w:p>
        </w:tc>
        <w:tc>
          <w:tcPr/>
          <w:p>
            <w:pPr>
              <w:pStyle w:val="Compact"/>
            </w:pPr>
            <w:r>
              <w:t xml:space="preserve">규제 및 경쟁 환경에 의한 추진</w:t>
            </w:r>
          </w:p>
        </w:tc>
      </w:tr>
    </w:tbl>
    <w:p>
      <w:pPr>
        <w:pStyle w:val="BodyText"/>
      </w:pPr>
      <w:r>
        <w:t xml:space="preserve">KRX/KSD의 사례는 JSCC에 다음과 같은 시사점을 제공한다.</w:t>
      </w:r>
    </w:p>
    <w:p>
      <w:pPr>
        <w:pStyle w:val="BodyText"/>
      </w:pPr>
      <w:r>
        <w:rPr>
          <w:b/>
          <w:bCs/>
        </w:rPr>
        <w:t xml:space="preserve">첫째, 경쟁 압력이 인프라 혁신의 촉매 역할을 한다.</w:t>
      </w:r>
      <w:r>
        <w:t xml:space="preserve"> </w:t>
      </w:r>
      <w:r>
        <w:t xml:space="preserve">한국의 경우 넥스트레이드(Nextrade)의 출범이 KRX/KSD로 하여금 24시간 거래 대응과 T+1 전환을 구체화하도록 압박하는 핵심 요인이 되었다. 반면 일본은 TSE 중심의 독점적 시장 구조가 유지되고 있어 혁신 압력이 상대적으로 낮다. 향후 일본에서도 대체거래소나 PTS(Proprietary Trading System)의 영향력이 확대될 경우, JSCC의 인프라 혁신 속도가 가속화될 수 있다.</w:t>
      </w:r>
    </w:p>
    <w:p>
      <w:pPr>
        <w:pStyle w:val="BodyText"/>
      </w:pPr>
      <w:r>
        <w:rPr>
          <w:b/>
          <w:bCs/>
        </w:rPr>
        <w:t xml:space="preserve">둘째, 배치 기반 시스템의 전환 비용과 복잡성을 선행적으로 학습할 수 있다.</w:t>
      </w:r>
      <w:r>
        <w:t xml:space="preserve"> </w:t>
      </w:r>
      <w:r>
        <w:t xml:space="preserve">KSD가 2026~2027년 목표로 추진하는 24시간 청산 체계 구축 과정에서 발생하는 기술적·운영적 과제는 JSCC에게 귀중한 참고 사례가 될 것이다. 배치 처리에서 실시간 또는 준실시간 처리로의 전환, 결제은행 연계 방식의 변경, 야간 리스크 관리 체계 수립 등 KSD의 경험은 JSCC의 향후 전환 전략 수립에 직접적으로 활용될 수 있다.</w:t>
      </w:r>
    </w:p>
    <w:p>
      <w:pPr>
        <w:pStyle w:val="BodyText"/>
      </w:pPr>
      <w:r>
        <w:rPr>
          <w:b/>
          <w:bCs/>
        </w:rPr>
        <w:t xml:space="preserve">셋째, 글로벌 표준 수렴 압력이 점차 강화된다.</w:t>
      </w:r>
      <w:r>
        <w:t xml:space="preserve"> </w:t>
      </w:r>
      <w:r>
        <w:t xml:space="preserve">미국(DTCC/NSCC)이 24x5 청산과 T+1 결제를 추진하고, 한국(KSD)이 24시간 체제를 구축하며, 유럽도 T+1 전환을 논의하는 상황에서 일본만이 T+2·배치 기반 체계를 유지하기는 점차 어려워질 것이다. 글로벌 투자자의 관점에서 결제 효율성과 리스크 관리 수준의 차이는 시장 경쟁력에 직접적인 영향을 미치기 때문이다.</w:t>
      </w:r>
    </w:p>
    <w:p>
      <w:r>
        <w:pict>
          <v:rect style="width:0;height:1.5pt" o:hralign="center" o:hrstd="t" o:hr="t"/>
        </w:pict>
      </w:r>
    </w:p>
    <w:bookmarkEnd w:id="25"/>
    <w:bookmarkEnd w:id="26"/>
    <w:bookmarkStart w:id="27" w:name="종합-평가"/>
    <w:p>
      <w:pPr>
        <w:pStyle w:val="Heading2"/>
      </w:pPr>
      <w:r>
        <w:t xml:space="preserve">종합 평가</w:t>
      </w:r>
    </w:p>
    <w:p>
      <w:pPr>
        <w:pStyle w:val="FirstParagraph"/>
      </w:pPr>
      <w:r>
        <w:t xml:space="preserve">JSCC는 일본 증권시장의 핵심 청산기관으로서 안정적인 CCP 운영 체계를 유지하고 있으며, 2023년 VaR 모델 전환을 통해 리스크 관리 역량을 한 단계 끌어올렸다. 그러나</w:t>
      </w:r>
      <w:r>
        <w:t xml:space="preserve"> </w:t>
      </w:r>
      <w:r>
        <w:rPr>
          <w:b/>
          <w:bCs/>
        </w:rPr>
        <w:t xml:space="preserve">주식 T+2 결제, 배치 기반 아키텍처, 24시간 대응 계획 부재</w:t>
      </w:r>
      <w:r>
        <w:t xml:space="preserve">라는 세 가지 측면에서 글로벌 선도 기관(DTCC/NSCC) 및 경쟁적 환경에 놓인 동아시아 기관(KSD)과의 격차가 확대되고 있다.</w:t>
      </w:r>
    </w:p>
    <w:p>
      <w:pPr>
        <w:pStyle w:val="BodyText"/>
      </w:pPr>
      <w:r>
        <w:t xml:space="preserve">단기적으로 JSCC는 현행 시스템의 안정적 운영에 집중하면서 KSD의 24시간 전환 사례와 DTCC의 Phase 2 결과를 면밀히 관찰할 것으로 예상된다. 중장기적으로는 글로벌 결제 표준의 수렴, 시장 참가자의 요구, 그리고 잠재적인 대체거래소 등장 가능성 등이 JSCC의 인프라 혁신을 촉진하는 요인으로 작용할 것이다.</w:t>
      </w:r>
    </w:p>
    <w:p>
      <w:r>
        <w:pict>
          <v:rect style="width:0;height:1.5pt" o:hralign="center" o:hrstd="t" o:hr="t"/>
        </w:pict>
      </w:r>
    </w:p>
    <w:p>
      <w:pPr>
        <w:pStyle w:val="FirstParagraph"/>
      </w:pPr>
      <w:r>
        <w:rPr>
          <w:i/>
          <w:iCs/>
        </w:rPr>
        <w:t xml:space="preserve">본 보고서는 공개된 데이터와 시장 정보를 기반으로 작성되었으며, 2026년 3월 기준 정보를 반영합니다.</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2026-03-27T04:13:52Z</dcterms:created>
  <dcterms:modified xsi:type="dcterms:W3CDTF">2026-03-27T04:13:52Z</dcterms:modified>
</cp:coreProperties>
</file>

<file path=docProps/custom.xml><?xml version="1.0" encoding="utf-8"?>
<Properties xmlns="http://schemas.openxmlformats.org/officeDocument/2006/custom-properties" xmlns:vt="http://schemas.openxmlformats.org/officeDocument/2006/docPropsVTypes"/>
</file>