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런던증권거래소lse-심층-분석"/>
    <w:p>
      <w:pPr>
        <w:pStyle w:val="Heading1"/>
      </w:pPr>
      <w:r>
        <w:t xml:space="preserve">런던증권거래소(LSE) 심층 분석</w:t>
      </w:r>
    </w:p>
    <w:p>
      <w:pPr>
        <w:pStyle w:val="BlockText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t xml:space="preserve"> </w:t>
      </w:r>
      <w:r>
        <w:rPr>
          <w:b/>
          <w:bCs/>
        </w:rPr>
        <w:t xml:space="preserve">대상 기관:</w:t>
      </w:r>
      <w:r>
        <w:t xml:space="preserve"> </w:t>
      </w:r>
      <w:r>
        <w:t xml:space="preserve">London Stock Exchange Group (LSEG)</w:t>
      </w:r>
      <w:r>
        <w:t xml:space="preserve"> </w:t>
      </w:r>
      <w:r>
        <w:rPr>
          <w:b/>
          <w:bCs/>
        </w:rPr>
        <w:t xml:space="preserve">목적:</w:t>
      </w:r>
      <w:r>
        <w:t xml:space="preserve"> </w:t>
      </w:r>
      <w:r>
        <w:t xml:space="preserve">LSE의 거래 제도, 핵심 인프라, 청산·결제 체계, 24시간 거래 논의 현황을 종합 분석하고 KRX와의 비교를 통해 시사점을 도출한다.</w:t>
      </w:r>
    </w:p>
    <w:p>
      <w:r>
        <w:pict>
          <v:rect style="width:0;height:1.5pt" o:hralign="center" o:hrstd="t" o:hr="t"/>
        </w:pict>
      </w:r>
    </w:p>
    <w:bookmarkStart w:id="9" w:name="기관-개요-및-시장-내-위상"/>
    <w:p>
      <w:pPr>
        <w:pStyle w:val="Heading2"/>
      </w:pPr>
      <w:r>
        <w:t xml:space="preserve">1. 기관 개요 및 시장 내 위상</w:t>
      </w:r>
    </w:p>
    <w:p>
      <w:pPr>
        <w:pStyle w:val="FirstParagraph"/>
      </w:pPr>
      <w:r>
        <w:t xml:space="preserve">런던증권거래소(London Stock Exchange, LSE)는 1801년 공식 설립된 세계 최대 규모의 증권거래소 중 하나로, 모회사인</w:t>
      </w:r>
      <w:r>
        <w:t xml:space="preserve"> </w:t>
      </w:r>
      <w:r>
        <w:rPr>
          <w:b/>
          <w:bCs/>
        </w:rPr>
        <w:t xml:space="preserve">London Stock Exchange Group(LSEG)</w:t>
      </w:r>
      <w:r>
        <w:t xml:space="preserve">은 거래소 운영뿐 아니라 데이터·분석(Refinitiv), 지수(FTSE Russell), 청산(LCH), 기술 인프라(MillenniumIT) 등을 아우르는 글로벌 금융 인프라 기업이다.</w:t>
      </w:r>
    </w:p>
    <w:p>
      <w:pPr>
        <w:pStyle w:val="BodyText"/>
      </w:pPr>
      <w:r>
        <w:t xml:space="preserve">LSEG은 단순한 거래소 운영사를 넘어</w:t>
      </w:r>
      <w:r>
        <w:t xml:space="preserve"> </w:t>
      </w:r>
      <w:r>
        <w:rPr>
          <w:b/>
          <w:bCs/>
        </w:rPr>
        <w:t xml:space="preserve">수직 통합형 금융 인프라 그룹</w:t>
      </w:r>
      <w:r>
        <w:t xml:space="preserve">으로 진화하였다. 거래 체결(Millennium Exchange), 청산(LCH Ltd / LCH SA), 결제(CREST를 통한 Euroclear 연계), 시장 데이터(LSEG Data &amp; Analytics)까지 거래의 전체 생애주기(trade lifecycle)를 자체 생태계 내에서 처리할 수 있는 역량을 보유하고 있다. 이는 단일 거래소·단일 청산기관 구조인 KRX와 구조적으로 대비되는 특징이다.</w:t>
      </w:r>
    </w:p>
    <w:p>
      <w:pPr>
        <w:pStyle w:val="BodyText"/>
      </w:pPr>
      <w:r>
        <w:t xml:space="preserve">주요 상장 지수로는</w:t>
      </w:r>
      <w:r>
        <w:t xml:space="preserve"> </w:t>
      </w:r>
      <w:r>
        <w:rPr>
          <w:b/>
          <w:bCs/>
        </w:rPr>
        <w:t xml:space="preserve">FTSE 100</w:t>
      </w:r>
      <w:r>
        <w:t xml:space="preserve">(영국 대형주 100개),</w:t>
      </w:r>
      <w:r>
        <w:t xml:space="preserve"> </w:t>
      </w:r>
      <w:r>
        <w:rPr>
          <w:b/>
          <w:bCs/>
        </w:rPr>
        <w:t xml:space="preserve">FTSE 250</w:t>
      </w:r>
      <w:r>
        <w:t xml:space="preserve">(중형주),</w:t>
      </w:r>
      <w:r>
        <w:t xml:space="preserve"> </w:t>
      </w:r>
      <w:r>
        <w:rPr>
          <w:b/>
          <w:bCs/>
        </w:rPr>
        <w:t xml:space="preserve">FTSE All-Share</w:t>
      </w:r>
      <w:r>
        <w:t xml:space="preserve"> </w:t>
      </w:r>
      <w:r>
        <w:t xml:space="preserve">등이 있으며, 글로벌 기업의 GDR(글로벌 예탁증서) 상장, ETF, 채권 등 다양한 상품이 거래된다.</w:t>
      </w:r>
    </w:p>
    <w:p>
      <w:r>
        <w:pict>
          <v:rect style="width:0;height:1.5pt" o:hralign="center" o:hrstd="t" o:hr="t"/>
        </w:pict>
      </w:r>
    </w:p>
    <w:bookmarkEnd w:id="9"/>
    <w:bookmarkStart w:id="13" w:name="현행-거래-제도"/>
    <w:p>
      <w:pPr>
        <w:pStyle w:val="Heading2"/>
      </w:pPr>
      <w:r>
        <w:t xml:space="preserve">2. 현행 거래 제도</w:t>
      </w:r>
    </w:p>
    <w:bookmarkStart w:id="10" w:name="거래-세션-구조-및-시간"/>
    <w:p>
      <w:pPr>
        <w:pStyle w:val="Heading3"/>
      </w:pPr>
      <w:r>
        <w:t xml:space="preserve">2.1 거래 세션 구조 및 시간</w:t>
      </w:r>
    </w:p>
    <w:p>
      <w:pPr>
        <w:pStyle w:val="FirstParagraph"/>
      </w:pPr>
      <w:r>
        <w:t xml:space="preserve">LSE의 거래 세션은 GMT 기준으로 아래와 같이 구성되며,</w:t>
      </w:r>
      <w:r>
        <w:t xml:space="preserve"> </w:t>
      </w:r>
      <w:r>
        <w:rPr>
          <w:b/>
          <w:bCs/>
        </w:rPr>
        <w:t xml:space="preserve">연속 거래 시간은 약 8.5시간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시간 (GMT)</w:t>
            </w:r>
          </w:p>
        </w:tc>
        <w:tc>
          <w:tcPr/>
          <w:p>
            <w:pPr>
              <w:pStyle w:val="Compac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Pre-Open / Opening Auction</w:t>
            </w:r>
          </w:p>
        </w:tc>
        <w:tc>
          <w:tcPr/>
          <w:p>
            <w:pPr>
              <w:pStyle w:val="Compact"/>
            </w:pPr>
            <w:r>
              <w:t xml:space="preserve">07:50 – 08:00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개장 가격 결정 경매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연속 거래 (오전)</w:t>
            </w:r>
          </w:p>
        </w:tc>
        <w:tc>
          <w:tcPr/>
          <w:p>
            <w:pPr>
              <w:pStyle w:val="Compact"/>
            </w:pPr>
            <w:r>
              <w:t xml:space="preserve">08:00 – 12:00</w:t>
            </w:r>
          </w:p>
        </w:tc>
        <w:tc>
          <w:tcPr/>
          <w:p>
            <w:pPr>
              <w:pStyle w:val="Compact"/>
            </w:pPr>
            <w:r>
              <w:t xml:space="preserve">4시간</w:t>
            </w:r>
          </w:p>
        </w:tc>
        <w:tc>
          <w:tcPr/>
          <w:p>
            <w:pPr>
              <w:pStyle w:val="Compact"/>
            </w:pPr>
            <w:r>
              <w:t xml:space="preserve">주문 즉시 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Midday Auction (장중 경매)</w:t>
            </w:r>
          </w:p>
        </w:tc>
        <w:tc>
          <w:tcPr/>
          <w:p>
            <w:pPr>
              <w:pStyle w:val="Compact"/>
            </w:pPr>
            <w:r>
              <w:t xml:space="preserve">12:00 – 12:02</w:t>
            </w:r>
          </w:p>
        </w:tc>
        <w:tc>
          <w:tcPr/>
          <w:p>
            <w:pPr>
              <w:pStyle w:val="Compact"/>
            </w:pPr>
            <w:r>
              <w:t xml:space="preserve">2분</w:t>
            </w:r>
          </w:p>
        </w:tc>
        <w:tc>
          <w:tcPr/>
          <w:p>
            <w:pPr>
              <w:pStyle w:val="Compact"/>
            </w:pPr>
            <w:r>
              <w:t xml:space="preserve">장중 가격 재조정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연속 거래 (오후)</w:t>
            </w:r>
          </w:p>
        </w:tc>
        <w:tc>
          <w:tcPr/>
          <w:p>
            <w:pPr>
              <w:pStyle w:val="Compact"/>
            </w:pPr>
            <w:r>
              <w:t xml:space="preserve">12:02 – 16:30</w:t>
            </w:r>
          </w:p>
        </w:tc>
        <w:tc>
          <w:tcPr/>
          <w:p>
            <w:pPr>
              <w:pStyle w:val="Compact"/>
            </w:pPr>
            <w:r>
              <w:t xml:space="preserve">약 4시간 28분</w:t>
            </w:r>
          </w:p>
        </w:tc>
        <w:tc>
          <w:tcPr/>
          <w:p>
            <w:pPr>
              <w:pStyle w:val="Compact"/>
            </w:pPr>
            <w:r>
              <w:t xml:space="preserve">주문 즉시 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Auction (종가 경매)</w:t>
            </w:r>
          </w:p>
        </w:tc>
        <w:tc>
          <w:tcPr/>
          <w:p>
            <w:pPr>
              <w:pStyle w:val="Compact"/>
            </w:pPr>
            <w:r>
              <w:t xml:space="preserve">16:30 – 16:35</w:t>
            </w:r>
          </w:p>
        </w:tc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t xml:space="preserve">종가 결정 경매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Post-Close (거래 보고)</w:t>
            </w:r>
          </w:p>
        </w:tc>
        <w:tc>
          <w:tcPr/>
          <w:p>
            <w:pPr>
              <w:pStyle w:val="Compact"/>
            </w:pPr>
            <w:r>
              <w:t xml:space="preserve">16:35 – 17:15</w:t>
            </w:r>
          </w:p>
        </w:tc>
        <w:tc>
          <w:tcPr/>
          <w:p>
            <w:pPr>
              <w:pStyle w:val="Compact"/>
            </w:pPr>
            <w:r>
              <w:t xml:space="preserve">40분</w:t>
            </w:r>
          </w:p>
        </w:tc>
        <w:tc>
          <w:tcPr/>
          <w:p>
            <w:pPr>
              <w:pStyle w:val="Compact"/>
            </w:pPr>
            <w:r>
              <w:t xml:space="preserve">장외 거래 보고 전용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 연속 거래 시간: 약 8시간 30분/일</w:t>
      </w:r>
    </w:p>
    <w:p>
      <w:pPr>
        <w:pStyle w:val="BodyText"/>
      </w:pPr>
      <w:r>
        <w:t xml:space="preserve">한국 시간(KST)으로 환산하면 연속 거래는</w:t>
      </w:r>
      <w:r>
        <w:t xml:space="preserve"> </w:t>
      </w:r>
      <w:r>
        <w:rPr>
          <w:b/>
          <w:bCs/>
        </w:rPr>
        <w:t xml:space="preserve">17:00 ~ 01:30(익일)</w:t>
      </w:r>
      <w:r>
        <w:t xml:space="preserve">에 해당하여, KRX 정규장(09:00~15:30)과 시간대가 완전히 분리된다. 이는 글로벌 포트폴리오 운용 관점에서 24시간 커버리지 확보에 유리한 조합이다.</w:t>
      </w:r>
    </w:p>
    <w:bookmarkEnd w:id="10"/>
    <w:bookmarkStart w:id="11" w:name="옥션-메커니즘-opening-midday-closing-auction"/>
    <w:p>
      <w:pPr>
        <w:pStyle w:val="Heading3"/>
      </w:pPr>
      <w:r>
        <w:t xml:space="preserve">2.2 옥션 메커니즘 (Opening / Midday / Closing Auction)</w:t>
      </w:r>
    </w:p>
    <w:p>
      <w:pPr>
        <w:pStyle w:val="FirstParagraph"/>
      </w:pPr>
      <w:r>
        <w:t xml:space="preserve">LSE는 하루 총</w:t>
      </w:r>
      <w:r>
        <w:t xml:space="preserve"> </w:t>
      </w:r>
      <w:r>
        <w:rPr>
          <w:b/>
          <w:bCs/>
        </w:rPr>
        <w:t xml:space="preserve">세 차례의 경매(auction)</w:t>
      </w:r>
      <w:r>
        <w:t xml:space="preserve"> </w:t>
      </w:r>
      <w:r>
        <w:t xml:space="preserve">메커니즘을 운영한다는 점이 특징적이다.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경매 유형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가격 결정 방식</w:t>
            </w:r>
          </w:p>
        </w:tc>
        <w:tc>
          <w:tcPr/>
          <w:p>
            <w:pPr>
              <w:pStyle w:val="Compact"/>
            </w:pPr>
            <w:r>
              <w:t xml:space="preserve">특이사항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Opening Auction</w:t>
            </w:r>
          </w:p>
        </w:tc>
        <w:tc>
          <w:tcPr/>
          <w:p>
            <w:pPr>
              <w:pStyle w:val="Compact"/>
            </w:pPr>
            <w:r>
              <w:t xml:space="preserve">개장 기준가 형성</w:t>
            </w:r>
          </w:p>
        </w:tc>
        <w:tc>
          <w:tcPr/>
          <w:p>
            <w:pPr>
              <w:pStyle w:val="Compact"/>
            </w:pPr>
            <w:r>
              <w:t xml:space="preserve">최대 체결 수량 기준 단일가</w:t>
            </w:r>
          </w:p>
        </w:tc>
        <w:tc>
          <w:tcPr/>
          <w:p>
            <w:pPr>
              <w:pStyle w:val="Compact"/>
            </w:pPr>
            <w:r>
              <w:t xml:space="preserve">무작위 종료(random close)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Midday Auction</w:t>
            </w:r>
          </w:p>
        </w:tc>
        <w:tc>
          <w:tcPr/>
          <w:p>
            <w:pPr>
              <w:pStyle w:val="Compact"/>
            </w:pPr>
            <w:r>
              <w:t xml:space="preserve">장중 유동성 재집중</w:t>
            </w:r>
          </w:p>
        </w:tc>
        <w:tc>
          <w:tcPr/>
          <w:p>
            <w:pPr>
              <w:pStyle w:val="Compact"/>
            </w:pPr>
            <w:r>
              <w:t xml:space="preserve">최대 체결 수량 기준 단일가</w:t>
            </w:r>
          </w:p>
        </w:tc>
        <w:tc>
          <w:tcPr/>
          <w:p>
            <w:pPr>
              <w:pStyle w:val="Compact"/>
            </w:pPr>
            <w:r>
              <w:t xml:space="preserve">FTSE 100/250 대상, 2분간 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Auction</w:t>
            </w:r>
          </w:p>
        </w:tc>
        <w:tc>
          <w:tcPr/>
          <w:p>
            <w:pPr>
              <w:pStyle w:val="Compact"/>
            </w:pPr>
            <w:r>
              <w:t xml:space="preserve">종가 결정</w:t>
            </w:r>
          </w:p>
        </w:tc>
        <w:tc>
          <w:tcPr/>
          <w:p>
            <w:pPr>
              <w:pStyle w:val="Compact"/>
            </w:pPr>
            <w:r>
              <w:t xml:space="preserve">최대 체결 수량 기준 단일가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일일 거래대금의 20~25%</w:t>
            </w:r>
            <w:r>
              <w:t xml:space="preserve"> </w:t>
            </w:r>
            <w:r>
              <w:t xml:space="preserve">집중</w:t>
            </w:r>
          </w:p>
        </w:tc>
      </w:tr>
    </w:tbl>
    <w:p>
      <w:pPr>
        <w:pStyle w:val="BodyText"/>
      </w:pPr>
      <w:r>
        <w:t xml:space="preserve">특히</w:t>
      </w:r>
      <w:r>
        <w:t xml:space="preserve"> </w:t>
      </w:r>
      <w:r>
        <w:rPr>
          <w:b/>
          <w:bCs/>
        </w:rPr>
        <w:t xml:space="preserve">Closing Auction이 일일 거래대금의 20~25%를 차지</w:t>
      </w:r>
      <w:r>
        <w:t xml:space="preserve">한다는 점은 주목할 만하다. 이는 패시브 투자(ETF, 인덱스 펀드)의 증가로 종가 기준 리밸런싱 수요가 집중되기 때문이며, KRX의 종가 단일가 매매(15:20~15:30)에서도 유사한 추세가 관찰되고 있다.</w:t>
      </w:r>
    </w:p>
    <w:p>
      <w:pPr>
        <w:pStyle w:val="BodyText"/>
      </w:pPr>
      <w:r>
        <w:rPr>
          <w:b/>
          <w:bCs/>
        </w:rPr>
        <w:t xml:space="preserve">Midday Auction</w:t>
      </w:r>
      <w:r>
        <w:t xml:space="preserve">은 LSE 고유의 제도로, 장중 유동성이 분산되는 것을 방지하고 FTSE 지수 구성 종목에 대해 장중 기준가를 재설정하는 기능을 한다. KRX에는 이에 대응하는 제도가 없으며, 향후 장시간 거래 도입 시 유동성 집중 메커니즘으로 참고할 만한 모델이다.</w:t>
      </w:r>
    </w:p>
    <w:bookmarkEnd w:id="11"/>
    <w:bookmarkStart w:id="12" w:name="주문-유형-및-체결-메커니즘"/>
    <w:p>
      <w:pPr>
        <w:pStyle w:val="Heading3"/>
      </w:pPr>
      <w:r>
        <w:t xml:space="preserve">2.3 주문 유형 및 체결 메커니즘</w:t>
      </w:r>
    </w:p>
    <w:p>
      <w:pPr>
        <w:pStyle w:val="FirstParagraph"/>
      </w:pPr>
      <w:r>
        <w:t xml:space="preserve">LSE는</w:t>
      </w:r>
      <w:r>
        <w:t xml:space="preserve"> </w:t>
      </w:r>
      <w:r>
        <w:rPr>
          <w:b/>
          <w:bCs/>
        </w:rPr>
        <w:t xml:space="preserve">가격-시간 우선(Price-Time Priority)</w:t>
      </w:r>
      <w:r>
        <w:t xml:space="preserve"> </w:t>
      </w:r>
      <w:r>
        <w:t xml:space="preserve">원칙에 따른 중앙 지정가 주문대장(Central Limit Order Book, CLOB) 방식을 채택하고 있다. 주요 주문 유형은 다음과 같다: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지정가 주문(Limit Order):</w:t>
      </w:r>
      <w:r>
        <w:t xml:space="preserve"> </w:t>
      </w:r>
      <w:r>
        <w:t xml:space="preserve">지정 가격 이상/이하에서만 체결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시장가 주문(Market Order):</w:t>
      </w:r>
      <w:r>
        <w:t xml:space="preserve"> </w:t>
      </w:r>
      <w:r>
        <w:t xml:space="preserve">즉시 최우선 가격으로 체결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Iceberg Order:</w:t>
      </w:r>
      <w:r>
        <w:t xml:space="preserve"> </w:t>
      </w:r>
      <w:r>
        <w:t xml:space="preserve">총 수량의 일부만 시장에 노출, 나머지는 숨김 처리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Stop Order:</w:t>
      </w:r>
      <w:r>
        <w:t xml:space="preserve"> </w:t>
      </w:r>
      <w:r>
        <w:t xml:space="preserve">특정 가격 도달 시 활성화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Passive Order:</w:t>
      </w:r>
      <w:r>
        <w:t xml:space="preserve"> </w:t>
      </w:r>
      <w:r>
        <w:t xml:space="preserve">즉시 체결되지 않는 조건부 주문(메이커 전용)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핵심-시스템-인프라"/>
    <w:p>
      <w:pPr>
        <w:pStyle w:val="Heading2"/>
      </w:pPr>
      <w:r>
        <w:t xml:space="preserve">3. 핵심 시스템 인프라</w:t>
      </w:r>
    </w:p>
    <w:bookmarkStart w:id="14" w:name="millennium-exchange-매칭-엔진"/>
    <w:p>
      <w:pPr>
        <w:pStyle w:val="Heading3"/>
      </w:pPr>
      <w:r>
        <w:t xml:space="preserve">3.1 Millennium Exchange 매칭 엔진</w:t>
      </w:r>
    </w:p>
    <w:p>
      <w:pPr>
        <w:pStyle w:val="FirstParagraph"/>
      </w:pPr>
      <w:r>
        <w:t xml:space="preserve">Millennium Exchange는 LSEG 자회사인</w:t>
      </w:r>
      <w:r>
        <w:t xml:space="preserve"> </w:t>
      </w:r>
      <w:r>
        <w:rPr>
          <w:b/>
          <w:bCs/>
        </w:rPr>
        <w:t xml:space="preserve">MillenniumIT</w:t>
      </w:r>
      <w:r>
        <w:t xml:space="preserve">(스리랑카 소재)가 개발한 Linux 기반의 고성능 매칭 엔진이다. 이 엔진은 LSE뿐만 아니라 전 세계 여러 거래소에 배포되어 글로벌 거래소 인프라의 핵심 역할을 수행하고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개발사</w:t>
            </w:r>
          </w:p>
        </w:tc>
        <w:tc>
          <w:tcPr/>
          <w:p>
            <w:pPr>
              <w:pStyle w:val="Compact"/>
            </w:pPr>
            <w:r>
              <w:t xml:space="preserve">MillenniumIT (LSEG 자회사, 스리랑카)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운영체제</w:t>
            </w:r>
          </w:p>
        </w:tc>
        <w:tc>
          <w:tcPr/>
          <w:p>
            <w:pPr>
              <w:pStyle w:val="Compact"/>
            </w:pPr>
            <w:r>
              <w:t xml:space="preserve">Linux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주문 처리 지연시간(Latency)</w:t>
            </w:r>
          </w:p>
        </w:tc>
        <w:tc>
          <w:tcPr/>
          <w:p>
            <w:pPr>
              <w:pStyle w:val="Compact"/>
            </w:pPr>
            <w:r>
              <w:t xml:space="preserve">Turquoise: 126μs / AAX: 최저 90μs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주문 처리량(Throughput)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  <w:r>
              <w:t xml:space="preserve"> </w:t>
            </w:r>
            <w:r>
              <w:rPr>
                <w:b/>
                <w:bCs/>
              </w:rPr>
              <w:t xml:space="preserve">1,000,000 주문/초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청산 처리량</w:t>
            </w:r>
          </w:p>
        </w:tc>
        <w:tc>
          <w:tcPr/>
          <w:p>
            <w:pPr>
              <w:pStyle w:val="Compact"/>
            </w:pPr>
            <w:r>
              <w:t xml:space="preserve">2,000만 거래/일 (1,600 거래/초)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거래소</w:t>
            </w:r>
          </w:p>
        </w:tc>
        <w:tc>
          <w:tcPr/>
          <w:p>
            <w:pPr>
              <w:pStyle w:val="Compact"/>
            </w:pPr>
            <w:r>
              <w:t xml:space="preserve">LSE, Borsa Italiana, Johannesburg SE, Mongolian SE</w:t>
            </w:r>
          </w:p>
        </w:tc>
      </w:tr>
    </w:tbl>
    <w:p>
      <w:pPr>
        <w:pStyle w:val="BodyText"/>
      </w:pPr>
      <w:r>
        <w:rPr>
          <w:b/>
          <w:bCs/>
        </w:rPr>
        <w:t xml:space="preserve">지연시간 분석:</w:t>
      </w:r>
      <w:r>
        <w:t xml:space="preserve"> </w:t>
      </w:r>
      <w:r>
        <w:t xml:space="preserve">Turquoise 플랫폼에서 126마이크로초(μs), AAX(Alternative Access)에서는 90μs까지 달성한다. 이는 밀리초(ms) 단위가 아닌 마이크로초 단위의 초저지연 매칭으로, 고빈도 거래(HFT) 전략에 적합한 인프라이다. 다만, KRX EXTURE 3.0의</w:t>
      </w:r>
      <w:r>
        <w:t xml:space="preserve"> </w:t>
      </w:r>
      <w:r>
        <w:rPr>
          <w:b/>
          <w:bCs/>
        </w:rPr>
        <w:t xml:space="preserve">50μs</w:t>
      </w:r>
      <w:r>
        <w:t xml:space="preserve"> </w:t>
      </w:r>
      <w:r>
        <w:t xml:space="preserve">대비로는 다소 느린 수치이며, 이는 KRX가 단일 거래소로서 최적화에 집중할 수 있는 반면 Millennium은 글로벌 범용성을 우선시하는 설계 철학의 차이에서 기인한다.</w:t>
      </w:r>
    </w:p>
    <w:p>
      <w:pPr>
        <w:pStyle w:val="BodyText"/>
      </w:pPr>
      <w:r>
        <w:rPr>
          <w:b/>
          <w:bCs/>
        </w:rPr>
        <w:t xml:space="preserve">처리량(Throughput):</w:t>
      </w:r>
      <w:r>
        <w:t xml:space="preserve"> </w:t>
      </w:r>
      <w:r>
        <w:t xml:space="preserve">초당 100만 주문 처리 역량은 글로벌 최고 수준으로, 변동성 급등 시에도 안정적인 주문 처리를 보장한다. 일일 청산 처리량 2,000만 건은 유럽 전체 시장의 거래를 수용할 수 있는 규모이다.</w:t>
      </w:r>
    </w:p>
    <w:bookmarkEnd w:id="14"/>
    <w:bookmarkStart w:id="15" w:name="시장-데이터-배포-level-2-mitch"/>
    <w:p>
      <w:pPr>
        <w:pStyle w:val="Heading3"/>
      </w:pPr>
      <w:r>
        <w:t xml:space="preserve">3.2 시장 데이터 배포 (Level 2-MITCH)</w:t>
      </w:r>
    </w:p>
    <w:p>
      <w:pPr>
        <w:pStyle w:val="FirstParagraph"/>
      </w:pPr>
      <w:r>
        <w:t xml:space="preserve">LSE는</w:t>
      </w:r>
      <w:r>
        <w:t xml:space="preserve"> </w:t>
      </w:r>
      <w:r>
        <w:rPr>
          <w:b/>
          <w:bCs/>
        </w:rPr>
        <w:t xml:space="preserve">Level 2-MITCH</w:t>
      </w:r>
      <w:r>
        <w:t xml:space="preserve"> </w:t>
      </w:r>
      <w:r>
        <w:t xml:space="preserve">프로토콜을 통해 시장 데이터를 배포한다.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Level 2-MITCH (바이너리 프로토콜)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타임스탬프 정밀도</w:t>
            </w:r>
          </w:p>
        </w:tc>
        <w:tc>
          <w:tcPr/>
          <w:p>
            <w:pPr>
              <w:pStyle w:val="Compact"/>
            </w:pPr>
            <w:r>
              <w:t xml:space="preserve">마이크로초(μs) 단위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내용</w:t>
            </w:r>
          </w:p>
        </w:tc>
        <w:tc>
          <w:tcPr/>
          <w:p>
            <w:pPr>
              <w:pStyle w:val="Compact"/>
            </w:pPr>
            <w:r>
              <w:t xml:space="preserve">호가 잔량(Order Book Depth), 체결 정보, 경매 데이터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전송 방식</w:t>
            </w:r>
          </w:p>
        </w:tc>
        <w:tc>
          <w:tcPr/>
          <w:p>
            <w:pPr>
              <w:pStyle w:val="Compact"/>
            </w:pPr>
            <w:r>
              <w:t xml:space="preserve">UDP 멀티캐스트</w:t>
            </w:r>
          </w:p>
        </w:tc>
      </w:tr>
    </w:tbl>
    <w:p>
      <w:pPr>
        <w:pStyle w:val="BodyText"/>
      </w:pPr>
      <w:r>
        <w:t xml:space="preserve">마이크로초 단위의 타임스탬프는 시장감시 및 최선집행(best execution) 분석에 필수적인 정밀도를 제공한다. 이는 거래소 간 시간 동기화와 주문 우선순위 판정에 있어 밀리초 단위보다 10배 이상 높은 정확도를 보장한다.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청산결제-체계"/>
    <w:p>
      <w:pPr>
        <w:pStyle w:val="Heading2"/>
      </w:pPr>
      <w:r>
        <w:t xml:space="preserve">4. 청산·결제 체계</w:t>
      </w:r>
    </w:p>
    <w:bookmarkStart w:id="17" w:name="lch-청산-구조"/>
    <w:p>
      <w:pPr>
        <w:pStyle w:val="Heading3"/>
      </w:pPr>
      <w:r>
        <w:t xml:space="preserve">4.1 LCH 청산 구조</w:t>
      </w:r>
    </w:p>
    <w:p>
      <w:pPr>
        <w:pStyle w:val="FirstParagraph"/>
      </w:pPr>
      <w:r>
        <w:t xml:space="preserve">LSEG 산하</w:t>
      </w:r>
      <w:r>
        <w:t xml:space="preserve"> </w:t>
      </w:r>
      <w:r>
        <w:rPr>
          <w:b/>
          <w:bCs/>
        </w:rPr>
        <w:t xml:space="preserve">LCH Group</w:t>
      </w:r>
      <w:r>
        <w:t xml:space="preserve">은 런던(LCH Ltd)과 파리(LCH SA) 두 법인으로 구성되며, 유럽 최대 규모의 중앙청산기관(CCP)이다.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법인</w:t>
            </w:r>
          </w:p>
        </w:tc>
        <w:tc>
          <w:tcPr/>
          <w:p>
            <w:pPr>
              <w:pStyle w:val="Compact"/>
            </w:pPr>
            <w:r>
              <w:t xml:space="preserve">소재지</w:t>
            </w:r>
          </w:p>
        </w:tc>
        <w:tc>
          <w:tcPr/>
          <w:p>
            <w:pPr>
              <w:pStyle w:val="Compact"/>
            </w:pPr>
            <w:r>
              <w:t xml:space="preserve">규제 상태</w:t>
            </w:r>
          </w:p>
        </w:tc>
        <w:tc>
          <w:tcPr/>
          <w:p>
            <w:pPr>
              <w:pStyle w:val="Compact"/>
            </w:pPr>
            <w:r>
              <w:t xml:space="preserve">주요 서비스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LCH Ltd</w:t>
            </w:r>
          </w:p>
        </w:tc>
        <w:tc>
          <w:tcPr/>
          <w:p>
            <w:pPr>
              <w:pStyle w:val="Compact"/>
            </w:pPr>
            <w:r>
              <w:t xml:space="preserve">런던</w:t>
            </w:r>
          </w:p>
        </w:tc>
        <w:tc>
          <w:tcPr/>
          <w:p>
            <w:pPr>
              <w:pStyle w:val="Compact"/>
            </w:pPr>
            <w:r>
              <w:t xml:space="preserve">RCH(Recognised Clearing House) 지위</w:t>
            </w:r>
          </w:p>
        </w:tc>
        <w:tc>
          <w:tcPr/>
          <w:p>
            <w:pPr>
              <w:pStyle w:val="Compact"/>
            </w:pPr>
            <w:r>
              <w:t xml:space="preserve">SwapClear, RepoClear, EquityClear Ltd, ForexClear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LCH SA</w:t>
            </w:r>
          </w:p>
        </w:tc>
        <w:tc>
          <w:tcPr/>
          <w:p>
            <w:pPr>
              <w:pStyle w:val="Compact"/>
            </w:pPr>
            <w:r>
              <w:t xml:space="preserve">파리</w:t>
            </w:r>
          </w:p>
        </w:tc>
        <w:tc>
          <w:tcPr/>
          <w:p>
            <w:pPr>
              <w:pStyle w:val="Compact"/>
            </w:pPr>
            <w:r>
              <w:t xml:space="preserve">유럽 대륙 청산</w:t>
            </w:r>
          </w:p>
        </w:tc>
        <w:tc>
          <w:tcPr/>
          <w:p>
            <w:pPr>
              <w:pStyle w:val="Compact"/>
            </w:pPr>
            <w:r>
              <w:t xml:space="preserve">CDS, 레포, 고정수익(Fixed Income)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EquityClear</w:t>
      </w:r>
      <w:r>
        <w:t xml:space="preserve">는 주식, ETF, ETC, REIT 등을 대상으로 하는 범유럽(pan-European) CCP로, LSE뿐만 아니라 다수의 유럽 거래소 및 MTF에서 체결된 거래의 청산을 담당한다. 이는 단일 청산기관(한국거래소 → 한국예탁결제원) 구조인 KRX와 대비되는</w:t>
      </w:r>
      <w:r>
        <w:t xml:space="preserve"> </w:t>
      </w:r>
      <w:r>
        <w:rPr>
          <w:b/>
          <w:bCs/>
        </w:rPr>
        <w:t xml:space="preserve">다층적 청산 구조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SwapClear</w:t>
      </w:r>
      <w:r>
        <w:t xml:space="preserve">는 전 세계 OTC 금리 스왑 청산의 90% 이상을 처리하는 글로벌 핵심 인프라이며,</w:t>
      </w:r>
      <w:r>
        <w:t xml:space="preserve"> </w:t>
      </w:r>
      <w:r>
        <w:rPr>
          <w:b/>
          <w:bCs/>
        </w:rPr>
        <w:t xml:space="preserve">ForexClear</w:t>
      </w:r>
      <w:r>
        <w:t xml:space="preserve">는 OTC 외환 파생상품의 중앙 청산을 제공한다. 이처럼 LCH는 단순 주식 청산을 넘어 글로벌 OTC 파생상품 청산의 중추 역할을 수행한다.</w:t>
      </w:r>
    </w:p>
    <w:bookmarkEnd w:id="17"/>
    <w:bookmarkStart w:id="18" w:name="crest-결제-시스템-및-t1-전환"/>
    <w:p>
      <w:pPr>
        <w:pStyle w:val="Heading3"/>
      </w:pPr>
      <w:r>
        <w:t xml:space="preserve">4.2 CREST 결제 시스템 및 T+1 전환</w:t>
      </w:r>
    </w:p>
    <w:p>
      <w:pPr>
        <w:pStyle w:val="FirstParagraph"/>
      </w:pPr>
      <w:r>
        <w:t xml:space="preserve">LSE 주식의 결제는</w:t>
      </w:r>
      <w:r>
        <w:t xml:space="preserve"> </w:t>
      </w:r>
      <w:r>
        <w:rPr>
          <w:b/>
          <w:bCs/>
        </w:rPr>
        <w:t xml:space="preserve">CREST(Euroclear UK &amp; International 운영)</w:t>
      </w:r>
      <w:r>
        <w:t xml:space="preserve"> </w:t>
      </w:r>
      <w:r>
        <w:t xml:space="preserve">시스템을 통해 이루어진다.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현행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결제 주기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 시행 목표일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2027년 10월 11일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조율 대상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EU, 스위스와 동시 전환</w:t>
            </w:r>
          </w:p>
        </w:tc>
      </w:tr>
    </w:tbl>
    <w:p>
      <w:pPr>
        <w:pStyle w:val="BodyText"/>
      </w:pPr>
      <w:r>
        <w:rPr>
          <w:b/>
          <w:bCs/>
        </w:rPr>
        <w:t xml:space="preserve">T+1 전환 로드맵: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주요 활동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기획(Planning)</w:t>
            </w:r>
          </w:p>
        </w:tc>
        <w:tc>
          <w:tcPr/>
          <w:p>
            <w:pPr>
              <w:pStyle w:val="Compact"/>
            </w:pPr>
            <w:r>
              <w:t xml:space="preserve">규제 프레임워크 수립, 업계 협의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구축(Building)</w:t>
            </w:r>
          </w:p>
        </w:tc>
        <w:tc>
          <w:tcPr/>
          <w:p>
            <w:pPr>
              <w:pStyle w:val="Compact"/>
            </w:pPr>
            <w:r>
              <w:t xml:space="preserve">시스템 개발, 테스트 환경 구축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테스트/전환(Testing/Migration)</w:t>
            </w:r>
          </w:p>
        </w:tc>
        <w:tc>
          <w:tcPr/>
          <w:p>
            <w:pPr>
              <w:pStyle w:val="Compact"/>
            </w:pPr>
            <w:r>
              <w:t xml:space="preserve">병행 운영, 최종 전환 (10월 11일)</w:t>
            </w:r>
          </w:p>
        </w:tc>
      </w:tr>
    </w:tbl>
    <w:p>
      <w:pPr>
        <w:pStyle w:val="BodyText"/>
      </w:pPr>
      <w:r>
        <w:t xml:space="preserve">영국은 Brexit 이후 독자적 규제 경로를 설정할 수 있었음에도, T+1 전환에서는</w:t>
      </w:r>
      <w:r>
        <w:t xml:space="preserve"> </w:t>
      </w:r>
      <w:r>
        <w:rPr>
          <w:b/>
          <w:bCs/>
        </w:rPr>
        <w:t xml:space="preserve">EU 및 스위스와 시행일을 동기화</w:t>
      </w:r>
      <w:r>
        <w:t xml:space="preserve">(2027년 10월 11일)하는 전략을 채택하였다. 이는 유럽 대륙과의 교차 결제(cross-border settlement) 효율성을 유지하기 위한 실용적 판단이다. KRX 역시 T+2에서 T+1으로의 전환을 계획하고 있어, 유럽의 전환 과정에서 발생하는 기술적·운영적 이슈를 선행 학습할 수 있는 기회가 된다.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시간-거래-논의-현황"/>
    <w:p>
      <w:pPr>
        <w:pStyle w:val="Heading2"/>
      </w:pPr>
      <w:r>
        <w:t xml:space="preserve">5. 24시간 거래 논의 현황</w:t>
      </w:r>
    </w:p>
    <w:bookmarkStart w:id="20" w:name="lseg의-24시간-거래-검토"/>
    <w:p>
      <w:pPr>
        <w:pStyle w:val="Heading3"/>
      </w:pPr>
      <w:r>
        <w:t xml:space="preserve">5.1 LSEG의 24시간 거래 검토</w:t>
      </w:r>
    </w:p>
    <w:p>
      <w:pPr>
        <w:pStyle w:val="FirstParagraph"/>
      </w:pPr>
      <w:r>
        <w:t xml:space="preserve">2025년 7월, LSEG CEO</w:t>
      </w:r>
      <w:r>
        <w:t xml:space="preserve"> </w:t>
      </w:r>
      <w:r>
        <w:rPr>
          <w:b/>
          <w:bCs/>
        </w:rPr>
        <w:t xml:space="preserve">David Schwimmer</w:t>
      </w:r>
      <w:r>
        <w:t xml:space="preserve">는 24시간 거래 가능성을 공식적으로 검토 중임을 확인하였다.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발표 시점</w:t>
            </w:r>
          </w:p>
        </w:tc>
        <w:tc>
          <w:tcPr/>
          <w:p>
            <w:pPr>
              <w:pStyle w:val="Compact"/>
            </w:pPr>
            <w:r>
              <w:t xml:space="preserve">2025년 7월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발표자</w:t>
            </w:r>
          </w:p>
        </w:tc>
        <w:tc>
          <w:tcPr/>
          <w:p>
            <w:pPr>
              <w:pStyle w:val="Compact"/>
            </w:pPr>
            <w:r>
              <w:t xml:space="preserve">David Schwimmer (LSEG CEO)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상태 (2026.3)</w:t>
            </w:r>
          </w:p>
        </w:tc>
        <w:tc>
          <w:tcPr/>
          <w:p>
            <w:pPr>
              <w:pStyle w:val="Compact"/>
            </w:pPr>
            <w:r>
              <w:t xml:space="preserve">탐색/논의 단계 (exploratory/discussion phase)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공식 규제 신청</w:t>
            </w:r>
          </w:p>
        </w:tc>
        <w:tc>
          <w:tcPr/>
          <w:p>
            <w:pPr>
              <w:pStyle w:val="Compact"/>
            </w:pPr>
            <w:r>
              <w:t xml:space="preserve">미제출</w:t>
            </w:r>
          </w:p>
        </w:tc>
      </w:tr>
    </w:tbl>
    <w:p>
      <w:pPr>
        <w:pStyle w:val="BodyText"/>
      </w:pPr>
      <w:r>
        <w:rPr>
          <w:b/>
          <w:bCs/>
        </w:rPr>
        <w:t xml:space="preserve">추진 동인: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리테일 수요 증가:</w:t>
      </w:r>
      <w:r>
        <w:t xml:space="preserve"> </w:t>
      </w:r>
      <w:r>
        <w:t xml:space="preserve">개인 투자자의 시간 외 거래 수요 확대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암호화폐 경쟁:</w:t>
      </w:r>
      <w:r>
        <w:t xml:space="preserve"> </w:t>
      </w:r>
      <w:r>
        <w:t xml:space="preserve">24/7 거래되는 디지털 자산 시장과의 경쟁 압력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미국 거래소 압력:</w:t>
      </w:r>
      <w:r>
        <w:t xml:space="preserve"> </w:t>
      </w:r>
      <w:r>
        <w:t xml:space="preserve">NYSE, NASDAQ의 24/5(주 5일 24시간) 거래 추진 가속화</w:t>
      </w:r>
    </w:p>
    <w:p>
      <w:pPr>
        <w:pStyle w:val="BodyText"/>
      </w:pPr>
      <w:r>
        <w:rPr>
          <w:b/>
          <w:bCs/>
        </w:rPr>
        <w:t xml:space="preserve">핵심 과제: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FCA 규제 장벽:</w:t>
      </w:r>
      <w:r>
        <w:t xml:space="preserve"> </w:t>
      </w:r>
      <w:r>
        <w:t xml:space="preserve">영국 금융행위감독청(FCA)의 승인 및 규제 프레임워크 재설계 필요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유동성 분산(Liquidity Fragmentation):</w:t>
      </w:r>
      <w:r>
        <w:t xml:space="preserve"> </w:t>
      </w:r>
      <w:r>
        <w:t xml:space="preserve">거래 시간 확대 시 기존 세션의 유동성 희석 우려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기술 인프라 업그레이드:</w:t>
      </w:r>
      <w:r>
        <w:t xml:space="preserve"> </w:t>
      </w:r>
      <w:r>
        <w:t xml:space="preserve">24시간 무중단 운영을 위한 시스템 이중화, 유지보수 윈도우 확보 등</w:t>
      </w:r>
    </w:p>
    <w:p>
      <w:pPr>
        <w:pStyle w:val="BodyText"/>
      </w:pPr>
      <w:r>
        <w:t xml:space="preserve">2026년 3월 현재 LSE의 24시간 거래는</w:t>
      </w:r>
      <w:r>
        <w:t xml:space="preserve"> </w:t>
      </w:r>
      <w:r>
        <w:rPr>
          <w:b/>
          <w:bCs/>
        </w:rPr>
        <w:t xml:space="preserve">탐색·논의 단계</w:t>
      </w:r>
      <w:r>
        <w:t xml:space="preserve">에 머물러 있으며, FCA에 대한 공식 신청은 이루어지지 않았다. 이는 시장 구조 변경의 복잡성과 규제 협의의 장기성을 반영한다.</w:t>
      </w:r>
    </w:p>
    <w:bookmarkEnd w:id="20"/>
    <w:bookmarkStart w:id="21" w:name="mtf-dark-pool-경쟁-구도"/>
    <w:p>
      <w:pPr>
        <w:pStyle w:val="Heading3"/>
      </w:pPr>
      <w:r>
        <w:t xml:space="preserve">5.2 MTF / Dark Pool 경쟁 구도</w:t>
      </w:r>
    </w:p>
    <w:p>
      <w:pPr>
        <w:pStyle w:val="FirstParagraph"/>
      </w:pPr>
      <w:r>
        <w:t xml:space="preserve">유럽 MiFID II 체제하에서 LSE는 다수의</w:t>
      </w:r>
      <w:r>
        <w:t xml:space="preserve"> </w:t>
      </w:r>
      <w:r>
        <w:rPr>
          <w:b/>
          <w:bCs/>
        </w:rPr>
        <w:t xml:space="preserve">다자간 거래시설(MTF)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다크풀(Dark Pool)</w:t>
      </w:r>
      <w:r>
        <w:t xml:space="preserve">과 경쟁하는 분산된 시장 구조를 가지고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거래 플랫폼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주요 특징</w:t>
            </w:r>
          </w:p>
        </w:tc>
        <w:tc>
          <w:tcPr/>
          <w:p>
            <w:pPr>
              <w:pStyle w:val="Compact"/>
            </w:pPr>
            <w:r>
              <w:t xml:space="preserve">시장 점유율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 (Main Market)</w:t>
            </w:r>
          </w:p>
        </w:tc>
        <w:tc>
          <w:tcPr/>
          <w:p>
            <w:pPr>
              <w:pStyle w:val="Compact"/>
            </w:pPr>
            <w:r>
              <w:t xml:space="preserve">정규 거래소</w:t>
            </w:r>
          </w:p>
        </w:tc>
        <w:tc>
          <w:tcPr/>
          <w:p>
            <w:pPr>
              <w:pStyle w:val="Compact"/>
            </w:pPr>
            <w:r>
              <w:t xml:space="preserve">FTSE 종목 1차 상장 거래소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Turquoise</w:t>
            </w:r>
          </w:p>
        </w:tc>
        <w:tc>
          <w:tcPr/>
          <w:p>
            <w:pPr>
              <w:pStyle w:val="Compact"/>
            </w:pPr>
            <w:r>
              <w:t xml:space="preserve">MTF (LSE 다수 지분)</w:t>
            </w:r>
          </w:p>
        </w:tc>
        <w:tc>
          <w:tcPr/>
          <w:p>
            <w:pPr>
              <w:pStyle w:val="Compact"/>
            </w:pPr>
            <w:r>
              <w:t xml:space="preserve">Lit + Dark Book, Plato 미드포인트 다크풀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Cboe Europe</w:t>
            </w:r>
          </w:p>
        </w:tc>
        <w:tc>
          <w:tcPr/>
          <w:p>
            <w:pPr>
              <w:pStyle w:val="Compact"/>
            </w:pPr>
            <w:r>
              <w:t xml:space="preserve">MTF (구 BATS Chi-X)</w:t>
            </w:r>
          </w:p>
        </w:tc>
        <w:tc>
          <w:tcPr/>
          <w:p>
            <w:pPr>
              <w:pStyle w:val="Compact"/>
            </w:pPr>
            <w:r>
              <w:t xml:space="preserve">범유럽 최대 대안 거래소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25.1% (2025 Q2)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Aquis Exchange</w:t>
            </w:r>
          </w:p>
        </w:tc>
        <w:tc>
          <w:tcPr/>
          <w:p>
            <w:pPr>
              <w:pStyle w:val="Compact"/>
            </w:pPr>
            <w:r>
              <w:t xml:space="preserve">MTF</w:t>
            </w:r>
          </w:p>
        </w:tc>
        <w:tc>
          <w:tcPr/>
          <w:p>
            <w:pPr>
              <w:pStyle w:val="Compact"/>
            </w:pPr>
            <w:r>
              <w:t xml:space="preserve">구독료 기반 수수료 모델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  <w:bCs/>
        </w:rPr>
        <w:t xml:space="preserve">Turquoise Plato</w:t>
      </w:r>
      <w:r>
        <w:t xml:space="preserve">는 LSE가 과반 지분을 보유한 MTF로, 미드포인트 다크풀을 통해 기관 투자자에게 시장 충격(market impact) 최소화 거래를 제공한다.</w:t>
      </w:r>
      <w:r>
        <w:t xml:space="preserve"> </w:t>
      </w:r>
      <w:r>
        <w:rPr>
          <w:b/>
          <w:bCs/>
        </w:rPr>
        <w:t xml:space="preserve">Cboe Europe</w:t>
      </w:r>
      <w:r>
        <w:t xml:space="preserve">은 2025년 2분기 기준 25.1%의 시장 점유율로 범유럽 최대 대안 거래소의 지위를 유지하고 있다.</w:t>
      </w:r>
    </w:p>
    <w:p>
      <w:pPr>
        <w:pStyle w:val="BodyText"/>
      </w:pPr>
      <w:r>
        <w:t xml:space="preserve">이러한 분산된 거래소 구조는 KRX의 단일 거래소 독점 구조와 대비된다. 다만 한국에서도</w:t>
      </w:r>
      <w:r>
        <w:t xml:space="preserve"> </w:t>
      </w:r>
      <w:r>
        <w:rPr>
          <w:b/>
          <w:bCs/>
        </w:rPr>
        <w:t xml:space="preserve">Nextrade</w:t>
      </w:r>
      <w:r>
        <w:t xml:space="preserve">(넥스트레이드)의 출범으로 경쟁 체제가 시작되었으며, 유럽의 다자간 거래소 경쟁 모델은 한국 시장의 향후 발전 방향을 가늠하는 참고 사례가 된다.</w:t>
      </w:r>
    </w:p>
    <w:bookmarkEnd w:id="21"/>
    <w:bookmarkStart w:id="22" w:name="규제-환경-fca-post-brexit"/>
    <w:p>
      <w:pPr>
        <w:pStyle w:val="Heading3"/>
      </w:pPr>
      <w:r>
        <w:t xml:space="preserve">5.3 규제 환경 (FCA, Post-Brexit)</w:t>
      </w:r>
    </w:p>
    <w:p>
      <w:pPr>
        <w:pStyle w:val="FirstParagraph"/>
      </w:pPr>
      <w:r>
        <w:t xml:space="preserve">Brexit 이후 영국은 EU 규제 체계를 계승하면서도 독자적인 금융 규제 개혁을 추진하고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규제 이슈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시행 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 MAR</w:t>
            </w:r>
            <w:r>
              <w:t xml:space="preserve"> </w:t>
            </w:r>
            <w:r>
              <w:t xml:space="preserve">(시장남용규정)</w:t>
            </w:r>
          </w:p>
        </w:tc>
        <w:tc>
          <w:tcPr/>
          <w:p>
            <w:pPr>
              <w:pStyle w:val="Compact"/>
            </w:pPr>
            <w:r>
              <w:t xml:space="preserve">EU MAR 계승·유지</w:t>
            </w:r>
          </w:p>
        </w:tc>
        <w:tc>
          <w:tcPr/>
          <w:p>
            <w:pPr>
              <w:pStyle w:val="Compact"/>
            </w:pPr>
            <w:r>
              <w:t xml:space="preserve">시행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Systematic Internaliser 제도 폐지</w:t>
            </w:r>
          </w:p>
        </w:tc>
        <w:tc>
          <w:tcPr/>
          <w:p>
            <w:pPr>
              <w:pStyle w:val="Compact"/>
            </w:pPr>
            <w:r>
              <w:t xml:space="preserve">폐지 결정</w:t>
            </w:r>
          </w:p>
        </w:tc>
        <w:tc>
          <w:tcPr/>
          <w:p>
            <w:pPr>
              <w:pStyle w:val="Compact"/>
            </w:pPr>
            <w:r>
              <w:t xml:space="preserve">2025년 12월 / 2026년 3월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 Equity Consolidated Tape</w:t>
            </w:r>
          </w:p>
        </w:tc>
        <w:tc>
          <w:tcPr/>
          <w:p>
            <w:pPr>
              <w:pStyle w:val="Compact"/>
            </w:pPr>
            <w:r>
              <w:t xml:space="preserve">도입 추진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2027년</w:t>
            </w:r>
            <w:r>
              <w:t xml:space="preserve"> </w:t>
            </w:r>
            <w:r>
              <w:t xml:space="preserve">운영 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 Selling Sourcebook</w:t>
            </w:r>
          </w:p>
        </w:tc>
        <w:tc>
          <w:tcPr/>
          <w:p>
            <w:pPr>
              <w:pStyle w:val="Compact"/>
            </w:pPr>
            <w:r>
              <w:t xml:space="preserve">단계적 도입</w:t>
            </w:r>
          </w:p>
        </w:tc>
        <w:tc>
          <w:tcPr/>
          <w:p>
            <w:pPr>
              <w:pStyle w:val="Compact"/>
            </w:pPr>
            <w:r>
              <w:t xml:space="preserve">Phase 1: 2026년 중반 / Phase 2: 2026년 후반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Systematic Internaliser(SI) 제도 폐지</w:t>
      </w:r>
      <w:r>
        <w:t xml:space="preserve">는 주목할 만한 변화이다. EU에서는 MiFID II하에 SI가 유지되고 있으나, 영국은 이를 폐지함으로써 규제 부담을 줄이고 시장 구조를 단순화하는 방향으로 나아가고 있다.</w:t>
      </w:r>
    </w:p>
    <w:p>
      <w:pPr>
        <w:pStyle w:val="BodyText"/>
      </w:pPr>
      <w:r>
        <w:rPr>
          <w:b/>
          <w:bCs/>
        </w:rPr>
        <w:t xml:space="preserve">UK Equity Consolidated Tape</w:t>
      </w:r>
      <w:r>
        <w:t xml:space="preserve">(통합 시세 테이프)는 분산된 다수의 거래소·MTF에서 발생하는 거래 데이터를 하나의 통합 피드로 제공하는 것으로, 2027년 운영을 목표로 추진 중이다. 이는 유럽에서 오랫동안 부재했던 인프라로, 미국의 SIP(Securities Information Processor)에 대응하는 개념이다.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시장감시-체계"/>
    <w:p>
      <w:pPr>
        <w:pStyle w:val="Heading2"/>
      </w:pPr>
      <w:r>
        <w:t xml:space="preserve">6. 시장감시 체계</w:t>
      </w:r>
    </w:p>
    <w:bookmarkStart w:id="24" w:name="ai-기반-감시-시스템"/>
    <w:p>
      <w:pPr>
        <w:pStyle w:val="Heading3"/>
      </w:pPr>
      <w:r>
        <w:t xml:space="preserve">6.1 AI 기반 감시 시스템</w:t>
      </w:r>
    </w:p>
    <w:p>
      <w:pPr>
        <w:pStyle w:val="FirstParagraph"/>
      </w:pPr>
      <w:r>
        <w:t xml:space="preserve">LSEG은 시장감시 분야에서</w:t>
      </w:r>
      <w:r>
        <w:t xml:space="preserve"> </w:t>
      </w:r>
      <w:r>
        <w:rPr>
          <w:b/>
          <w:bCs/>
        </w:rPr>
        <w:t xml:space="preserve">인공지능(AI) 기술을 선도적으로 도입</w:t>
      </w:r>
      <w:r>
        <w:t xml:space="preserve">하고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플랫폼</w:t>
            </w:r>
          </w:p>
        </w:tc>
        <w:tc>
          <w:tcPr/>
          <w:p>
            <w:pPr>
              <w:pStyle w:val="Compact"/>
            </w:pPr>
            <w:r>
              <w:t xml:space="preserve">Amazon Bedrock + Anthropic Claude Sonnet 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분야</w:t>
            </w:r>
          </w:p>
        </w:tc>
        <w:tc>
          <w:tcPr/>
          <w:p>
            <w:pPr>
              <w:pStyle w:val="Compact"/>
            </w:pPr>
            <w:r>
              <w:t xml:space="preserve">RNS(Regulatory News Service) 뉴스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LSEG Trade Surveillance</w:t>
            </w:r>
          </w:p>
        </w:tc>
        <w:tc>
          <w:tcPr/>
          <w:p>
            <w:pPr>
              <w:pStyle w:val="Compact"/>
            </w:pPr>
            <w:r>
              <w:t xml:space="preserve">2026년 1월 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기존 시스템</w:t>
            </w:r>
          </w:p>
        </w:tc>
        <w:tc>
          <w:tcPr/>
          <w:p>
            <w:pPr>
              <w:pStyle w:val="Compact"/>
            </w:pPr>
            <w:r>
              <w:t xml:space="preserve">Millennium Surveillance 플랫폼</w:t>
            </w:r>
          </w:p>
        </w:tc>
      </w:tr>
    </w:tbl>
    <w:p>
      <w:pPr>
        <w:pStyle w:val="BodyText"/>
      </w:pPr>
      <w:r>
        <w:t xml:space="preserve">LSEG은</w:t>
      </w:r>
      <w:r>
        <w:t xml:space="preserve"> </w:t>
      </w:r>
      <w:r>
        <w:rPr>
          <w:b/>
          <w:bCs/>
        </w:rPr>
        <w:t xml:space="preserve">Amazon Bedrock 기반의 Anthropic Claude Sonnet 3.5</w:t>
      </w:r>
      <w:r>
        <w:t xml:space="preserve"> </w:t>
      </w:r>
      <w:r>
        <w:t xml:space="preserve">모델을 활용하여 RNS(규제 뉴스 서비스) 뉴스를 자동 분류하고 있다. 이는 대규모 언어모델(LLM)을 거래소 감시 업무에 직접 적용한 글로벌 최초 사례 중 하나로, 기존 규칙 기반(rule-based) 감시의 한계를 보완하는 데 기여한다.</w:t>
      </w:r>
    </w:p>
    <w:p>
      <w:pPr>
        <w:pStyle w:val="BodyText"/>
      </w:pPr>
      <w:r>
        <w:t xml:space="preserve">2026년 1월에 출시된</w:t>
      </w:r>
      <w:r>
        <w:t xml:space="preserve"> </w:t>
      </w:r>
      <w:r>
        <w:rPr>
          <w:b/>
          <w:bCs/>
        </w:rPr>
        <w:t xml:space="preserve">LSEG Trade Surveillance</w:t>
      </w:r>
      <w:r>
        <w:t xml:space="preserve">는 기존 Millennium Surveillance 플랫폼을 확장한 서비스로, 시장 참여자들에게 자체 거래 감시 솔루션을 제공한다. 이는 거래소가 단순히 시장을 감시하는 데 그치지 않고, 감시 기술 자체를 상품화하여 새로운 수익원을 창출하는 비즈니스 모델이다.</w:t>
      </w:r>
    </w:p>
    <w:p>
      <w:pPr>
        <w:pStyle w:val="BodyText"/>
      </w:pPr>
      <w:r>
        <w:t xml:space="preserve">KRX가 야간 시장이나 시간 외 거래 확대를 검토하는 경우, LSE의 AI 기반 감시 모델은</w:t>
      </w:r>
      <w:r>
        <w:t xml:space="preserve"> </w:t>
      </w:r>
      <w:r>
        <w:rPr>
          <w:b/>
          <w:bCs/>
        </w:rPr>
        <w:t xml:space="preserve">인력 투입 없이도 24시간 자동화된 시장 감시</w:t>
      </w:r>
      <w:r>
        <w:t xml:space="preserve">를 가능하게 하는 참고 사례가 된다. 특히 LLM 기반 뉴스 분류는 한국어 RNS에도 적용 가능한 기술적 확장성을 가진다.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krx-현행-제도와의-비교-분석"/>
    <w:p>
      <w:pPr>
        <w:pStyle w:val="Heading2"/>
      </w:pPr>
      <w:r>
        <w:t xml:space="preserve">7. KRX 현행 제도와의 비교 분석</w:t>
      </w:r>
    </w:p>
    <w:p>
      <w:pPr>
        <w:pStyle w:val="FirstParagraph"/>
      </w:pPr>
      <w:r>
        <w:t xml:space="preserve">아래 표는 LSE와 KRX의 핵심 제도를 항목별로 비교한 것이다.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 항목</w:t>
            </w:r>
          </w:p>
        </w:tc>
        <w:tc>
          <w:tcPr/>
          <w:p>
            <w:pPr>
              <w:pStyle w:val="Compact"/>
            </w:pPr>
            <w:r>
              <w:t xml:space="preserve">LSE (LSEG)</w:t>
            </w:r>
          </w:p>
        </w:tc>
        <w:tc>
          <w:tcPr/>
          <w:p>
            <w:pPr>
              <w:pStyle w:val="Compact"/>
            </w:pPr>
            <w:r>
              <w:t xml:space="preserve">KRX (한국거래소)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연속 거래 시간</w:t>
            </w:r>
          </w:p>
        </w:tc>
        <w:tc>
          <w:tcPr/>
          <w:p>
            <w:pPr>
              <w:pStyle w:val="Compact"/>
            </w:pPr>
            <w:r>
              <w:t xml:space="preserve">약 8.5시간</w:t>
            </w:r>
          </w:p>
        </w:tc>
        <w:tc>
          <w:tcPr/>
          <w:p>
            <w:pPr>
              <w:pStyle w:val="Compact"/>
            </w:pPr>
            <w:r>
              <w:t xml:space="preserve">6.5시간</w:t>
            </w:r>
          </w:p>
        </w:tc>
        <w:tc>
          <w:tcPr/>
          <w:p>
            <w:pPr>
              <w:pStyle w:val="Compact"/>
            </w:pPr>
            <w:r>
              <w:t xml:space="preserve">양쪽 모두 상대적으로 짧은 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엔진</w:t>
            </w:r>
          </w:p>
        </w:tc>
        <w:tc>
          <w:tcPr/>
          <w:p>
            <w:pPr>
              <w:pStyle w:val="Compact"/>
            </w:pPr>
            <w:r>
              <w:t xml:space="preserve">Millennium Exchange</w:t>
            </w:r>
          </w:p>
        </w:tc>
        <w:tc>
          <w:tcPr/>
          <w:p>
            <w:pPr>
              <w:pStyle w:val="Compact"/>
            </w:pPr>
            <w:r>
              <w:t xml:space="preserve">EXTURE 3.0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매칭 지연시간</w:t>
            </w:r>
          </w:p>
        </w:tc>
        <w:tc>
          <w:tcPr/>
          <w:p>
            <w:pPr>
              <w:pStyle w:val="Compact"/>
            </w:pPr>
            <w:r>
              <w:t xml:space="preserve">126μs (Turquoise) / 90μs (AAX)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50μs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KRX가 더 빠름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주문 처리량</w:t>
            </w:r>
          </w:p>
        </w:tc>
        <w:tc>
          <w:tcPr/>
          <w:p>
            <w:pPr>
              <w:pStyle w:val="Compact"/>
            </w:pPr>
            <w:r>
              <w:t xml:space="preserve">1,000,000 주문/초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Millennium이 글로벌 최고 수준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현행 결제 주기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T+2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 전환 계획</w:t>
            </w:r>
          </w:p>
        </w:tc>
        <w:tc>
          <w:tcPr/>
          <w:p>
            <w:pPr>
              <w:pStyle w:val="Compact"/>
            </w:pPr>
            <w:r>
              <w:t xml:space="preserve">2027년 10월 11일</w:t>
            </w:r>
          </w:p>
        </w:tc>
        <w:tc>
          <w:tcPr/>
          <w:p>
            <w:pPr>
              <w:pStyle w:val="Compact"/>
            </w:pPr>
            <w:r>
              <w:t xml:space="preserve">추진 중</w:t>
            </w:r>
          </w:p>
        </w:tc>
        <w:tc>
          <w:tcPr/>
          <w:p>
            <w:pPr>
              <w:pStyle w:val="Compact"/>
            </w:pPr>
            <w:r>
              <w:t xml:space="preserve">양쪽 모두 T+1 전환 예정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청산기관</w:t>
            </w:r>
          </w:p>
        </w:tc>
        <w:tc>
          <w:tcPr/>
          <w:p>
            <w:pPr>
              <w:pStyle w:val="Compact"/>
            </w:pPr>
            <w:r>
              <w:t xml:space="preserve">LCH Ltd / LCH SA (다층 구조)</w:t>
            </w:r>
          </w:p>
        </w:tc>
        <w:tc>
          <w:tcPr/>
          <w:p>
            <w:pPr>
              <w:pStyle w:val="Compact"/>
            </w:pPr>
            <w:r>
              <w:t xml:space="preserve">한국예탁결제원 (단일 구조)</w:t>
            </w:r>
          </w:p>
        </w:tc>
        <w:tc>
          <w:tcPr/>
          <w:p>
            <w:pPr>
              <w:pStyle w:val="Compact"/>
            </w:pPr>
            <w:r>
              <w:t xml:space="preserve">구조적 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구조</w:t>
            </w:r>
          </w:p>
        </w:tc>
        <w:tc>
          <w:tcPr/>
          <w:p>
            <w:pPr>
              <w:pStyle w:val="Compact"/>
            </w:pPr>
            <w:r>
              <w:t xml:space="preserve">분산 (LSE + 다수 MTF)</w:t>
            </w:r>
          </w:p>
        </w:tc>
        <w:tc>
          <w:tcPr/>
          <w:p>
            <w:pPr>
              <w:pStyle w:val="Compact"/>
            </w:pPr>
            <w:r>
              <w:t xml:space="preserve">집중 → 분산 전환 중 (Nextrade 출범)</w:t>
            </w:r>
          </w:p>
        </w:tc>
        <w:tc>
          <w:tcPr/>
          <w:p>
            <w:pPr>
              <w:pStyle w:val="Compact"/>
            </w:pPr>
            <w:r>
              <w:t xml:space="preserve">KRX 신규 경쟁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24시간 거래</w:t>
            </w:r>
          </w:p>
        </w:tc>
        <w:tc>
          <w:tcPr/>
          <w:p>
            <w:pPr>
              <w:pStyle w:val="Compact"/>
            </w:pPr>
            <w:r>
              <w:t xml:space="preserve">탐색 단계</w:t>
            </w:r>
          </w:p>
        </w:tc>
        <w:tc>
          <w:tcPr/>
          <w:p>
            <w:pPr>
              <w:pStyle w:val="Compact"/>
            </w:pPr>
            <w:r>
              <w:t xml:space="preserve">야간 거래 논의</w:t>
            </w:r>
          </w:p>
        </w:tc>
        <w:tc>
          <w:tcPr/>
          <w:p>
            <w:pPr>
              <w:pStyle w:val="Compact"/>
            </w:pPr>
            <w:r>
              <w:t xml:space="preserve">양쪽 모두 초기 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감시</w:t>
            </w:r>
          </w:p>
        </w:tc>
        <w:tc>
          <w:tcPr/>
          <w:p>
            <w:pPr>
              <w:pStyle w:val="Compact"/>
            </w:pPr>
            <w:r>
              <w:t xml:space="preserve">Claude Sonnet 3.5 기반 도입</w:t>
            </w:r>
          </w:p>
        </w:tc>
        <w:tc>
          <w:tcPr/>
          <w:p>
            <w:pPr>
              <w:pStyle w:val="Compact"/>
            </w:pPr>
            <w:r>
              <w:t xml:space="preserve">규칙 기반 중심</w:t>
            </w:r>
          </w:p>
        </w:tc>
        <w:tc>
          <w:tcPr/>
          <w:p>
            <w:pPr>
              <w:pStyle w:val="Compact"/>
            </w:pPr>
            <w:r>
              <w:t xml:space="preserve">LSE 선도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Consolidated Tape</w:t>
            </w:r>
          </w:p>
        </w:tc>
        <w:tc>
          <w:tcPr/>
          <w:p>
            <w:pPr>
              <w:pStyle w:val="Compact"/>
            </w:pPr>
            <w:r>
              <w:t xml:space="preserve">2027년 도입 목표</w:t>
            </w:r>
          </w:p>
        </w:tc>
        <w:tc>
          <w:tcPr/>
          <w:p>
            <w:pPr>
              <w:pStyle w:val="Compact"/>
            </w:pPr>
            <w:r>
              <w:t xml:space="preserve">단일 거래소로 불필요 → 향후 필요</w:t>
            </w:r>
          </w:p>
        </w:tc>
        <w:tc>
          <w:tcPr/>
          <w:p>
            <w:pPr>
              <w:pStyle w:val="Compact"/>
            </w:pPr>
            <w:r>
              <w:t xml:space="preserve">Nextrade 출범 시 필요성 대두</w:t>
            </w:r>
          </w:p>
        </w:tc>
      </w:tr>
    </w:tbl>
    <w:bookmarkStart w:id="26" w:name="주요-시사점"/>
    <w:p>
      <w:pPr>
        <w:pStyle w:val="Heading3"/>
      </w:pPr>
      <w:r>
        <w:t xml:space="preserve">주요 시사점</w:t>
      </w:r>
    </w:p>
    <w:p>
      <w:pPr>
        <w:pStyle w:val="FirstParagraph"/>
      </w:pPr>
      <w:r>
        <w:rPr>
          <w:b/>
          <w:bCs/>
        </w:rPr>
        <w:t xml:space="preserve">1. 매칭 엔진 성능:</w:t>
      </w:r>
      <w:r>
        <w:t xml:space="preserve"> </w:t>
      </w:r>
      <w:r>
        <w:t xml:space="preserve">KRX의 EXTURE 3.0(50μs)는 Millennium Exchange(90~126μs)보다</w:t>
      </w:r>
      <w:r>
        <w:t xml:space="preserve"> </w:t>
      </w:r>
      <w:r>
        <w:rPr>
          <w:b/>
          <w:bCs/>
        </w:rPr>
        <w:t xml:space="preserve">빠른 지연시간</w:t>
      </w:r>
      <w:r>
        <w:t xml:space="preserve">을 달성하고 있다. 이는 KRX가 단일 거래소로서 하드웨어 최적화에 집중할 수 있는 구조적 이점을 반영한다. 반면 Millennium은 글로벌 복수 거래소에 배포되는 범용 엔진으로, 처리량(초당 100만 주문) 측면에서 우위를 보인다.</w:t>
      </w:r>
    </w:p>
    <w:p>
      <w:pPr>
        <w:pStyle w:val="BodyText"/>
      </w:pPr>
      <w:r>
        <w:rPr>
          <w:b/>
          <w:bCs/>
        </w:rPr>
        <w:t xml:space="preserve">2. 시장 분산과 통합:</w:t>
      </w:r>
      <w:r>
        <w:t xml:space="preserve"> </w:t>
      </w:r>
      <w:r>
        <w:t xml:space="preserve">LSE는 MiFID II 이후 MTF·다크풀과의 경쟁이 일상화된</w:t>
      </w:r>
      <w:r>
        <w:t xml:space="preserve"> </w:t>
      </w:r>
      <w:r>
        <w:rPr>
          <w:b/>
          <w:bCs/>
        </w:rPr>
        <w:t xml:space="preserve">분산 시장 구조</w:t>
      </w:r>
      <w:r>
        <w:t xml:space="preserve">에 있다. KRX는 오랜 기간 독점적 지위를 유지해 왔으나, Nextrade 출범으로 분산 구조로의 전환이 시작되었다. LSE의 경험은 (1) 다수 거래소 간 최선집행 규제, (2) Consolidated Tape의 필요성, (3) 유동성 분산에 대한 대응 전략 등에서 KRX에 중요한 선행 사례를 제공한다.</w:t>
      </w:r>
    </w:p>
    <w:p>
      <w:pPr>
        <w:pStyle w:val="BodyText"/>
      </w:pPr>
      <w:r>
        <w:rPr>
          <w:b/>
          <w:bCs/>
        </w:rPr>
        <w:t xml:space="preserve">3. T+1 전환 동기화:</w:t>
      </w:r>
      <w:r>
        <w:t xml:space="preserve"> </w:t>
      </w:r>
      <w:r>
        <w:t xml:space="preserve">영국이 EU·스위스와 T+1 시행일을 맞춘 것은 교차 결제 효율성 확보를 위한 것이다. KRX 역시 T+1 전환 시 아시아 주요 시장(일본, 홍콩 등)과의 동기화를 고려해야 하며, LSE의 3개년 전환 로드맵(기획→구축→전환)은 실행 프레임워크로서 참고할 가치가 있다.</w:t>
      </w:r>
    </w:p>
    <w:p>
      <w:pPr>
        <w:pStyle w:val="BodyText"/>
      </w:pPr>
      <w:r>
        <w:rPr>
          <w:b/>
          <w:bCs/>
        </w:rPr>
        <w:t xml:space="preserve">4. AI 감시 도입:</w:t>
      </w:r>
      <w:r>
        <w:t xml:space="preserve"> </w:t>
      </w:r>
      <w:r>
        <w:t xml:space="preserve">LSEG의 LLM 기반 뉴스 분류 시스템은 KRX의 야간 시장 감시에 직접적으로 적용 가능한 모델이다. 특히 인력 배치가 어려운 시간 외 거래 구간에서 AI 자동 감시는 사실상 필수적인 인프라가 될 것이며, LSE의 선도적 도입 사례는 기술 선택과 규제 수용 양 측면에서 참고가 된다.</w:t>
      </w:r>
    </w:p>
    <w:p>
      <w:pPr>
        <w:pStyle w:val="BodyText"/>
      </w:pPr>
      <w:r>
        <w:rPr>
          <w:b/>
          <w:bCs/>
        </w:rPr>
        <w:t xml:space="preserve">5. Closing Auction 비중:</w:t>
      </w:r>
      <w:r>
        <w:t xml:space="preserve"> </w:t>
      </w:r>
      <w:r>
        <w:t xml:space="preserve">LSE에서 Closing Auction이 일일 거래대금의 20~25%를 차지하는 현상은 패시브 투자 확대의 글로벌 추세를 반영한다. KRX 종가 단일가 매매의 비중 추이를 모니터링하고, 필요시 Midday Auction과 같은 장중 유동성 집중 메커니즘 도입을 검토할 필요가 있다.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요약:</w:t>
      </w:r>
      <w:r>
        <w:t xml:space="preserve"> </w:t>
      </w:r>
      <w:r>
        <w:t xml:space="preserve">LSE는 분산된 시장 구조, 글로벌 청산 인프라, AI 감시 선도 도입 등에서 KRX와 구조적으로 대비되는 특징을 가진다. 양 거래소 모두 T+1 전환, 24시간 거래 논의, 시장 경쟁 구도 변화라는 공통 과제에 직면해 있으며, LSE의 선행 경험은 KRX의 제도 설계에 실질적인 참고 자료가 된다.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2026-03-27T04:13:52Z</dcterms:created>
  <dcterms:modified xsi:type="dcterms:W3CDTF">2026-03-27T04:13:52Z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