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NASDAQ (나스닥) — 거래소 보고서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거래소 개요</w:t>
      </w:r>
    </w:p>
    <w:p>
      <w:r>
        <w:t>정식 법인명: The Nasdaq Stock Market LLC (나스닥 주식시장)</w:t>
      </w:r>
    </w:p>
    <w:p>
      <w:r>
        <w:t>국가: 미국</w:t>
      </w:r>
    </w:p>
    <w:p>
      <w:r>
        <w:t>설립연도: 1971년 (최초 전자 주식시장); 2006년 공식 거래소 등록</w:t>
      </w:r>
    </w:p>
    <w:p>
      <w:r>
        <w:t>모기관: Nasdaq, Inc.</w:t>
      </w:r>
    </w:p>
    <w:p>
      <w:r>
        <w:t>시장 모델: 순수 전자 주문주도형 시장 + 경쟁적 시장조성자</w:t>
      </w:r>
    </w:p>
    <w:p>
      <w:r>
        <w:t>거래 자산 유형:</w:t>
      </w:r>
    </w:p>
    <w:p>
      <w:pPr>
        <w:pStyle w:val="ListBullet"/>
      </w:pPr>
      <w:r>
        <w:t>주식 (Nasdaq, Nasdaq BX, Nasdaq PSX)</w:t>
      </w:r>
    </w:p>
    <w:p>
      <w:pPr>
        <w:pStyle w:val="ListBullet"/>
      </w:pPr>
      <w:r>
        <w:t>옵션 (Nasdaq Options Market, ISE, GEMX, MRX, PHLX)</w:t>
      </w:r>
    </w:p>
    <w:p>
      <w:pPr>
        <w:pStyle w:val="ListBullet"/>
      </w:pPr>
      <w:r>
        <w:t>ETF, ETN</w:t>
      </w:r>
    </w:p>
    <w:p>
      <w:r>
        <w:t>정규 매매시간 (ET, UTC−5/−4):</w:t>
      </w:r>
    </w:p>
    <w:p>
      <w:pPr>
        <w:pStyle w:val="ListBullet"/>
      </w:pPr>
      <w:r>
        <w:t>장전 매매: 04:00–09:30</w:t>
      </w:r>
    </w:p>
    <w:p>
      <w:pPr>
        <w:pStyle w:val="ListBullet"/>
      </w:pPr>
      <w:r>
        <w:t>핵심 매매시간: 09:30–16:00</w:t>
      </w:r>
    </w:p>
    <w:p>
      <w:pPr>
        <w:pStyle w:val="ListBullet"/>
      </w:pPr>
      <w:r>
        <w:t>장후 매매: 16:00–20:00</w:t>
      </w:r>
    </w:p>
    <w:p>
      <w:pPr>
        <w:pStyle w:val="ListBullet"/>
      </w:pPr>
      <w:r>
        <w:t>**제안 중**: 23시간 매매 (21:00–20:00 ET) 2025.12 신청</w:t>
      </w:r>
    </w:p>
    <w:p>
      <w:r>
        <w:t>주요 통계:</w:t>
      </w:r>
    </w:p>
    <w:p>
      <w:pPr>
        <w:pStyle w:val="ListBullet"/>
      </w:pPr>
      <w:r>
        <w:t>상장기업 수: 약 4,000–4,278개</w:t>
      </w:r>
    </w:p>
    <w:p>
      <w:pPr>
        <w:pStyle w:val="ListBullet"/>
      </w:pPr>
      <w:r>
        <w:t>시가총액: 약 $28조 이상</w:t>
      </w:r>
    </w:p>
    <w:p>
      <w:pPr>
        <w:pStyle w:val="ListBullet"/>
      </w:pPr>
      <w:r>
        <w:t>일평균 거래량: 약 40억주 이상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제도적 철학</w:t>
      </w:r>
    </w:p>
    <w:p>
      <w:r>
        <w:t>기본 시장 모델: 순수 전자, 주문주도형, 물리적 거래 플로어 없음</w:t>
      </w:r>
    </w:p>
    <w:p>
      <w:r>
        <w:t>설계 근거:</w:t>
      </w:r>
    </w:p>
    <w:p>
      <w:pPr>
        <w:pStyle w:val="ListBullet"/>
      </w:pPr>
      <w:r>
        <w:t>1971년 세계 최초 전자 주식시장으로 설립 — 처음부터 속도와 기술 중심 설계</w:t>
      </w:r>
    </w:p>
    <w:p>
      <w:pPr>
        <w:pStyle w:val="ListBullet"/>
      </w:pPr>
      <w:r>
        <w:t>플로어 없음, 전문가(specialist) 없음, 체결 과정 인적 중개 없음 — 전량 알고리즘 매칭</w:t>
      </w:r>
    </w:p>
    <w:p>
      <w:pPr>
        <w:pStyle w:val="ListBullet"/>
      </w:pPr>
      <w:r>
        <w:t>저지연 접속, 투명한 가격 발견, 프로토콜 효율성(OUCH/ITCH) 강조</w:t>
      </w:r>
    </w:p>
    <w:p>
      <w:pPr>
        <w:pStyle w:val="ListBullet"/>
      </w:pPr>
      <w:r>
        <w:t>독점 DMM이 아닌 경쟁적 시장조성자 모델</w:t>
      </w:r>
    </w:p>
    <w:p>
      <w:r>
        <w:t>중개 기관의 역할:</w:t>
      </w:r>
    </w:p>
    <w:p>
      <w:pPr>
        <w:pStyle w:val="ListBullet"/>
      </w:pPr>
      <w:r>
        <w:t>**등록 시장조성자**: 종목당 복수 MM (경쟁 모델, 비독점)</w:t>
      </w:r>
    </w:p>
    <w:p>
      <w:pPr>
        <w:pStyle w:val="ListBullet"/>
      </w:pPr>
      <w:r>
        <w:t>지정 비율 이내에서 지속적 양방향 호가 유지 의무</w:t>
      </w:r>
    </w:p>
    <w:p>
      <w:pPr>
        <w:pStyle w:val="ListBullet"/>
      </w:pPr>
      <w:r>
        <w:t>확정호가 규칙: 게시 호가에서 반드시 체결</w:t>
      </w:r>
    </w:p>
    <w:p>
      <w:r>
        <w:t>발전 과정: 전자 호가 시스템(1971) → ECN 통합 → INET 매칭엔진(2006 Instinet 인수) → 글로벌 기술 제공자(Nasdaq OMX) → 핀테크 플랫폼(2025+)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주문유형 — 기본</w:t>
      </w:r>
    </w:p>
    <w:p>
      <w:pPr>
        <w:pStyle w:val="Heading3"/>
      </w:pPr>
      <w:r>
        <w:t>3.1 시장가 주문 (Market Order)</w:t>
      </w:r>
    </w:p>
    <w:p>
      <w:pPr>
        <w:pStyle w:val="ListBullet"/>
      </w:pPr>
      <w:r>
        <w:t>최적 가용 가격으로 즉시 체결</w:t>
      </w:r>
    </w:p>
    <w:p>
      <w:pPr>
        <w:pStyle w:val="Heading3"/>
      </w:pPr>
      <w:r>
        <w:t>3.2 지정가 주문 (Limit Order)</w:t>
      </w:r>
    </w:p>
    <w:p>
      <w:pPr>
        <w:pStyle w:val="ListBullet"/>
      </w:pPr>
      <w:r>
        <w:t>최대 매수가 / 최소 매도가 지정; 미체결 시 주문장에 등록</w:t>
      </w:r>
    </w:p>
    <w:p>
      <w:pPr>
        <w:pStyle w:val="ListBullet"/>
      </w:pPr>
      <w:r>
        <w:t>유효기간: Day, GTC, IOC, FOK, Extended Hours, System Hours</w:t>
      </w:r>
    </w:p>
    <w:p>
      <w:pPr>
        <w:pStyle w:val="Heading3"/>
      </w:pPr>
      <w:r>
        <w:t>3.3 시초가 시장가 주문 (MOO)</w:t>
      </w:r>
    </w:p>
    <w:p>
      <w:pPr>
        <w:pStyle w:val="ListBullet"/>
      </w:pPr>
      <w:r>
        <w:t>Opening Cross 전용 시장가 주문</w:t>
      </w:r>
    </w:p>
    <w:p>
      <w:pPr>
        <w:pStyle w:val="Heading3"/>
      </w:pPr>
      <w:r>
        <w:t>3.4 시초가 지정가 주문 (LOO)</w:t>
      </w:r>
    </w:p>
    <w:p>
      <w:pPr>
        <w:pStyle w:val="ListBullet"/>
      </w:pPr>
      <w:r>
        <w:t>Opening Cross 전용 지정가 주문</w:t>
      </w:r>
    </w:p>
    <w:p>
      <w:pPr>
        <w:pStyle w:val="Heading3"/>
      </w:pPr>
      <w:r>
        <w:t>3.5 종가 시장가 주문 (MOC)</w:t>
      </w:r>
    </w:p>
    <w:p>
      <w:pPr>
        <w:pStyle w:val="ListBullet"/>
      </w:pPr>
      <w:r>
        <w:t>Closing Cross 전용 시장가 주문</w:t>
      </w:r>
    </w:p>
    <w:p>
      <w:pPr>
        <w:pStyle w:val="Heading3"/>
      </w:pPr>
      <w:r>
        <w:t>3.6 종가 지정가 주문 (LOC)</w:t>
      </w:r>
    </w:p>
    <w:p>
      <w:pPr>
        <w:pStyle w:val="ListBullet"/>
      </w:pPr>
      <w:r>
        <w:t>Closing Cross 전용 지정가 주문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— 고급</w:t>
      </w:r>
    </w:p>
    <w:p>
      <w:pPr>
        <w:pStyle w:val="Heading3"/>
      </w:pPr>
      <w:r>
        <w:t>4.1 빙산 주문 (Reserve/Iceberg Order)</w:t>
      </w:r>
    </w:p>
    <w:p>
      <w:pPr>
        <w:pStyle w:val="ListBullet"/>
      </w:pPr>
      <w:r>
        <w:t>일부만 표시; 숨겨진 잔량이 자동 보충</w:t>
      </w:r>
    </w:p>
    <w:p>
      <w:pPr>
        <w:pStyle w:val="Heading3"/>
      </w:pPr>
      <w:r>
        <w:t>4.2 페그 주문 (Pegged Orders)</w:t>
      </w:r>
    </w:p>
    <w:p>
      <w:pPr>
        <w:pStyle w:val="ListBullet"/>
      </w:pPr>
      <w:r>
        <w:t>**Primary Peg**: 같은 쪽 내부호가에 연동</w:t>
      </w:r>
    </w:p>
    <w:p>
      <w:pPr>
        <w:pStyle w:val="ListBullet"/>
      </w:pPr>
      <w:r>
        <w:t>**Market Peg**: 상대쪽 내부호가에 연동</w:t>
      </w:r>
    </w:p>
    <w:p>
      <w:pPr>
        <w:pStyle w:val="ListBullet"/>
      </w:pPr>
      <w:r>
        <w:t>**Midpoint Peg**: NBBO 중간가에 연동</w:t>
      </w:r>
    </w:p>
    <w:p>
      <w:pPr>
        <w:pStyle w:val="Heading3"/>
      </w:pPr>
      <w:r>
        <w:t>4.3 게시 전용 주문 (Post-Only Order)</w:t>
      </w:r>
    </w:p>
    <w:p>
      <w:pPr>
        <w:pStyle w:val="ListBullet"/>
      </w:pPr>
      <w:r>
        <w:t>주문장에만 등록; 즉시 체결 시 취소/재가격</w:t>
      </w:r>
    </w:p>
    <w:p>
      <w:pPr>
        <w:pStyle w:val="ListBullet"/>
      </w:pPr>
      <w:r>
        <w:t>메이커 리베이트 추구 참가자 대상</w:t>
      </w:r>
    </w:p>
    <w:p>
      <w:pPr>
        <w:pStyle w:val="Heading3"/>
      </w:pPr>
      <w:r>
        <w:t>4.4 시장간 일괄체결 주문 (ISO)</w:t>
      </w:r>
    </w:p>
    <w:p>
      <w:pPr>
        <w:pStyle w:val="ListBullet"/>
      </w:pPr>
      <w:r>
        <w:t>나스닥에서 복수 가격 단계 관통; 발주자가 타 시장 보호 책임</w:t>
      </w:r>
    </w:p>
    <w:p>
      <w:pPr>
        <w:pStyle w:val="Heading3"/>
      </w:pPr>
      <w:r>
        <w:t>4.5 불균형 전용 주문 (IO Orders)</w:t>
      </w:r>
    </w:p>
    <w:p>
      <w:pPr>
        <w:pStyle w:val="ListBullet"/>
      </w:pPr>
      <w:r>
        <w:t>IO Open / IO Close: 경매 불균형 상계 전용 지정가 주문</w:t>
      </w:r>
    </w:p>
    <w:p>
      <w:pPr>
        <w:pStyle w:val="Heading3"/>
      </w:pPr>
      <w:r>
        <w:t>4.6 비표시 주문 (Non-Displayed Order)</w:t>
      </w:r>
    </w:p>
    <w:p>
      <w:pPr>
        <w:pStyle w:val="ListBullet"/>
      </w:pPr>
      <w:r>
        <w:t>주문장에 미표시; 중간가 이상에서 체결</w:t>
      </w:r>
    </w:p>
    <w:p>
      <w:pPr>
        <w:pStyle w:val="ListBullet"/>
      </w:pPr>
      <w:r>
        <w:t>동일 가격 표시 주문보다 낮은 우선순위</w:t>
      </w:r>
    </w:p>
    <w:p>
      <w:pPr>
        <w:pStyle w:val="Heading3"/>
      </w:pPr>
      <w:r>
        <w:t>4.7 주문 유효기간 옵션</w:t>
      </w:r>
    </w:p>
    <w:p>
      <w:pPr>
        <w:pStyle w:val="ListBullet"/>
      </w:pPr>
      <w:r>
        <w:t>Day, GTC, IOC, FOK, Extended Hours(04:00–20:00), System Hours(전 세션), Market Hours(09:30–16:00)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주문유형 — 거래소 고유</w:t>
      </w:r>
    </w:p>
    <w:p>
      <w:pPr>
        <w:pStyle w:val="Heading3"/>
      </w:pPr>
      <w:r>
        <w:t>5.1 중간가 연장수명 주문 (M-ELO)</w:t>
      </w:r>
    </w:p>
    <w:p>
      <w:pPr>
        <w:pStyle w:val="ListBullet"/>
      </w:pPr>
      <w:r>
        <w:t>**나스닥 고유**: 비표시 중간가 주문 + 의무 보유기간 (최소 0.5초)</w:t>
      </w:r>
    </w:p>
    <w:p>
      <w:pPr>
        <w:pStyle w:val="ListBullet"/>
      </w:pPr>
      <w:r>
        <w:t>다른 M-ELO 또는 M-ELO+CB와만 체결 가능</w:t>
      </w:r>
    </w:p>
    <w:p>
      <w:pPr>
        <w:pStyle w:val="ListBullet"/>
      </w:pPr>
      <w:r>
        <w:t>설계 근거: 정보 누출 감소, 역선택 방지</w:t>
      </w:r>
    </w:p>
    <w:p>
      <w:pPr>
        <w:pStyle w:val="Heading3"/>
      </w:pPr>
      <w:r>
        <w:t>5.2 동적 M-ELO (Dynamic M-ELO)</w:t>
      </w:r>
    </w:p>
    <w:p>
      <w:pPr>
        <w:pStyle w:val="ListBullet"/>
      </w:pPr>
      <w:r>
        <w:t>AI/ML로 30초마다 보유기간 재계산</w:t>
      </w:r>
    </w:p>
    <w:p>
      <w:pPr>
        <w:pStyle w:val="ListBullet"/>
      </w:pPr>
      <w:r>
        <w:t>안정 시장 = 짧은 보유, 변동 시장 = 긴 보유</w:t>
      </w:r>
    </w:p>
    <w:p>
      <w:pPr>
        <w:pStyle w:val="ListBullet"/>
      </w:pPr>
      <w:r>
        <w:t>2023.09 SEC 승인</w:t>
      </w:r>
    </w:p>
    <w:p>
      <w:pPr>
        <w:pStyle w:val="Heading3"/>
      </w:pPr>
      <w:r>
        <w:t>5.3 M-ELO+CB</w:t>
      </w:r>
    </w:p>
    <w:p>
      <w:pPr>
        <w:pStyle w:val="ListBullet"/>
      </w:pPr>
      <w:r>
        <w:t>M-ELO + 연속장 상호작용 결합</w:t>
      </w:r>
    </w:p>
    <w:p>
      <w:pPr>
        <w:pStyle w:val="ListBullet"/>
      </w:pPr>
      <w:r>
        <w:t>M-ELO뿐 아니라 비표시 중간가/MPPO 주문과도 체결 가능</w:t>
      </w:r>
    </w:p>
    <w:p>
      <w:pPr>
        <w:pStyle w:val="Heading3"/>
      </w:pPr>
      <w:r>
        <w:t>5.4 중간가 페그 게시 전용 주문 (MPPO)</w:t>
      </w:r>
    </w:p>
    <w:p>
      <w:pPr>
        <w:pStyle w:val="ListBullet"/>
      </w:pPr>
      <w:r>
        <w:t>비표시, NBBO 중간가 설정; 경제적 유리 시에만 입력 시 체결</w:t>
      </w:r>
    </w:p>
    <w:p>
      <w:pPr>
        <w:pStyle w:val="ListBullet"/>
      </w:pPr>
      <w:r>
        <w:t>보유기간 없음 (M-ELO와 구별)</w:t>
      </w:r>
    </w:p>
    <w:p>
      <w:pPr>
        <w:pStyle w:val="Heading3"/>
      </w:pPr>
      <w:r>
        <w:t>5.5 시장조성자 페그 주문 (MM Peg Order)</w:t>
      </w:r>
    </w:p>
    <w:p>
      <w:pPr>
        <w:pStyle w:val="ListBullet"/>
      </w:pPr>
      <w:r>
        <w:t>등록 시장조성자 전용; 호가 의무 준수를 위해 자동 재가격</w:t>
      </w:r>
    </w:p>
    <w:p>
      <w:pPr>
        <w:pStyle w:val="ListBullet"/>
      </w:pPr>
      <w:r>
        <w:t>수동 호가 관리 부담 감소</w:t>
      </w:r>
    </w:p>
    <w:p>
      <w:pPr>
        <w:pStyle w:val="Heading3"/>
      </w:pPr>
      <w:r>
        <w:t>5.6 Opening/Closing Cross</w:t>
      </w:r>
    </w:p>
    <w:p>
      <w:pPr>
        <w:pStyle w:val="ListBullet"/>
      </w:pPr>
      <w:r>
        <w:t>**Opening Cross**: 09:25–09:30 NOII 배포 → 09:30 단일가 체결</w:t>
      </w:r>
    </w:p>
    <w:p>
      <w:pPr>
        <w:pStyle w:val="ListBullet"/>
      </w:pPr>
      <w:r>
        <w:t>**Closing Cross**: 15:50–16:00 NOII 배포 → 16:00 단일가 체결</w:t>
      </w:r>
    </w:p>
    <w:p>
      <w:pPr>
        <w:pStyle w:val="ListBullet"/>
      </w:pPr>
      <w:r>
        <w:t>전체 NMS 증권 대상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매칭엔진 및 가격 발견</w:t>
      </w:r>
    </w:p>
    <w:p>
      <w:pPr>
        <w:pStyle w:val="Heading3"/>
      </w:pPr>
      <w:r>
        <w:t>매매시스템: INET</w:t>
      </w:r>
    </w:p>
    <w:p>
      <w:pPr>
        <w:pStyle w:val="ListBullet"/>
      </w:pPr>
      <w:r>
        <w:t>**유래**: Instinet 인수(2006), Island ECN 기술 기반</w:t>
      </w:r>
    </w:p>
    <w:p>
      <w:pPr>
        <w:pStyle w:val="ListBullet"/>
      </w:pPr>
      <w:r>
        <w:t>**아키텍처**: 수평 확장 가능 매칭엔진, 범용 하드웨어</w:t>
      </w:r>
    </w:p>
    <w:p>
      <w:pPr>
        <w:pStyle w:val="ListBullet"/>
      </w:pPr>
      <w:r>
        <w:t>**지연시간**: 40마이크로초 미만; 코로케이션 OUCH: &lt;25μs, FIX: &lt;80μs</w:t>
      </w:r>
    </w:p>
    <w:p>
      <w:pPr>
        <w:pStyle w:val="ListBullet"/>
      </w:pPr>
      <w:r>
        <w:t>**네트워크**: 40 Gbps 인프라</w:t>
      </w:r>
    </w:p>
    <w:p>
      <w:pPr>
        <w:pStyle w:val="ListBullet"/>
      </w:pPr>
      <w:r>
        <w:t>**강화**: FPGA 기술로 결정론적 피크 시간 동작</w:t>
      </w:r>
    </w:p>
    <w:p>
      <w:pPr>
        <w:pStyle w:val="Heading3"/>
      </w:pPr>
      <w:r>
        <w:t>프로토콜</w:t>
      </w:r>
    </w:p>
    <w:p>
      <w:pPr>
        <w:pStyle w:val="ListBullet"/>
      </w:pPr>
      <w:r>
        <w:t>**OUCH 5.0**: 저지연 주문 진입 프로토콜 (인바운드)</w:t>
      </w:r>
    </w:p>
    <w:p>
      <w:pPr>
        <w:pStyle w:val="ListBullet"/>
      </w:pPr>
      <w:r>
        <w:t>**ITCH 5.0**: 시장 데이터 피드 프로토콜 (아웃바운드)</w:t>
      </w:r>
    </w:p>
    <w:p>
      <w:pPr>
        <w:pStyle w:val="ListBullet"/>
      </w:pPr>
      <w:r>
        <w:t>**FIX**: 업계 표준 주문 진입 (OUCH 대비 높은 지연시간)</w:t>
      </w:r>
    </w:p>
    <w:p>
      <w:pPr>
        <w:pStyle w:val="Heading3"/>
      </w:pPr>
      <w:r>
        <w:t>매칭 알고리즘: 가격·시간 우선원칙</w:t>
      </w:r>
    </w:p>
    <w:p>
      <w:r>
        <w:t>1. 가격 우선: 최우선 가격 먼저</w:t>
      </w:r>
    </w:p>
    <w:p>
      <w:r>
        <w:t>2. 시간 우선: 동일가 중 먼저 접수된 주문 우선</w:t>
      </w:r>
    </w:p>
    <w:p>
      <w:r>
        <w:t>3. 표시 우선: 동일가에서 표시 주문이 비표시 주문에 우선</w:t>
      </w:r>
    </w:p>
    <w:p>
      <w:pPr>
        <w:pStyle w:val="Heading3"/>
      </w:pPr>
      <w:r>
        <w:t>시가 결정 — Opening Cross</w:t>
      </w:r>
    </w:p>
    <w:p>
      <w:pPr>
        <w:pStyle w:val="ListBullet"/>
      </w:pPr>
      <w:r>
        <w:t>04:00: 주문 접수 시작 → 09:25: NOII 배포 시작 → 09:30: 단일가 체결</w:t>
      </w:r>
    </w:p>
    <w:p>
      <w:pPr>
        <w:pStyle w:val="Heading3"/>
      </w:pPr>
      <w:r>
        <w:t>종가 결정 — Closing Cross</w:t>
      </w:r>
    </w:p>
    <w:p>
      <w:pPr>
        <w:pStyle w:val="ListBullet"/>
      </w:pPr>
      <w:r>
        <w:t>15:50: NOII 배포 시작 → 16:00: 단일가 체결</w:t>
      </w:r>
    </w:p>
    <w:p>
      <w:pPr>
        <w:pStyle w:val="ListBullet"/>
      </w:pPr>
      <w:r>
        <w:t>일부 종목 일 거래량의 ~15% 종가에서 체결</w:t>
      </w:r>
    </w:p>
    <w:p>
      <w:pPr>
        <w:pStyle w:val="Heading3"/>
      </w:pPr>
      <w:r>
        <w:t>호가단위 (Tick Size)</w:t>
      </w:r>
    </w:p>
    <w:p>
      <w:pPr>
        <w:pStyle w:val="ListBullet"/>
      </w:pPr>
      <w:r>
        <w:t>표준: $0.01 (가격 &gt;$1.00); 서브페니: $0.0001 (가격 &lt;$1.00)</w:t>
      </w:r>
    </w:p>
    <w:p>
      <w:pPr>
        <w:pStyle w:val="ListBullet"/>
      </w:pPr>
      <w:r>
        <w:t>중간가 체결: 하프페니($0.005) 단위 허용</w:t>
      </w:r>
    </w:p>
    <w:p>
      <w:pPr>
        <w:pStyle w:val="Heading3"/>
      </w:pPr>
      <w:r>
        <w:t>매매수량단위 (Lot Size)</w:t>
      </w:r>
    </w:p>
    <w:p>
      <w:pPr>
        <w:pStyle w:val="ListBullet"/>
      </w:pPr>
      <w:r>
        <w:t>표준: 100주 (정규거래단위); 단주(&lt;100주) 완전 지원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안전장치 메커니즘</w:t>
      </w:r>
    </w:p>
    <w:p>
      <w:pPr>
        <w:pStyle w:val="Heading3"/>
      </w:pPr>
      <w:r>
        <w:t>7.1 시장 전체 서킷브레이커 (MWCB)</w:t>
      </w:r>
    </w:p>
    <w:p>
      <w:pPr>
        <w:pStyle w:val="ListBullet"/>
      </w:pPr>
      <w:r>
        <w:t>NYSE와 동일 국가 규정 (S&amp;P 500 기준 7%/13%/20%)</w:t>
      </w:r>
    </w:p>
    <w:p>
      <w:pPr>
        <w:pStyle w:val="Heading3"/>
      </w:pPr>
      <w:r>
        <w:t>7.2 상·하한가 제한 (LULD)</w:t>
      </w:r>
    </w:p>
    <w:p>
      <w:pPr>
        <w:pStyle w:val="ListBullet"/>
      </w:pPr>
      <w:r>
        <w:t>NYSE와 동일 국가 플랜 (Tier 1: ±5%, Tier 2: ±10%/±20%)</w:t>
      </w:r>
    </w:p>
    <w:p>
      <w:pPr>
        <w:pStyle w:val="ListBullet"/>
      </w:pPr>
      <w:r>
        <w:t>나스닥 고유: LULD 밴드 도달 후 15초 → 5분 매매 일시정지</w:t>
      </w:r>
    </w:p>
    <w:p>
      <w:pPr>
        <w:pStyle w:val="ListBullet"/>
      </w:pPr>
      <w:r>
        <w:t>재개: Nasdaq Halt Cross 메커니즘</w:t>
      </w:r>
    </w:p>
    <w:p>
      <w:pPr>
        <w:pStyle w:val="Heading3"/>
      </w:pPr>
      <w:r>
        <w:t>7.3 명백히 착오적인 체결 (CEE)</w:t>
      </w:r>
    </w:p>
    <w:p>
      <w:pPr>
        <w:pStyle w:val="ListBullet"/>
      </w:pPr>
      <w:r>
        <w:t>30분 이내 검토 요청; 기준가 비율 기반 임계값</w:t>
      </w:r>
    </w:p>
    <w:p>
      <w:pPr>
        <w:pStyle w:val="Heading3"/>
      </w:pPr>
      <w:r>
        <w:t>7.4 규제 매매정지</w:t>
      </w:r>
    </w:p>
    <w:p>
      <w:pPr>
        <w:pStyle w:val="ListBullet"/>
      </w:pPr>
      <w:r>
        <w:t>T1/T2 (뉴스 대기/배포), T12 (IPO), LUDP (LULD 일시정지)</w:t>
      </w:r>
    </w:p>
    <w:p>
      <w:pPr>
        <w:pStyle w:val="ListBullet"/>
      </w:pPr>
      <w:r>
        <w:t>재개: Halt Cross로 재개장</w:t>
      </w:r>
    </w:p>
    <w:p>
      <w:pPr>
        <w:pStyle w:val="Heading3"/>
      </w:pPr>
      <w:r>
        <w:t>7.5 사전거래위험관리</w:t>
      </w:r>
    </w:p>
    <w:p>
      <w:pPr>
        <w:pStyle w:val="ListBullet"/>
      </w:pPr>
      <w:r>
        <w:t>주문 가격 합리성 검사, 최대 주문 규모 제한</w:t>
      </w:r>
    </w:p>
    <w:p>
      <w:pPr>
        <w:pStyle w:val="ListBullet"/>
      </w:pPr>
      <w:r>
        <w:t>킬 스위치, Drop Copy 실시간 위험 모니터링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특별 세션</w:t>
      </w:r>
    </w:p>
    <w:p>
      <w:pPr>
        <w:pStyle w:val="Heading3"/>
      </w:pPr>
      <w:r>
        <w:t>8.1 장전 매매</w:t>
      </w:r>
    </w:p>
    <w:p>
      <w:pPr>
        <w:pStyle w:val="ListBullet"/>
      </w:pPr>
      <w:r>
        <w:t>04:00–09:30 ET; 연속 전자 매칭; 지정가만 (Extended Hours TIF)</w:t>
      </w:r>
    </w:p>
    <w:p>
      <w:pPr>
        <w:pStyle w:val="Heading3"/>
      </w:pPr>
      <w:r>
        <w:t>8.2 Opening Cross</w:t>
      </w:r>
    </w:p>
    <w:p>
      <w:pPr>
        <w:pStyle w:val="ListBullet"/>
      </w:pPr>
      <w:r>
        <w:t>09:25–09:30 NOII 배포; 09:30 단일가 체결</w:t>
      </w:r>
    </w:p>
    <w:p>
      <w:pPr>
        <w:pStyle w:val="ListBullet"/>
      </w:pPr>
      <w:r>
        <w:t>MOO, LOO, IO Open, 일반 지정가/시장가</w:t>
      </w:r>
    </w:p>
    <w:p>
      <w:pPr>
        <w:pStyle w:val="Heading3"/>
      </w:pPr>
      <w:r>
        <w:t>8.3 핵심 매매시간</w:t>
      </w:r>
    </w:p>
    <w:p>
      <w:pPr>
        <w:pStyle w:val="ListBullet"/>
      </w:pPr>
      <w:r>
        <w:t>09:30–16:00 ET; INET 연속 가격·시간 우선 매칭</w:t>
      </w:r>
    </w:p>
    <w:p>
      <w:pPr>
        <w:pStyle w:val="ListBullet"/>
      </w:pPr>
      <w:r>
        <w:t>M-ELO, MPPO, 페그 등 전 주문유형 사용 가능</w:t>
      </w:r>
    </w:p>
    <w:p>
      <w:pPr>
        <w:pStyle w:val="Heading3"/>
      </w:pPr>
      <w:r>
        <w:t>8.4 Closing Cross</w:t>
      </w:r>
    </w:p>
    <w:p>
      <w:pPr>
        <w:pStyle w:val="ListBullet"/>
      </w:pPr>
      <w:r>
        <w:t>15:50–16:00 NOII 배포; 16:00 단일가 체결</w:t>
      </w:r>
    </w:p>
    <w:p>
      <w:pPr>
        <w:pStyle w:val="ListBullet"/>
      </w:pPr>
      <w:r>
        <w:t>MOC, LOC, IO Close</w:t>
      </w:r>
    </w:p>
    <w:p>
      <w:pPr>
        <w:pStyle w:val="Heading3"/>
      </w:pPr>
      <w:r>
        <w:t>8.5 장후 매매</w:t>
      </w:r>
    </w:p>
    <w:p>
      <w:pPr>
        <w:pStyle w:val="ListBullet"/>
      </w:pPr>
      <w:r>
        <w:t>16:00–20:00 ET; 연속 전자 매칭; 지정가만</w:t>
      </w:r>
    </w:p>
    <w:p>
      <w:pPr>
        <w:pStyle w:val="Heading3"/>
      </w:pPr>
      <w:r>
        <w:t>8.6 Halt Cross / IPO Cross</w:t>
      </w:r>
    </w:p>
    <w:p>
      <w:pPr>
        <w:pStyle w:val="ListBullet"/>
      </w:pPr>
      <w:r>
        <w:t>규제 정지 후 재개장 및 신규 상장 첫 거래에 사용</w:t>
      </w:r>
    </w:p>
    <w:p>
      <w:pPr>
        <w:pStyle w:val="ListBullet"/>
      </w:pPr>
      <w:r>
        <w:t>NOII 배포 후 단일가 체결 — 전량 전자, DMM 없음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유동성공급자 / 시장조성자 의무</w:t>
      </w:r>
    </w:p>
    <w:p>
      <w:pPr>
        <w:pStyle w:val="Heading3"/>
      </w:pPr>
      <w:r>
        <w:t>9.1 나스닥 시장조성자 (경쟁 모델)</w:t>
      </w:r>
    </w:p>
    <w:p>
      <w:r>
        <w:t>구조:</w:t>
      </w:r>
    </w:p>
    <w:p>
      <w:pPr>
        <w:pStyle w:val="ListBullet"/>
      </w:pPr>
      <w:r>
        <w:t>종목당 **복수 시장조성자** (경쟁적, 비독점)</w:t>
      </w:r>
    </w:p>
    <w:p>
      <w:pPr>
        <w:pStyle w:val="ListBullet"/>
      </w:pPr>
      <w:r>
        <w:t>모든 등록 브로커-딜러가 하나 이상의 종목에서 MM 등록 가능</w:t>
      </w:r>
    </w:p>
    <w:p>
      <w:r>
        <w:t>호가 의무 (Rule 4613):</w:t>
      </w:r>
    </w:p>
    <w:p>
      <w:pPr>
        <w:pStyle w:val="ListBullet"/>
      </w:pPr>
      <w:r>
        <w:t>매매시간 중 지속적 양방향 호가 유지</w:t>
      </w:r>
    </w:p>
    <w:p>
      <w:pPr>
        <w:pStyle w:val="ListBullet"/>
      </w:pPr>
      <w:r>
        <w:t>지정 비율(Designated Percentage) 이내 호가 가격 유지</w:t>
      </w:r>
    </w:p>
    <w:p>
      <w:pPr>
        <w:pStyle w:val="ListBullet"/>
      </w:pPr>
      <w:r>
        <w:t>정규거래단위(100주) 이상 게시 호가에서 체결 의무</w:t>
      </w:r>
    </w:p>
    <w:p>
      <w:r>
        <w:t>확정호가 규칙:</w:t>
      </w:r>
    </w:p>
    <w:p>
      <w:pPr>
        <w:pStyle w:val="ListBullet"/>
      </w:pPr>
      <w:r>
        <w:t>게시 호가·수량에서 반드시 체결 — 다른 FINRA 회원과의 거래</w:t>
      </w:r>
    </w:p>
    <w:p>
      <w:r>
        <w:t>도구:</w:t>
      </w:r>
    </w:p>
    <w:p>
      <w:pPr>
        <w:pStyle w:val="ListBullet"/>
      </w:pPr>
      <w:r>
        <w:t>시장조성자 페그 주문: 의무 준수를 위한 자동 재가격</w:t>
      </w:r>
    </w:p>
    <w:p>
      <w:pPr>
        <w:pStyle w:val="Heading3"/>
      </w:pPr>
      <w:r>
        <w:t>9.2 수수료 구조 / 인센티브</w:t>
      </w:r>
    </w:p>
    <w:p>
      <w:pPr>
        <w:pStyle w:val="ListBullet"/>
      </w:pPr>
      <w:r>
        <w:t>**메이커-테이커 모델**: 표시 유동성 추가 시 리베이트, 제거 시 수수료</w:t>
      </w:r>
    </w:p>
    <w:p>
      <w:pPr>
        <w:pStyle w:val="ListBullet"/>
      </w:pPr>
      <w:r>
        <w:t>일반 리베이트: 체결 주당 ~$0.002–0.003</w:t>
      </w:r>
    </w:p>
    <w:p>
      <w:pPr>
        <w:pStyle w:val="ListBullet"/>
      </w:pPr>
      <w:r>
        <w:t>거래량 임계값 기반 단계별 가격 책정</w:t>
      </w:r>
    </w:p>
    <w:p>
      <w:pPr>
        <w:pStyle w:val="Heading3"/>
      </w:pPr>
      <w:r>
        <w:t>9.3 NYSE DMM과 비교</w:t>
      </w:r>
    </w:p>
    <w:p>
      <w:pPr>
        <w:pStyle w:val="ListBullet"/>
      </w:pPr>
      <w:r>
        <w:t>**NYSE**: 종목당 독점 DMM 1사, 의무 + 특권</w:t>
      </w:r>
    </w:p>
    <w:p>
      <w:pPr>
        <w:pStyle w:val="ListBullet"/>
      </w:pPr>
      <w:r>
        <w:t>**나스닥**: 종목당 다수 MM, 경쟁적 호가, 독점권 없음</w:t>
      </w:r>
    </w:p>
    <w:p>
      <w:pPr>
        <w:pStyle w:val="ListBullet"/>
      </w:pPr>
      <w:r>
        <w:t>**결과**: NYSE = 보장된 깊은 유동성; 나스닥 = 폭넓은 경쟁적 압력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출처 목록</w:t>
      </w:r>
    </w:p>
    <w:p>
      <w:r>
        <w:t>Nasdaq, "NASDAQ Rule Book", https://listingcenter.nasdaq.com/rulebook/nasdaq/rules</w:t>
      </w:r>
    </w:p>
    <w:p>
      <w:r>
        <w:t>Nasdaq, "OUCH Overview", https://www.nasdaqtrader.com/Trader.aspx?id=OUCH</w:t>
      </w:r>
    </w:p>
    <w:p>
      <w:r>
        <w:t>Nasdaq, "OUCH 5.0 Specification", https://nasdaqtrader.com/content/technicalsupport/specifications/TradingProducts/Ouch5.0.pdf</w:t>
      </w:r>
    </w:p>
    <w:p>
      <w:r>
        <w:t>Nasdaq, "OUCH 5.0 FAQ", https://nasdaqtrader.com/content/productsservices/trading/OUCH_5.0_FAQ.pdf</w:t>
      </w:r>
    </w:p>
    <w:p>
      <w:r>
        <w:t>Nasdaq, "Nordic Equity TotalView-ITCH 3.04.X", https://www.nasdaq.com/docs/2025/11/13/Nordic-Equity-TotalView-ITCH-3.04.X.pdf</w:t>
      </w:r>
    </w:p>
    <w:p>
      <w:r>
        <w:t>Nasdaq, "NASDAQ TotalView", https://data.nasdaq.com/databases/NTV</w:t>
      </w:r>
    </w:p>
    <w:p>
      <w:r>
        <w:t>Nasdaq, "Opening and Closing Crosses", https://nasdaqtrader.com/Trader.aspx?id=OpenClose</w:t>
      </w:r>
    </w:p>
    <w:p>
      <w:r>
        <w:t>Nasdaq, "Opening/Closing Cross FAQ", https://nasdaqtrader.com/content/productsservices/trading/crosses/openclose_faqs.pdf</w:t>
      </w:r>
    </w:p>
    <w:p>
      <w:r>
        <w:t>Nasdaq, "Order Types &amp; Routing Strategies", https://www.nasdaqtrader.com/content/marketregulation/regnms/rash_strategy.pdf</w:t>
      </w:r>
    </w:p>
    <w:p>
      <w:r>
        <w:t>추가 참조 출처 (TotalView Solutions, Help Center, OUCH 4.2, INET Nordic)</w:t>
      </w:r>
    </w:p>
    <w:p>
      <w:r>
        <w:t>[WEB 출처] 전체 목록은 영문 보고서 §10 참조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*보고서 버전: 1.0 | 배치: 1 | 작성일: 2026-03-27 | 언어: 한국어*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