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Comparative Analysis of Global Equities Exchanges</w:t>
      </w:r>
    </w:p>
    <w:p>
      <w:r>
        <w:rPr>
          <w:i/>
          <w:sz w:val="18"/>
        </w:rPr>
        <w:t>**Last Updated:** 2026-04-13</w:t>
      </w:r>
    </w:p>
    <w:p>
      <w:r>
        <w:rPr>
          <w:i/>
          <w:sz w:val="18"/>
        </w:rPr>
        <w:t>**Scope:** 23 exchanges across Americas, EMEA, and Asia-Pacific (including KRX)</w:t>
      </w:r>
    </w:p>
    <w:p>
      <w:r>
        <w:rPr>
          <w:i/>
          <w:sz w:val="18"/>
        </w:rPr>
        <w:t>**Author:** Exchange Research Project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Trading System Technology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System Name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Vendor / In-house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Launch Year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Latency (round-trip)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Capacity (orders/sec)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Technology Stack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Pillar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 (ICE)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2017-2023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~34 us (binary, P50)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 (handles 10B+ shares/day peaks)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Binary/FIX gateways, UDP multicast, deterministic matching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INET / Eqlipse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 (Nasdaq)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2006 / 2024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~14 us (door-to-door fastest); ~20 us (order ack)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Millions/sec (estimated)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OUCH/FIX/ITCH, FPGA-accelerated, microservices, AWS hybrid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LSE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Millennium Exchange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 (MillenniumIT)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~126 us (native)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Tens of thousands/sec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C++/Linux, MITCH/FIX 5.0, commodity x86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JPX (TSE)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arrowhead 4.0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Co-developed (Fujitsu)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2024 (4th gen)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Microsecond-level (in-memory)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462 Fujitsu PRIMERGY servers, triple-redundancy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HKEX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OTP-C / OCG-C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 (HKEX)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Sub-millisecond (estimated)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60,000 orders/sec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Open systems, SDNet/3 network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SGX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REACH (Nasdaq)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 (licensed)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2019 (upgraded)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Sub-90 us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 Financial Framework, OUCH/ITCH/FIX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Euronext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Optiq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 (Euronext)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~15 us average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1,000,000 msgs/sec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SBE/FIX 5.0, UDP multicast, Apache Kafka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Deutsche Borse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T7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 (Deutsche Borse)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2017 (Xetra)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~5 us median (co-located)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Hundreds of thousands/sec per partition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Partition-based, ETI/FIX, event-driven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ASX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ASX Trade (Genium INET)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 (licensed)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~300 us (at launch)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100,000+ orders/sec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Genium INET (C/C++), OUCH/ITCH/FIX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TMX (TSX)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Quantum XA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 (TMX)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2013-2014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FIX/STAMP protocols, co-located Markham DC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SIX Swiss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SWXess (X-stream INET)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 (licensed)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2012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~10.6 us average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X-stream INET, SwissAtMid MPOB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SSE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4th-gen (self-developed)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~2023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20x reduction vs prior gen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2.5x increase vs prior gen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Self-developed, Chinese crypto standards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SZSE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Proprietary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2016 (upgrade)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~1.1 ms (matching engine)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300,000 orders/sec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Self-developed, STEP protocol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NSE India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NEAT+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2010s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~100 us (pre-Apr 2026)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5-6 million TPS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Custom-built, planned nanosecond upgrade Apr 2026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BSE India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BOLT Plus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Licensed (Deutsche Borse T7)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2013-2014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~200 us (at launch)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500,000 orders/sec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T7 architecture, FIX/FAST, NFCAST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TWSE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FAST (2nd gen)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2014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&lt;3 ms (door-to-door)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 million transactions/day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Proprietary TMP/FIX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Nasdaq Nordic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INET Nordic / Genium INET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 (Nasdaq)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2010s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Sub-100 us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&gt;1,000,000 msgs/sec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OUCH/ITCH/FIX, nanosecond timestamps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Borsa Italiana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Optiq (Euronext)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 (Euronext)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2023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~15 us average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1,000,000 msgs/sec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SBE/FIX 5.0, Bergamo data centre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BME (Spain)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SIBE-Smart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 (BME)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2012 (upgrade)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Sub-millisecond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Tripled from prior gen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FIX/native binary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Tadawul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X-Stream INET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 (licensed)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2015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&lt;40 us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40,000 orders/sec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 X-Stream INET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JSE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Millennium Exchange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LSEG Technology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2012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~124 us (platform spec)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Tens of thousands/sec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C++/Linux, FAST/ITCH, FIX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Bursa Malaysia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BTS2 (X-Stream INET)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 (licensed)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Sub-millisecond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10x prior capacity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 X-Stream INET, FIX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**Exture 3.0**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**In-house (KRX/KOSCOM)**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**2023**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**~49 us (estimated, 30% improvement over EXTURE+ 70 us)**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**100,000+ TPS (EXTURE+ baseline)**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**Linux x86, FIX/FAST, memory-based order book**</w:t>
            </w:r>
          </w:p>
        </w:tc>
      </w:tr>
    </w:tbl>
    <w:p/>
    <w:p>
      <w:r>
        <w:t>Key Observations:</w:t>
      </w:r>
    </w:p>
    <w:p>
      <w:pPr>
        <w:pStyle w:val="ListBullet"/>
      </w:pPr>
      <w:r>
        <w:t>Deutsche Borse T7 (~5 us) and Nasdaq INET (~14 us door-to-door) lead in raw latency among major exchanges</w:t>
      </w:r>
    </w:p>
    <w:p>
      <w:pPr>
        <w:pStyle w:val="ListBullet"/>
      </w:pPr>
      <w:r>
        <w:t>Euronext Optiq (~15 us) demonstrates that in-house platforms can rival vendor solutions</w:t>
      </w:r>
    </w:p>
    <w:p>
      <w:pPr>
        <w:pStyle w:val="ListBullet"/>
      </w:pPr>
      <w:r>
        <w:t>Chinese exchanges (SSE, SZSE) have pivoted to fully self-developed systems aligned with national technology independence policy</w:t>
      </w:r>
    </w:p>
    <w:p>
      <w:pPr>
        <w:pStyle w:val="ListBullet"/>
      </w:pPr>
      <w:r>
        <w:t>NSE India is targeting a transformative upgrade to nanosecond-level latency with 100 million TPS by April 2026</w:t>
      </w:r>
    </w:p>
    <w:p>
      <w:pPr>
        <w:pStyle w:val="ListBullet"/>
      </w:pPr>
      <w:r>
        <w:t>Nasdaq technology (INET/Genium/X-Stream) powers the most exchanges globally: ASX, SGX, SIX, Tadawul, Bursa Malaysia, Nasdaq Nordic, and more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18"/>
              </w:rPr>
              <w:t>Market Type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18"/>
              </w:rPr>
              <w:t>Auction Types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18"/>
              </w:rPr>
              <w:t>Trading Hours (Local)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18"/>
              </w:rPr>
              <w:t>Trading Hours (UTC)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18"/>
              </w:rPr>
              <w:t>Lunch Break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18"/>
              </w:rPr>
              <w:t>Tick Size Approach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18"/>
              </w:rPr>
              <w:t>Standard Lot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NYSE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Hybrid (order + DMM floor)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Open, Close, LULD halt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9:30-16:00 ET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14:30-21:00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Fixed ($0.01/&gt;=$1)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100 shares (variable from Nov 2025)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 + competing MMs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Opening Cross, Closing Cross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9:30-16:00 ET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14:30-21:00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Fixed ($0.01/&gt;=$1)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100 shares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LSE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 (SETS) / Hybrid (SETSqx)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Open, Close, Volatility, Intraday (SETSqx)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08:00-16:30 GMT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08:00-16:30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MiFID II RTS 11 (price+liquidity)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 share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JPX (TSE)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 (Zaraba)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Itayose (open/close), Special Quote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09:00-15:30 JST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00:00-06:30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Yes (1 hr)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Tiered by price (TOPIX 500 finer)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100 shares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HKEX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POS, CAS (random close)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09:30-16:00 HKT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01:30-08:00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Yes (1 hr)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Tiered by price (11 bands)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Varies (100-10,000)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SGX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Open, Mid-day, Close (randomized)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09:00-17:00 SGT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01:00-09:00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Yes (1 hr)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Tiered by price (3 bands)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100 shares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Euronext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Open, Close, Volatility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09:00-17:30 CET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08:00-16:30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MiFID II RTS 11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 share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Deutsche Borse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 + Designated Sponsors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Open, Close, Intraday, Volatility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09:00-17:30 CET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08:00-16:30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MiFID II RTS 11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 share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ASX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 (CLOB + dark)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Open, CSPA, Post-close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10:00-16:00 AEST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00:00-06:00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Tiered by price (3 bands)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 share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TMX (TSX)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 + Registered Traders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MOO, MOC (with PME)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09:30-16:00 ET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14:30-21:00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Fixed (C$0.01/&gt;=$0.50)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100/500/1000 (by price)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SIX Swiss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 + SwissAtMid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Open, Close, Volatility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09:00-17:20 CET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08:00-16:20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MiFID II-aligned (non-EU)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 share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SSE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Opening call, Closing call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09:30-15:00 CST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01:30-07:00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Yes (1.5 hrs)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Uniform (RMB 0.01)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100 shares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SZSE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Opening call, Closing call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09:30-15:00 CST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01:30-07:00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Yes (1.5 hrs)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Uniform (CNY 0.01)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100 shares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NSE India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Pre-open call auction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09:15-15:30 IST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03:45-10:00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Tiered by price (6 bands, from Apr 2025)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 share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BSE India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Pre-open call auction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09:15-15:30 IST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03:45-10:00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Fixed (INR 0.05)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 share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TWSE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 (continuous since 2020)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Opening call, Closing call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09:00-13:30 TST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01:00-05:30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Tiered by price (6 bands)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1,000 shares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Nasdaq Nordic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Open, Close, Volatility, Auction-only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09:00-17:25 CET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08:00-16:25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MiFID II RTS 11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 share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Borsa Italiana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Open, Close, Volatility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09:00-17:25 CET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08:00-16:25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MiFID II RTS 11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 share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BME (Spain)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Open, Close, Volatility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09:00-17:30 CET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08:00-16:30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MiFID II RTS 11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 share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Tadawul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 (random), Close (random)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10:00-15:00 AST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07:00-12:00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Tiered by price (6 bands)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 share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JSE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Open, Close, Intraday, Volatility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09:00-17:00 SAST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07:00-15:00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Flat (1 cent minimum)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 share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Bursa Malaysia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Order-driven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Open (AM/PM), Close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09:00-17:00 MYT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01:00-09:00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Yes (1.5 hrs)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Tiered by price (2 bands)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100 shares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**KRX (KOSPI)**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**Order-driven + LP/MM**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**Open call, Close call, VI auction**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**09:00-15:30 KST (08:00-18:00 incl. off-hours)**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**00:00-06:30 (23:00-09:00 incl. off-hours)**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**No**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**Tiered by price (7 bands)**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**1 share**</w:t>
            </w:r>
          </w:p>
        </w:tc>
      </w:tr>
    </w:tbl>
    <w:p/>
    <w:p>
      <w:r>
        <w:t>Key Observations:</w:t>
      </w:r>
    </w:p>
    <w:p>
      <w:pPr>
        <w:pStyle w:val="ListBullet"/>
      </w:pPr>
      <w:r>
        <w:t>Five Asian exchanges maintain lunch breaks: JPX (1 hr), HKEX (1 hr), SGX (1 hr), SSE/SZSE (1.5 hrs), and Bursa Malaysia (1.5 hrs)</w:t>
      </w:r>
    </w:p>
    <w:p>
      <w:pPr>
        <w:pStyle w:val="ListBullet"/>
      </w:pPr>
      <w:r>
        <w:t>EU exchanges uniformly apply MiFID II RTS 11 tick sizes; Chinese exchanges use a simple uniform tick</w:t>
      </w:r>
    </w:p>
    <w:p>
      <w:pPr>
        <w:pStyle w:val="ListBullet"/>
      </w:pPr>
      <w:r>
        <w:t>TWSE has the shortest trading hours among major exchanges at 4.5 hours; SGX has the longest continuous session at 7 hours</w:t>
      </w:r>
    </w:p>
    <w:p>
      <w:pPr>
        <w:pStyle w:val="ListBullet"/>
      </w:pPr>
      <w:r>
        <w:t>The lot size of 1 share is now the global standard for most Western exchanges; Asian exchanges (TWSE: 1,000; HKEX: variable; SSE/SZSE: 100) retain larger board lots</w:t>
      </w:r>
    </w:p>
    <w:p>
      <w:pPr>
        <w:pStyle w:val="ListBullet"/>
      </w:pPr>
      <w:r>
        <w:t>Randomized auction endings are widespread (HKEX, SGX, Euronext, BME, Tadawul, Nasdaq Nordic) to prevent manipulation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Circuit Breaker Mechanisms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Mechanism Name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Trigger Levels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Halt Duration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Static vs Dynamic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Index vs Stock 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NYSE / NASDAQ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LULD (Limit Up-Limit Down)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5%/10%/20% bands (varies by tier/time)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5-minute pause per stock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Dynamic (reference price updated)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NYSE / NASDAQ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Market-Wide Circuit Breaker (MWCB)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S&amp;P 500: -7% (L1), -13% (L2), -20% (L3)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15 min (L1/L2); remainder of day (L3)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Static (previous close)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Index-level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LSE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Dynamic + Static Circuit Breaker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~8% static (FTSE 100); dynamic varies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Volatility auction (variable)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Both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JPX (TSE)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Special Quote (Tokubetsu Kehai)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Renewal price range (varies by price)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Stepwise display until balance or daily limit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Dynamic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JPX (TSE)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Daily Price Limits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Varies by price level (tiered)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Trading continues within limits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Static (previous close)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HKEX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Volatility Control Mechanism (VCM)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+/-10% (HSI/HSCEI stocks)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5-minute cooling-off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Dynamic (last 5-min reference)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 (index constituents only)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SGX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Circuit Breaker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+/-10% from reference price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5-minute cooling-off (trading continues within band)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Dynamic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Euronext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Dynamic + Static Collars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~2-5% dynamic; ~8-10% static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~5-minute reservation (volatility auction)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Both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Deutsche Borse (Xetra)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Volatility Interruption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Dynamic + static price corridors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~2-minute auction + random end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Both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ASX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ETR (Extreme Trade Range)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Stock-specific bands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2-minute trading pause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Dynamic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ASX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AOT (Anomalous Order Threshold)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+/-10% from 2-min VWAP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Order rejected (not halt)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Dynamic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 (pre-trade)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TMX (TSX)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Single Stock Circuit Breaker (SSCB)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Not publicly specified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5-minute halt across all Canadian venues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Dynamic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SIX Swiss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Stop Trading Range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Dynamic + static thresholds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~5-minute volatility auction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Both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SSE / SZSE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Daily Price Limits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+/-10% Main Board; +/-20% STAR/ChiNext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No halt; orders beyond limit rejected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Static (previous close)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SSE / SZSE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Market-wide CB (suspended)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CSI 300: -5%, -7% (SUSPENDED Jan 2016)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Was 15 min / rest of day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Static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Index-level (SUSPENDED)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NSE / BSE India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Market-Wide CB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Sensex/Nifty: -10%, -15%, -20%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15 min to remainder of day (time-dependent)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Static (previous close)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Index-level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NSE / BSE India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Individual Price Bands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2%/5%/10%/20% (varies by security)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No halt; orders beyond band rejected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Static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TWSE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Daily Price Limit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+/-10%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Orders beyond limit rejected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Static (previous close)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TWSE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Intraday Price Stabilization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+/-3.5% from last trade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2-minute matching pause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Dynamic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Nasdaq Nordic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Volatility Guards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Dynamic + static thresholds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60-180 second volatility auction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Both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BME (Spain)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Static + Dynamic Range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Per-security volatility-based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5-minute volatility auction + 30s random end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Both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Tadawul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Volatility Interruption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+/-10% from previous close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5-minute call auction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Static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JSE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Dynamic + Static CB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~2% dynamic; ~5% static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Volatility auction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Both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Bursa Malaysia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Market-Wide CB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FBM KLCI: -10%, -15%, -20%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hour to remainder of day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Static (previous close)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Index-level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**Market-Wide CB (SAPI)**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**KOSPI: -8% (L1), -15% (L2), -20% (L3)**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**20 min (L1/L2); remainder of day (L3)**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**Static (previous close)**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**Index-level**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**Volatility Interruption (VI)**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**Static: 3%/6% from reference; Dynamic: 10% from last trade**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**2-minute call auction + 30-sec random end**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**Both (static + dynamic)**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**Stock-level**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**Sidecar (Program Trading)**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**KOSPI 200 futures: +/-5%**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**5-minute program order suspension**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**Dynamic**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**Market-level (program trades only)**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**Daily Price Limits**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**+/-30% (standard); +300%/-60% (IPO day)**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**Orders beyond limit rejected**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**Static (previous close)**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**Stock-level**</w:t>
            </w:r>
          </w:p>
        </w:tc>
      </w:tr>
    </w:tbl>
    <w:p/>
    <w:p>
      <w:r>
        <w:t>Key Observations:</w:t>
      </w:r>
    </w:p>
    <w:p>
      <w:pPr>
        <w:pStyle w:val="ListBullet"/>
      </w:pPr>
      <w:r>
        <w:t>Most exchanges use stock-level circuit breakers; only the US, India, China (suspended), and Bursa Malaysia have active index-level market-wide halts</w:t>
      </w:r>
    </w:p>
    <w:p>
      <w:pPr>
        <w:pStyle w:val="ListBullet"/>
      </w:pPr>
      <w:r>
        <w:t>China's failed 2016 circuit breaker experiment (suspended after 4 days due to "magnet effect") remains a cautionary case study</w:t>
      </w:r>
    </w:p>
    <w:p>
      <w:pPr>
        <w:pStyle w:val="ListBullet"/>
      </w:pPr>
      <w:r>
        <w:t>European exchanges uniformly use dynamic+static dual-threshold systems feeding into volatility auctions</w:t>
      </w:r>
    </w:p>
    <w:p>
      <w:pPr>
        <w:pStyle w:val="ListBullet"/>
      </w:pPr>
      <w:r>
        <w:t>US LULD is unique in its tiered percentage bands based on security classification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Market Data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Primary Protocol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Data Levels Available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Delivery Method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NYSE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NYSE Pillar (XDP binary)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L2, Full Depth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UDP multicast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TotalView-ITCH 5.0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L2, Full Depth (order-by-order)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UDP multicast (MoldUDP64)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MITCH (ITCH variant)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 (full depth)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UDP multicast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JPX (TSE)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arrowhead FLEX (ITCH-based)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L2, Full Depth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UDP multicast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HKEX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OMD-C (Orion Market Data)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 (40 price queues)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UDP multicast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SGX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ITCH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L2, Full Depth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UDP multicast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Euronext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Optiq MDG (SBE binary)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 (MBP 10 / MBO 10)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UDP multicast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Deutsche Borse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T7 EOBI (Enhanced Order Book Interface)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L2, Full Depth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UDP multicast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ASX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ASX ITCH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L2, Full Depth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UDP multicast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TMX (TSX)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TMX Quantum Feed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L2, Full Depth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Multicast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SIX Swiss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ITCH (via X-stream INET)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L2, Full Depth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UDP multicast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FAST (L1); Binary (L2)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 (5-level MBP), L2 (10 MBP + 50 MBO)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Dedicated feeds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SZSE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STEP / Binary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Dedicated feeds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NSE India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Proprietary TCP/IP feed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 (5 best), L3 (20 best)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TCP/colocation direct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BSE India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NFCAST (UDP multicast)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 (market depth)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UDP multicast / leased line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TWSE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Proprietary (TWSE Market Info)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Real-time (5 bid/ask), 5-sec snapshot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Dedicated feeds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Nasdaq Nordic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TotalView-ITCH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L2, Full Depth (with attribution)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UDP multicast (MoldUDP64)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Tadawul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Market Data Feed (Nasdaq)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 (5 levels), Premium (full depth)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Direct / vendors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FAST/ITCH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Multicast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Bursa Malaysia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FIX / Proprietary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L1, L2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Dedicated feeds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**FIX/FAST + KRX proprietary**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**L1, L2, Full Depth**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**KOSCOM STOCK-NET (dedicated network) + internet**</w:t>
            </w:r>
          </w:p>
        </w:tc>
      </w:tr>
    </w:tbl>
    <w:p/>
    <w:p>
      <w:r>
        <w:t>Key Observations:</w:t>
      </w:r>
    </w:p>
    <w:p>
      <w:pPr>
        <w:pStyle w:val="ListBullet"/>
      </w:pPr>
      <w:r>
        <w:t>ITCH-based protocols (and variants like MITCH, OUCH) dominate globally for low-latency market data</w:t>
      </w:r>
    </w:p>
    <w:p>
      <w:pPr>
        <w:pStyle w:val="ListBullet"/>
      </w:pPr>
      <w:r>
        <w:t>UDP multicast is the universal delivery method for production-grade exchange feeds</w:t>
      </w:r>
    </w:p>
    <w:p>
      <w:pPr>
        <w:pStyle w:val="ListBullet"/>
      </w:pPr>
      <w:r>
        <w:t>Chinese exchanges have the most restricted data architecture, with proprietary protocols and no standard ITCH/FIX feeds</w:t>
      </w:r>
    </w:p>
    <w:p>
      <w:pPr>
        <w:pStyle w:val="ListBullet"/>
      </w:pPr>
      <w:r>
        <w:t>Nasdaq Nordic's TotalView-ITCH uniquely includes market participant attribution in full-depth data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Co-location Offerings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Co-lo Location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Network Connectivity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NYSE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Equinix NY11, Carteret, NJ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Full rack, partial rack, cross-connect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10G/40G fiber; DR at Equinix CH4 Chicago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Equinix NY11, Carteret, NJ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Full rack, cross-connect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10G/40G; 40G Express Connect (&lt;35 ns switching)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Interxion LON1 / Equinix LD4, London area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Proximity hosting, cross-connect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LSE Extranet, third-party networks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JPX (TSE)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Primary DC, Tokyo metropolitan area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Co-location with equal-length cables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arrowhead co-location service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HKEX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Tseung Kwan O (TKO), Hong Kong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Proximity hosting via SDNet/3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Dedicated SDNet/3 network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SGX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SGX co-location facility, Singapore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Full rack, cross-connect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Equal-length cross-connects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Euronext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Aruba IT3, Bergamo, Italy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Full/partial rack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centre carriers, direct cross-connect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Deutsche Borse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Equinix FR2, Frankfurt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Co-location, proximity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T7 proximity services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ASX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Australian Liquidity Centre (ALC), Gore Hill, Sydney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Full rack, equal-length cross-connects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ASX Net dark fibre network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TMX (TSX)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Markham, Ontario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Co-location at TMX DC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Direct cross-connects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SIX Swiss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Zurich area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Co-location, cross-connect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Dedicated network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Shanghai data center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Co-location for members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Dedicated lines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SZSE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Shenzhen data center (5,000 cabinets)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Co-location for members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Dedicated lines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NSE India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Mumbai (BKC area)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2,000+ racks (expanding to 4,500)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Colocation direct feed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BSE India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Mumbai (NTT/Netmagic)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Rack space, cross-connects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Leased lines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TWSE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Banqiao Data Center, New Taipei City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Rack space, &lt;100m from matching engines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Colt / Pico connectivity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Nasdaq Nordic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Vasby, Stockholm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Full rack, cross-connect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DR at Equinix SK2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Tadawul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Riyadh (not confirmed)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Not confirmed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Not confirmed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JSE premises, Sandton + Teraco (Colo 2.0)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Rack space, cross-connect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TNS, IPC, Beeks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Bursa Malaysia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Not publicly disclosed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Available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BDA gateway connectivity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**Seoul DC (equities primary) + Busan DC (derivatives primary / KOSCOM IDC)**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**Rack space, proximity hosting, cross-connects**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**KOSCOM STOCK-NET; IPC/Itiviti connectivity; ICE Global Network**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Fee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Fee Model 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Approximate Rate Range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Maker-taker (tiered)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Maker rebate ~$0.0020-0.0030/share; taker fee ~$0.0030/share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Maker-taker (tiered)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Maker rebate ~$0.0020-0.0032/share; taker fee ~$0.0030/share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 (value-based)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~0.45 bps of trade value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JPX (TSE)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Flat per-trade + value-based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Trading participation fee; access fee per session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HKEX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 + flat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~0.00565% trading fee; HK$0.50 CCASS stock fee per side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SGX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 (tiered)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Clearing fee varies by value tier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Euronext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0.50 bps per trade; min EUR 0.70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Deutsche Borse (Xetra)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 (tiered)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by volume tier; Designated Sponsor discounts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 (tiered)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~0.15-0.28 bps per side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TMX (TSX)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Maker-taker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by venue and tier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SIX Swiss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by volume tier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 + stamp duty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~0.00487% handling fee; 0.05% stamp duty (seller)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SZSE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 + stamp duty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~0.00487% handling fee; 0.05% stamp duty (seller)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NSE India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Flat per traded value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~INR 3.22 per lakh; STT: 0.1% delivery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BSE India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Per-trade (tiered)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Competitive with NSE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TWSE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Commission + transaction tax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Max 0.1425% commission; 0.30% transaction tax (seller)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Nasdaq Nordic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 (tiered)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Value-based + possible fixed per-trade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BME (Spain)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 (tiered)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by volume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Tadawul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~10.5 bps exchange commission + 3 bps CMA fee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JSE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 + STT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0.25% Securities Transfer Tax; Strate fee 0.005787%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Bursa Malaysia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Commission + clearing + stamp duty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Max 0.7% brokerage; 0.03% clearing; RM1/RM1,000 stamp duty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**Maker-taker (since Dec 2025; previously ad valorem flat)**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**Maker: 0.00134%; Taker: 0.00182% (total ~0.0036% incl. clearing fee); + 0.23% Securities Transaction Tax (seller)**</w:t>
            </w:r>
          </w:p>
        </w:tc>
      </w:tr>
    </w:tbl>
    <w:p/>
    <w:p>
      <w:r>
        <w:t>Key Observations:</w:t>
      </w:r>
    </w:p>
    <w:p>
      <w:pPr>
        <w:pStyle w:val="ListBullet"/>
      </w:pPr>
      <w:r>
        <w:t>US exchanges (NYSE, NASDAQ) are unique in their maker-taker rebate model, incentivizing passive liquidity provision</w:t>
      </w:r>
    </w:p>
    <w:p>
      <w:pPr>
        <w:pStyle w:val="ListBullet"/>
      </w:pPr>
      <w:r>
        <w:t>Asian markets (China, India, Taiwan, Malaysia) layer government taxes (stamp duty, STT) on top of exchange fees</w:t>
      </w:r>
    </w:p>
    <w:p>
      <w:pPr>
        <w:pStyle w:val="ListBullet"/>
      </w:pPr>
      <w:r>
        <w:t>EU exchanges generally use straightforward ad valorem models with volume tiers</w:t>
      </w:r>
    </w:p>
    <w:p>
      <w:pPr>
        <w:pStyle w:val="ListBullet"/>
      </w:pPr>
      <w:r>
        <w:t>Tadawul has among the highest explicit exchange fee rates at ~10.5 bps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Regulatory Framework Comparison</w:t>
      </w:r>
    </w:p>
    <w:p>
      <w:pPr>
        <w:pStyle w:val="Heading3"/>
      </w:pPr>
      <w:r>
        <w:t>7.1 Americas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United States (NYSE/NASDAQ)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Canada (TMX)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Regulator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SEC (federal)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OSC (lead) + CSA (provincial harmonization)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Key Regulation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Securities Exchange Act 1934, Reg NMS, Reg SHO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Securities Act (provincial), UMIR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SRO Model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Exchanges are SROs; FINRA oversees broker-dealers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CIRO (formed 2023 from IIROC+MFDA merger)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Short Selling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 SHO: locate requirement; alternative uptick rule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UMIR short selling rules; locate requirement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Foreign Access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Broker-dealer registration or exemptions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Remote access via approved intermediaries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Settlement Cycle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 (since May 2024)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 (since May 2024)</w:t>
            </w:r>
          </w:p>
        </w:tc>
      </w:tr>
    </w:tbl>
    <w:p/>
    <w:p>
      <w:pPr>
        <w:pStyle w:val="Heading3"/>
      </w:pPr>
      <w:r>
        <w:t>7.2 Europe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UK (LSE)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EU (Euronext/Xetra/BME/Borsa Italiana)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Switzerland (SIX)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Nordics (Nasdaq Nordic)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Regulator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FCA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AMF/BaFin/CNMV/CONSOB (College of Regulators for Euronext)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FINMA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Finansinspektionen (SE), FIN-FSA (FI), Finanstilsynet (DK)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Key Regulation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UK MiFID (onshored), UK MAR, FSMA 2000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MiFID II/MiFIR, MAR, Prospectus Reg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FMIA (Financial Market Infrastructure Act)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MiFID II/MiFIR, MAR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SRO Model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LSE as RIE; FCA direct oversight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Exchange as regulated market; national regulator oversight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SIX Exchange Regulation (SER) as SRO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Exchange entities supervised by national regulators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Short Selling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UK Short Selling Regulation; 0.2%/0.5% thresholds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EU Short Selling Regulation; 0.1%/0.5% thresholds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Swiss regulations (FMIA-aligned)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EU Short Selling Regulation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Foreign Access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FCA recognition for overseas firms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MiFID II passporting (EEA); third-country equivalence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FINMA recognition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MiFID II passporting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Settlement Cycle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T+2 (T+1 targeted 2027)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T+2 (T+1 targeted 2027)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T+2</w:t>
            </w:r>
          </w:p>
        </w:tc>
      </w:tr>
    </w:tbl>
    <w:p/>
    <w:p>
      <w:pPr>
        <w:pStyle w:val="Heading3"/>
      </w:pPr>
      <w:r>
        <w:t>7.3 Asia-Pacific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960"/>
          </w:tcPr>
          <w:p>
            <w:pPr/>
            <w:r>
              <w:rPr>
                <w:b/>
                <w:sz w:val="18"/>
              </w:rPr>
              <w:t>Japan (JPX)</w:t>
            </w:r>
          </w:p>
        </w:tc>
        <w:tc>
          <w:tcPr>
            <w:tcW w:type="dxa" w:w="960"/>
          </w:tcPr>
          <w:p>
            <w:pPr/>
            <w:r>
              <w:rPr>
                <w:b/>
                <w:sz w:val="18"/>
              </w:rPr>
              <w:t>Hong Kong (HKEX)</w:t>
            </w:r>
          </w:p>
        </w:tc>
        <w:tc>
          <w:tcPr>
            <w:tcW w:type="dxa" w:w="960"/>
          </w:tcPr>
          <w:p>
            <w:pPr/>
            <w:r>
              <w:rPr>
                <w:b/>
                <w:sz w:val="18"/>
              </w:rPr>
              <w:t>Singapore (SGX)</w:t>
            </w:r>
          </w:p>
        </w:tc>
        <w:tc>
          <w:tcPr>
            <w:tcW w:type="dxa" w:w="960"/>
          </w:tcPr>
          <w:p>
            <w:pPr/>
            <w:r>
              <w:rPr>
                <w:b/>
                <w:sz w:val="18"/>
              </w:rPr>
              <w:t>China (SSE/SZSE)</w:t>
            </w:r>
          </w:p>
        </w:tc>
        <w:tc>
          <w:tcPr>
            <w:tcW w:type="dxa" w:w="960"/>
          </w:tcPr>
          <w:p>
            <w:pPr/>
            <w:r>
              <w:rPr>
                <w:b/>
                <w:sz w:val="18"/>
              </w:rPr>
              <w:t>India (NSE/BSE)</w:t>
            </w:r>
          </w:p>
        </w:tc>
        <w:tc>
          <w:tcPr>
            <w:tcW w:type="dxa" w:w="960"/>
          </w:tcPr>
          <w:p>
            <w:pPr/>
            <w:r>
              <w:rPr>
                <w:b/>
                <w:sz w:val="18"/>
              </w:rPr>
              <w:t>Taiwan (TWSE)</w:t>
            </w:r>
          </w:p>
        </w:tc>
        <w:tc>
          <w:tcPr>
            <w:tcW w:type="dxa" w:w="960"/>
          </w:tcPr>
          <w:p>
            <w:pPr/>
            <w:r>
              <w:rPr>
                <w:b/>
                <w:sz w:val="18"/>
              </w:rPr>
              <w:t>Saudi Arabia (Tadawul)</w:t>
            </w:r>
          </w:p>
        </w:tc>
        <w:tc>
          <w:tcPr>
            <w:tcW w:type="dxa" w:w="960"/>
          </w:tcPr>
          <w:p>
            <w:pPr/>
            <w:r>
              <w:rPr>
                <w:b/>
                <w:sz w:val="18"/>
              </w:rPr>
              <w:t>**Korea (KRX)**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Regulator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JFSA / SESC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SFC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MAS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CSRC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SEBI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FSC (SFB)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CMA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**FSC / FSS**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Key Regulation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FIEA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SFO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SFA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Securities Law of PRC (2020)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SEBI Act 1992, SCRA 1956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Securities and Exchange Act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Capital Market Law 2003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**FSCMA (자본시장법)**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SRO Model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JPX-R (self-regulatory subsidiary)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HKEX as frontline regulator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SGX RegCo (independent subsidiary)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SSE/SZSE as frontline SROs under CSRC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Exchanges conduct surveillance; SEBI oversight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TWSE performs self-regulatory functions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Saudi Exchange under CMA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**KRX as SRO (market surveillance, delisting authority)**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Short Selling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Permitted with restrictions; uptick rule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Permitted; designated securities only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Permitted with rules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Restricted; securities lending only; naked shorts prohibited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Permitted; daily reporting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Permitted; volume limits (30% daily cap, temporarily 3%)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Limited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**Permitted with uptick rule; naked shorts prohibited; overheated stock bans**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Foreign Access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Relatively open; no investor registration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Open; Stock Connect for mainland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Open; FPI framework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QFI scheme + Stock Connect; direct access limited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FPI registration via custodians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FINI/FIDI registration required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Barrier-free since Feb 2026 (QFI abolished)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**QFI scheme (quota abolished); via licensed Korean broker-dealers**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Settlement Cycle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T+1 (unique: cannot sell same-day purchase)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T+1 (since Jan 2023)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**T+2 (T+1 under study)**</w:t>
            </w:r>
          </w:p>
        </w:tc>
      </w:tr>
    </w:tbl>
    <w:p/>
    <w:p>
      <w:pPr>
        <w:pStyle w:val="Heading3"/>
      </w:pPr>
      <w:r>
        <w:t>7.4 Africa &amp; Middle East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South Africa (JSE)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Saudi Arabia (Tadawul)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Regulator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FSCA (market conduct) + SARB Prudential Authority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Key Regulation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Financial Markets Act 2012, FSR Act 2017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Capital Market Law 2003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SRO Model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JSE as frontline regulator (Twin Peaks model)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Saudi Exchange under CMA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Short Selling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Permitted with JSE/FSCA oversight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Limited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Foreign Access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Open via FSCA-licensed members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Barrier-free since Feb 2026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Settlement Cycle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T+3 (JSE)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Market Size Rankings</w:t>
      </w:r>
    </w:p>
    <w:p>
      <w:pPr>
        <w:pStyle w:val="Heading3"/>
      </w:pPr>
      <w:r>
        <w:t>8.1 By Market Capitalization (listed companies, approximate, as of early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Rank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Market Cap (USD, approx.)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~$28.0 trillion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~$42.2 trillion (Nov 2025)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~$8.9 trillion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 (TSE)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~$8.1 trillion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~$6.2 trillion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(combined)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~$7.5 trillion (EUR 6.8T)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~$5.9 trillion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NSE India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~$5.1 trillion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BSE India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~$5.0 trillion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SZSE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~$5.1 trillion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**KRX (KOSPI+KOSDAQ)**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**~$2.95 trillion (KRW 4,277T)**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TWSE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~$2.9 trillion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Tadawul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~$2.7 trillion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Deutsche Borse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~$2.3 trillion (EUR 2.1T)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TMX (TSX)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~$4.3 trillion (C$5.8T)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~$2.2 trillion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Nordic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~$2.2 trillion (EUR 2.0T)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SIX Swiss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~$2.0 trillion (CHF 1.8T)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~$1.5 trillion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BME (Spain)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~$1.3 trillion (EUR 1.2T)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Borsa Italiana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~$1.2 trillion (EUR 1.04T)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~$0.8 trillion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Bursa Malaysia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~$0.4 trillion</w:t>
            </w:r>
          </w:p>
        </w:tc>
      </w:tr>
    </w:tbl>
    <w:p/>
    <w:p>
      <w:r>
        <w:t>Note: Rankings are approximate and vary by date and methodology. NASDAQ's figure includes all listed companies; NYSE's figure covers NYSE-listed equities only. Euronext is an aggregate across 7 markets.</w:t>
      </w:r>
    </w:p>
    <w:p>
      <w:pPr>
        <w:pStyle w:val="Heading3"/>
      </w:pPr>
      <w:r>
        <w:t>8.2 By Average Daily Trading Value (approximate, 2025)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Rank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ADV (USD, approx.)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~$300-400 billion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~$80 billion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~$50-100 billion (varies)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SZSE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~$50-70 billion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 (TSE)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~$45 billion (JPY 6.7T)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**KRX (KOSPI)**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**~$20.7 billion (KRW 32.2T, Feb 2026)**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~$30 billion (HK$230B)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(combined)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~$13 billion (EUR 12B)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TWSE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~$13 billion (NT$416B record)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NSE India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~$8-9 billion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~$5-6 billion (GBP 4-4.5B)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Deutsche Borse (Xetra)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~$5-6 billion (EUR 4.5-5.5B)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TMX (TSX)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~$5.5 billion (C$7.4B)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SIX Swiss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~$4 billion (CHF 3.5B)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Nordic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~$3.5 billion (EUR 3.2B)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~$3.5 billion (AUD 4.7B)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Tadawul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~$1.2 billion (SAR 4.6B)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~$1.0 billion (SGD 1.3-1.8B)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Bursa Malaysia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~$0.6 billion (RM 2.5-3B)</w:t>
            </w:r>
          </w:p>
        </w:tc>
      </w:tr>
    </w:tbl>
    <w:p/>
    <w:p>
      <w:pPr>
        <w:pStyle w:val="Heading3"/>
      </w:pPr>
      <w:r>
        <w:t>8.3 By Number of Listed Companies (approximate, 2025-2026)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Rank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Listed Companies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BSE India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~5,936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TMX (TSX + TSXV)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~3,400+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 (TSE)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~3,945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~4,075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Deutsche Borse (all segments)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~3,500+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SZSE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~2,879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**KRX (KOSPI+KOSDAQ+KONEX)**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**~2,901**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~2,673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~2,400+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~2,302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~2,241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(combined)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~1,900+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~1,900+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Nordic + Baltic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~1,119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TWSE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~1,045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Bursa Malaysia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~1,051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BME (Spain)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~655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~622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~431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Borsa Italiana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~375+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Tadawul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~390+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SIX Swiss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~250+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Key Observations and Trends</w:t>
      </w:r>
    </w:p>
    <w:p>
      <w:pPr>
        <w:pStyle w:val="Heading3"/>
      </w:pPr>
      <w:r>
        <w:t>9.1 Technology Convergence and Divergence</w:t>
      </w:r>
    </w:p>
    <w:p>
      <w:r>
        <w:t>The global exchange landscape exhibits a clear technology stratification. At the top tier, Deutsche Borse T7 (~5 us), Nasdaq INET (~14 us), and Euronext Optiq (~15 us) deliver single-digit to low double-digit microsecond latencies. A second tier includes NYSE Pillar (~34 us), SGX REACH (sub-90 us), and Nasdaq-powered exchanges like Tadawul (&lt;40 us) and SIX (~10.6 us). Notably, Chinese exchanges (SSE, SZSE) have diverged from the global technology ecosystem entirely, building proprietary systems aligned with national technology self-sufficiency mandates. This creates a bifurcated landscape: Western/global exchanges converging on a handful of platform families (Nasdaq INET, Millennium, Optiq, T7), while China's exchanges operate in a largely opaque, domestically developed environment.</w:t>
      </w:r>
    </w:p>
    <w:p>
      <w:pPr>
        <w:pStyle w:val="Heading3"/>
      </w:pPr>
      <w:r>
        <w:t>9.2 Platform Consolidation</w:t>
      </w:r>
    </w:p>
    <w:p>
      <w:r>
        <w:t>Nasdaq technology (across INET, Genium INET, and X-Stream INET variants) powers the most exchanges globally -- at least 8 of the 22 exchanges reviewed, plus 130+ other marketplaces. LSEG's Millennium Exchange powers at least 3 exchanges (LSE, JSE, and until recently Borsa Italiana). This concentration of exchange technology in a few vendors creates both efficiency (shared development costs, proven platforms) and systemic risk (a vulnerability in one platform could affect multiple markets simultaneously).</w:t>
      </w:r>
    </w:p>
    <w:p>
      <w:pPr>
        <w:pStyle w:val="Heading3"/>
      </w:pPr>
      <w:r>
        <w:t>9.3 Market Structure Modernization</w:t>
      </w:r>
    </w:p>
    <w:p>
      <w:r>
        <w:t>Several exchanges are undergoing significant market structure reforms:</w:t>
      </w:r>
    </w:p>
    <w:p>
      <w:pPr>
        <w:pStyle w:val="ListBullet"/>
      </w:pPr>
      <w:r>
        <w:t>TWSE transitioned from call auction to continuous trading only in 2020, among the last major exchanges to do so</w:t>
      </w:r>
    </w:p>
    <w:p>
      <w:pPr>
        <w:pStyle w:val="ListBullet"/>
      </w:pPr>
      <w:r>
        <w:t>HKEX is reducing tick sizes in phases (2025-2026), narrowing the gap with Western peers</w:t>
      </w:r>
    </w:p>
    <w:p>
      <w:pPr>
        <w:pStyle w:val="ListBullet"/>
      </w:pPr>
      <w:r>
        <w:t>JPX extended trading hours and introduced a closing auction in 2024 (arrowhead 4.0)</w:t>
      </w:r>
    </w:p>
    <w:p>
      <w:pPr>
        <w:pStyle w:val="ListBullet"/>
      </w:pPr>
      <w:r>
        <w:t>ASX unified its opening auction and introduced post-close trading in 2025 (SR15 reforms)</w:t>
      </w:r>
    </w:p>
    <w:p>
      <w:pPr>
        <w:pStyle w:val="ListBullet"/>
      </w:pPr>
      <w:r>
        <w:t>NSE India is implementing the most aggressive tick size reform, moving from a uniform INR 0.05 to a 6-tier price-dependent structure</w:t>
      </w:r>
    </w:p>
    <w:p>
      <w:pPr>
        <w:pStyle w:val="Heading3"/>
      </w:pPr>
      <w:r>
        <w:t>9.4 Settlement Cycle Acceleration</w:t>
      </w:r>
    </w:p>
    <w:p>
      <w:r>
        <w:t>The global move toward shorter settlement is accelerating:</w:t>
      </w:r>
    </w:p>
    <w:p>
      <w:pPr>
        <w:pStyle w:val="ListBullet"/>
      </w:pPr>
      <w:r>
        <w:t>T+1 achieved: US (May 2024), Canada (May 2024), India (Jan 2023), China (T+1 with unique same-day sale restriction)</w:t>
      </w:r>
    </w:p>
    <w:p>
      <w:pPr>
        <w:pStyle w:val="ListBullet"/>
      </w:pPr>
      <w:r>
        <w:t>T+1 planned: EU (targeting 2027), UK (targeting 2027), Australia (post-CHESS replacement, likely 2029+)</w:t>
      </w:r>
    </w:p>
    <w:p>
      <w:pPr>
        <w:pStyle w:val="ListBullet"/>
      </w:pPr>
      <w:r>
        <w:t>T+2 standard: Most of Europe, Japan, Hong Kong, Singapore, Australia, Saudi Arabia currently on T+2</w:t>
      </w:r>
    </w:p>
    <w:p>
      <w:pPr>
        <w:pStyle w:val="Heading3"/>
      </w:pPr>
      <w:r>
        <w:t>9.5 Foreign Investor Liberalization</w:t>
      </w:r>
    </w:p>
    <w:p>
      <w:r>
        <w:t>The trend toward barrier-free foreign investor access continues:</w:t>
      </w:r>
    </w:p>
    <w:p>
      <w:pPr>
        <w:pStyle w:val="ListBullet"/>
      </w:pPr>
      <w:r>
        <w:t>Tadawul abolished the QFI regime entirely in February 2026, granting barrier-free access</w:t>
      </w:r>
    </w:p>
    <w:p>
      <w:pPr>
        <w:pStyle w:val="ListBullet"/>
      </w:pPr>
      <w:r>
        <w:t>China expanded Stock Connect scope and abolished QFI quotas, though structural barriers (T+1, capital controls) remain</w:t>
      </w:r>
    </w:p>
    <w:p>
      <w:pPr>
        <w:pStyle w:val="ListBullet"/>
      </w:pPr>
      <w:r>
        <w:t>India simplified FPI registration and expanded GIFT City international access</w:t>
      </w:r>
    </w:p>
    <w:p>
      <w:pPr>
        <w:pStyle w:val="ListBullet"/>
      </w:pPr>
      <w:r>
        <w:t>TWSE has eliminated most foreign ownership limits (45% foreign ownership at end of 2024)</w:t>
      </w:r>
    </w:p>
    <w:p>
      <w:pPr>
        <w:pStyle w:val="Heading3"/>
      </w:pPr>
      <w:r>
        <w:t>9.6 ESG and Sustainability Integration</w:t>
      </w:r>
    </w:p>
    <w:p>
      <w:r>
        <w:t>ESG reporting and sustainability are becoming universal exchange requirements:</w:t>
      </w:r>
    </w:p>
    <w:p>
      <w:pPr>
        <w:pStyle w:val="ListBullet"/>
      </w:pPr>
      <w:r>
        <w:t>TWSE: All 1,029 listed companies submitted sustainability reports by August 2025; ESG Evaluation system launched 2026</w:t>
      </w:r>
    </w:p>
    <w:p>
      <w:pPr>
        <w:pStyle w:val="ListBullet"/>
      </w:pPr>
      <w:r>
        <w:t>Tadawul: Launched ESG Disclosure Guidelines (2021); 29 Unified ESG Metrics across GCC exchanges</w:t>
      </w:r>
    </w:p>
    <w:p>
      <w:pPr>
        <w:pStyle w:val="ListBullet"/>
      </w:pPr>
      <w:r>
        <w:t>HKEX: Enhanced ESG reporting aligned with ISSB standards</w:t>
      </w:r>
    </w:p>
    <w:p>
      <w:pPr>
        <w:pStyle w:val="ListBullet"/>
      </w:pPr>
      <w:r>
        <w:t>Euronext: Bergamo data center powered by green energy</w:t>
      </w:r>
    </w:p>
    <w:p>
      <w:pPr>
        <w:pStyle w:val="ListBullet"/>
      </w:pPr>
      <w:r>
        <w:t>LSEG: Launched Sustainability Ratings and Data (March 2026)</w:t>
      </w:r>
    </w:p>
    <w:p>
      <w:pPr>
        <w:pStyle w:val="Heading3"/>
      </w:pPr>
      <w:r>
        <w:t>9.7 24-Hour Trading Ambitions</w:t>
      </w:r>
    </w:p>
    <w:p>
      <w:r>
        <w:t>Multiple exchanges are exploring extended or round-the-clock trading:</w:t>
      </w:r>
    </w:p>
    <w:p>
      <w:pPr>
        <w:pStyle w:val="ListBullet"/>
      </w:pPr>
      <w:r>
        <w:t>NASDAQ: Plans for 24/5 trading (pending SEC approval, H2 2026 target)</w:t>
      </w:r>
    </w:p>
    <w:p>
      <w:pPr>
        <w:pStyle w:val="ListBullet"/>
      </w:pPr>
      <w:r>
        <w:t>NYSE Arca: SEC approved 22-hour trading; implementation targeted late 2026</w:t>
      </w:r>
    </w:p>
    <w:p>
      <w:pPr>
        <w:pStyle w:val="ListBullet"/>
      </w:pPr>
      <w:r>
        <w:t>JSE: Reported to be considering 24-hour trading (July 2025)</w:t>
      </w:r>
    </w:p>
    <w:p>
      <w:pPr>
        <w:pStyle w:val="ListBullet"/>
      </w:pPr>
      <w:r>
        <w:t>This trend reflects the globalization of capital flows and competition from crypto markets that trade 24/7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KRX Positioning</w:t>
      </w:r>
    </w:p>
    <w:p>
      <w:r>
        <w:t>Korea Exchange (KRX) serves as the reference benchmark for this research project. Based on the comparative analysis above, KRX's positioning relative to global peers can be characterized as follows:</w:t>
      </w:r>
    </w:p>
    <w:p>
      <w:pPr>
        <w:pStyle w:val="Heading3"/>
      </w:pPr>
      <w:r>
        <w:t>10.1 Market Size</w:t>
      </w:r>
    </w:p>
    <w:p>
      <w:pPr>
        <w:pStyle w:val="ListBullet"/>
      </w:pPr>
      <w:r>
        <w:t>Market capitalization: KRX KOSPI is approximately USD 1.6 trillion, placing it in the middle tier globally -- comparable to JSE (~$1.5T) and larger than BME, Borsa Italiana, or SGX, but smaller than TWSE (~$2.9T), Tadawul (~$2.7T), or ASX (~$2.2T)</w:t>
      </w:r>
    </w:p>
    <w:p>
      <w:pPr>
        <w:pStyle w:val="ListBullet"/>
      </w:pPr>
      <w:r>
        <w:t>Listed companies: KOSPI + KOSDAQ combined total approximately 2,500+ companies, comparable to NYSE or HKEX</w:t>
      </w:r>
    </w:p>
    <w:p>
      <w:pPr>
        <w:pStyle w:val="Heading3"/>
      </w:pPr>
      <w:r>
        <w:t>10.2 Trading System</w:t>
      </w:r>
    </w:p>
    <w:p>
      <w:pPr>
        <w:pStyle w:val="ListBullet"/>
      </w:pPr>
      <w:r>
        <w:t>KRX operates the Exture+ trading system. Compared to global peers, its latency and capacity specifications should be benchmarked against:</w:t>
      </w:r>
    </w:p>
    <w:p>
      <w:pPr>
        <w:pStyle w:val="ListBullet"/>
      </w:pPr>
      <w:r>
        <w:t>Top tier: Deutsche Borse T7 (~5 us), Nasdaq INET (~14 us), Euronext Optiq (~15 us)</w:t>
      </w:r>
    </w:p>
    <w:p>
      <w:pPr>
        <w:pStyle w:val="ListBullet"/>
      </w:pPr>
      <w:r>
        <w:t>Peer tier: HKEX OTP-C (60K orders/sec), SGX REACH (sub-90 us), ASX Trade (100K+ orders/sec)</w:t>
      </w:r>
    </w:p>
    <w:p>
      <w:pPr>
        <w:pStyle w:val="Heading3"/>
      </w:pPr>
      <w:r>
        <w:t>10.3 Market Structure</w:t>
      </w:r>
    </w:p>
    <w:p>
      <w:pPr>
        <w:pStyle w:val="ListBullet"/>
      </w:pPr>
      <w:r>
        <w:t>Trading hours: KOSPI trades 09:00-15:30 KST (6.5 hours continuous, no lunch break since 2000), longer than TWSE (4.5 hrs), JPX (5.5 hrs), and SSE/SZSE (4 hrs), but shorter than SGX (7 hrs)</w:t>
      </w:r>
    </w:p>
    <w:p>
      <w:pPr>
        <w:pStyle w:val="ListBullet"/>
      </w:pPr>
      <w:r>
        <w:t>Daily price limits: KRX uses +/-30% limits (since 2015), among the widest in Asia (vs. TWSE +/-10%, SSE/SZSE +/-10-20%, HKEX no daily limit)</w:t>
      </w:r>
    </w:p>
    <w:p>
      <w:pPr>
        <w:pStyle w:val="ListBullet"/>
      </w:pPr>
      <w:r>
        <w:t>Lot size: KRX uses 1 share as the standard lot, aligned with global best practice</w:t>
      </w:r>
    </w:p>
    <w:p>
      <w:pPr>
        <w:pStyle w:val="ListBullet"/>
      </w:pPr>
      <w:r>
        <w:t>Circuit breakers: KRX employs both stock-level Volatility Interruption (VI) and market-wide SAPI mechanisms, consistent with the dual-layer approach used by most sophisticated exchanges</w:t>
      </w:r>
    </w:p>
    <w:p>
      <w:pPr>
        <w:pStyle w:val="Heading3"/>
      </w:pPr>
      <w:r>
        <w:t>10.4 Settlement and Access</w:t>
      </w:r>
    </w:p>
    <w:p>
      <w:pPr>
        <w:pStyle w:val="ListBullet"/>
      </w:pPr>
      <w:r>
        <w:t>Settlement: T+2 (Korea is not yet on T+1, unlike the US, Canada, and India)</w:t>
      </w:r>
    </w:p>
    <w:p>
      <w:pPr>
        <w:pStyle w:val="ListBullet"/>
      </w:pPr>
      <w:r>
        <w:t>Foreign access: Relatively open with foreign investor registration; foreign ownership limits apply per company. No Stock Connect-style mechanism exists, though MSCI EM inclusion has long been a goal (Korea remains in MSCI EM, with discussions about potential DM reclassification contingent on FX market reforms)</w:t>
      </w:r>
    </w:p>
    <w:p>
      <w:pPr>
        <w:pStyle w:val="Heading3"/>
      </w:pPr>
      <w:r>
        <w:t>10.5 Regulatory Framework</w:t>
      </w:r>
    </w:p>
    <w:p>
      <w:pPr>
        <w:pStyle w:val="ListBullet"/>
      </w:pPr>
      <w:r>
        <w:t>KRX operates under the Financial Services Commission (FSC) and Financial Supervisory Service (FSS), with KRX performing SRO functions -- a structure similar to JPX-R (Japan), SGX RegCo (Singapore), and JSE (South Africa)</w:t>
      </w:r>
    </w:p>
    <w:p>
      <w:pPr>
        <w:pStyle w:val="ListBullet"/>
      </w:pPr>
      <w:r>
        <w:t>The regulatory framework is well-developed and IOSCO-aligned, comparable to other advanced Asian markets</w:t>
      </w:r>
    </w:p>
    <w:p>
      <w:pPr>
        <w:pStyle w:val="Heading3"/>
      </w:pPr>
      <w:r>
        <w:t>10.6 Areas of Relative Strength</w:t>
      </w:r>
    </w:p>
    <w:p>
      <w:pPr>
        <w:pStyle w:val="ListBullet"/>
      </w:pPr>
      <w:r>
        <w:t>Continuous trading without lunch break (eliminated in 2000, ahead of many Asian peers)</w:t>
      </w:r>
    </w:p>
    <w:p>
      <w:pPr>
        <w:pStyle w:val="ListBullet"/>
      </w:pPr>
      <w:r>
        <w:t>Wide daily price limits (+/-30%) allowing efficient price discovery</w:t>
      </w:r>
    </w:p>
    <w:p>
      <w:pPr>
        <w:pStyle w:val="ListBullet"/>
      </w:pPr>
      <w:r>
        <w:t>Strong derivatives market (world-class options volume)</w:t>
      </w:r>
    </w:p>
    <w:p>
      <w:pPr>
        <w:pStyle w:val="ListBullet"/>
      </w:pPr>
      <w:r>
        <w:t>Well-developed electronic infrastructure</w:t>
      </w:r>
    </w:p>
    <w:p>
      <w:pPr>
        <w:pStyle w:val="Heading3"/>
      </w:pPr>
      <w:r>
        <w:t>10.7 Areas for Potential Enhancement</w:t>
      </w:r>
    </w:p>
    <w:p>
      <w:pPr>
        <w:pStyle w:val="ListBullet"/>
      </w:pPr>
      <w:r>
        <w:t>T+1 settlement adoption (behind US, Canada, India)</w:t>
      </w:r>
    </w:p>
    <w:p>
      <w:pPr>
        <w:pStyle w:val="ListBullet"/>
      </w:pPr>
      <w:r>
        <w:t>MSCI DM reclassification (requires FX market liberalization)</w:t>
      </w:r>
    </w:p>
    <w:p>
      <w:pPr>
        <w:pStyle w:val="ListBullet"/>
      </w:pPr>
      <w:r>
        <w:t>Extended trading hours consideration (23-hour trading trend)</w:t>
      </w:r>
    </w:p>
    <w:p>
      <w:pPr>
        <w:pStyle w:val="ListBullet"/>
      </w:pPr>
      <w:r>
        <w:t>Enhanced international connectivity mechanisms (no Stock Connect equivalent)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r>
        <w:t>This comparative analysis is derived from detailed exchange research files covering 22 exchanges. Individual source citations are documented in each exchange file located in `/01_equities/en/exchanges/` and system files in `/01_equities/en/systems/`. Key regulatory analysis files are in `/01_equities/en/regulations/`.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