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Euronext N.V. (Euronext)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2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(European New Exchange Technology)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https://www.euronext.com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2000 (formed 22 September 2000 through merger of Amsterdam, Brussels, and Paris exchanges)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Registered in the Netherlands (Amsterdam); operational HQ in Paris, France. Operates exchanges in Amsterdam, Brussels, Dublin, Lisbon, Milan, Oslo, and Paris; Athens added in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Publicly listed on Euronext Paris (ticker: ENX); reference shareholders include Caisse des Depots et Consignations (CDC), Euroclear, and other institutional investors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 (independent, self-listed)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Multi-national: AMF (France), AFM (Netherlands), FSMA (Belgium), CMVM (Portugal), CBI (Ireland), Finanstilsynet (Norway), CONSOB (Italy), HCMC (Greece) -- coordinated via the College of Euronext Regulators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~EUR 6.8 trillion aggregate across all Euronext markets (as of end 2025)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~1,900+ issuers across all markets (equities); plus ETFs, bonds, warrants, and structured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~EUR 11.0-13.8 billion ADV in cash equities (2025 quarterly range; full-year 2024 average ~EUR 10.5 billion)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~EUR 12.0 billion ADV (Q4 2025), up +14.0% YoY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1602: Amsterdam Stock Exchange (Amsterdamse Beurs) founded -- widely regarded as the world's first formal securities exchange</w:t>
      </w:r>
    </w:p>
    <w:p>
      <w:pPr>
        <w:pStyle w:val="ListBullet"/>
      </w:pPr>
      <w:r>
        <w:t>1724: Paris Bourse formally organized under royal decree</w:t>
      </w:r>
    </w:p>
    <w:p>
      <w:pPr>
        <w:pStyle w:val="ListBullet"/>
      </w:pPr>
      <w:r>
        <w:t>1801: Brussels Stock Exchange established</w:t>
      </w:r>
    </w:p>
    <w:p>
      <w:pPr>
        <w:pStyle w:val="ListBullet"/>
      </w:pPr>
      <w:r>
        <w:t>1891: Lisbon Stock Exchange (Bolsa de Valores de Lisboa) established</w:t>
      </w:r>
    </w:p>
    <w:p>
      <w:pPr>
        <w:pStyle w:val="ListBullet"/>
      </w:pPr>
      <w:r>
        <w:t>2000: Euronext N.V. formed through merger of Amsterdam Exchanges, Brussels Exchanges, and Paris Bourse SBF</w:t>
      </w:r>
    </w:p>
    <w:p>
      <w:pPr>
        <w:pStyle w:val="ListBullet"/>
      </w:pPr>
      <w:r>
        <w:t>2002: Euronext acquires LIFFE (London International Financial Futures and Options Exchange) and merges with Bolsa de Valores de Lisboa e Porto (BVLP), adding Lisbon</w:t>
      </w:r>
    </w:p>
    <w:p>
      <w:pPr>
        <w:pStyle w:val="ListBullet"/>
      </w:pPr>
      <w:r>
        <w:t>2007: Euronext merges with NYSE Group to form NYSE Euronext, creating the first transatlantic exchange group</w:t>
      </w:r>
    </w:p>
    <w:p>
      <w:pPr>
        <w:pStyle w:val="ListBullet"/>
      </w:pPr>
      <w:r>
        <w:t>2013: IntercontinentalExchange (ICE) acquires NYSE Euronext for ~USD 11 billion</w:t>
      </w:r>
    </w:p>
    <w:p>
      <w:pPr>
        <w:pStyle w:val="ListBullet"/>
      </w:pPr>
      <w:r>
        <w:t>2014: Euronext re-IPOs as an independent company on Euronext Amsterdam and Paris (June 2014); ICE retains NYSE</w:t>
      </w:r>
    </w:p>
    <w:p>
      <w:pPr>
        <w:pStyle w:val="ListBullet"/>
      </w:pPr>
      <w:r>
        <w:t>2018: Euronext acquires the Irish Stock Exchange (renamed Euronext Dublin); Optiq trading platform goes live for cash markets</w:t>
      </w:r>
    </w:p>
    <w:p>
      <w:pPr>
        <w:pStyle w:val="ListBullet"/>
      </w:pPr>
      <w:r>
        <w:t>2019: Euronext completes acquisition of Oslo Bors VPS (Oslo Stock Exchange and central securities depository)</w:t>
      </w:r>
    </w:p>
    <w:p>
      <w:pPr>
        <w:pStyle w:val="ListBullet"/>
      </w:pPr>
      <w:r>
        <w:t>2020: Acquires Nord Pool (European power exchange) and VP Securities (Danish CSD)</w:t>
      </w:r>
    </w:p>
    <w:p>
      <w:pPr>
        <w:pStyle w:val="ListBullet"/>
      </w:pPr>
      <w:r>
        <w:t>2021: Euronext completes acquisition of Borsa Italiana Group (including MTS and CC&amp;G, now Euronext Clearing) from LSEG for EUR 4,444 million -- transformative deal making Italy its largest revenue contributor</w:t>
      </w:r>
    </w:p>
    <w:p>
      <w:pPr>
        <w:pStyle w:val="ListBullet"/>
      </w:pPr>
      <w:r>
        <w:t>2022: Core Data Centre migrated from Basildon (UK) to Bergamo, Italy (Aruba IT3); completed 6 June 2022</w:t>
      </w:r>
    </w:p>
    <w:p>
      <w:pPr>
        <w:pStyle w:val="ListBullet"/>
      </w:pPr>
      <w:r>
        <w:t>2023: Borsa Italiana cash markets migrated to Optiq platform (Phase 1 and Phase 2)</w:t>
      </w:r>
    </w:p>
    <w:p>
      <w:pPr>
        <w:pStyle w:val="ListBullet"/>
      </w:pPr>
      <w:r>
        <w:t>2024: Borsa Italiana derivatives migrated to Optiq (Phase 3, final); Euronext Clearing expanded to all Euronext financial derivatives markets, completing separation from LCH SA</w:t>
      </w:r>
    </w:p>
    <w:p>
      <w:pPr>
        <w:pStyle w:val="ListBullet"/>
      </w:pPr>
      <w:r>
        <w:t>2025: Acquisition of ATHEX Group (Athens Stock Exchange, ~75.6% stake by year-end); acquisition of Admincontrol (Nordic SaaS); launched Mini Bond Futures on European government bonds; Nasdaq Nordic power futures acquisition announced; full-year adjusted EBITDA of EUR 1,143.1 million (+13.6%)</w:t>
      </w:r>
    </w:p>
    <w:p>
      <w:pPr>
        <w:pStyle w:val="ListBullet"/>
      </w:pPr>
      <w:r>
        <w:t>2026: Power futures launch (March 2026); European CSD harmonization and Repo market expansion in progress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Regulated Market -- Compartment 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Large-cap equities (market cap &gt; EUR 1 billion); flagship segment subject to full EU Regulated Market requirements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3-year audited financial history, minimum 25% free float, EU Prospectus Regulation-compliant prospectus, sponsor/listing agent required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Regulated Market -- Compartment B**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Mid-cap equities (market cap EUR 150 million - 1 billion)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as Compartment A; compartment classification is automatic based on market cap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Regulated Market -- Compartment C**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Small-cap equities (market cap &lt; EUR 150 million)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as Compartment 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Growth**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SME Growth Market (MTF under MiFID II) for small and mid-sized companies seeking simplified listing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minimum market cap, 2-year financial statements (1 year in some jurisdictions), free float negotiable, Listing Sponsor required, lighter ongoing reporting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Access**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Entry-level MTF for start-ups and SMEs; not a Regulated Market under EU directives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Simplified admission criteria, no minimum financial history, Listing Sponsor required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**Euronext Access+**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Special compartment within Euronext Access for fast-growing SMEs; acts as a springboard to Euronext Growth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Additional governance and reporting commitments vs. standard Access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**Professional Segment**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Segment of the Regulated Market reserved for qualified/institutional investors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Specific eligibility criteria; used for specialist debt instruments and structured products</w:t>
            </w:r>
          </w:p>
        </w:tc>
      </w:tr>
    </w:tbl>
    <w:p/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(CET/CEST)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(Winter)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Pre-opening (Order Entry)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07:15 - 09:00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06:15 - 08:00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can be entered, amended, cancelled; indicative prices calculated but no matching occurs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Auction (Call Phase + Uncrossing)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(+random end)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(+random end)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Accumulated orders matched at a single equilibrium price; random end period (up to 30 seconds) prevents manipulation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Order-driven continuous matching with price/time priority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Pre-closing (Order Entry)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17:30 - 17:35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accumulate for closing auction; no matching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Auction (Uncrossing)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17:35 (+random end)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(+random end)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Determines official closing price; random end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Trading at Last (TAL)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~17:35 - 17:40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~16:35 - 16:40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execute only at the established closing price; provides additional closing liquidity</w:t>
            </w:r>
          </w:p>
        </w:tc>
      </w:tr>
    </w:tbl>
    <w:p/>
    <w:p>
      <w:r>
        <w:t>Note: Times shown are for the harmonized schedule across Amsterdam, Brussels, Paris, and Lisbon. Oslo follows 09:00-16:20 CET for continuous trading with closing auction at 16:20-16:25 CET. Milan (Borsa Italiana) follows 09:00-17:30 CET with specific auction timing. Dublin follows the harmonized schedule. CET = UTC+1 (winter), CEST = UTC+2 (summer).</w:t>
      </w:r>
    </w:p>
    <w:p>
      <w:pPr>
        <w:pStyle w:val="Heading3"/>
      </w:pPr>
      <w:r>
        <w:t>2.3 Tick Sizes</w:t>
      </w:r>
    </w:p>
    <w:p>
      <w:r>
        <w:t>Euronext follows the MiFID II tick size regime (RTS 11, Delegated Regulation EU 2017/588). Tick sizes depend on the price level and the average daily number of transactions (ADNT) liquidity band of the instrument.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Price Range (EUR)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Liquidity Band 1 (&lt; 10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Liquidity Band 3 (80-600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Liquidity Band 6 (&gt;= 9000 ADNT)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10 - 19.9999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</w:tbl>
    <w:p/>
    <w:p>
      <w:r>
        <w:t>[Source: ESMA RTS 11 as applied by Euronext; representative values shown -- full table has 6 liquidity bands and 13 price ranges]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lot size: 1 share for most equities</w:t>
      </w:r>
    </w:p>
    <w:p>
      <w:pPr>
        <w:pStyle w:val="ListBullet"/>
      </w:pPr>
      <w:r>
        <w:t>No minimum lot size for order book trading</w:t>
      </w:r>
    </w:p>
    <w:p>
      <w:pPr>
        <w:pStyle w:val="ListBullet"/>
      </w:pPr>
      <w:r>
        <w:t>Block trade thresholds defined under MiFID II Large-in-Scale (LIS) waivers, varying by instrument liquidity</w:t>
      </w:r>
    </w:p>
    <w:p>
      <w:pPr>
        <w:pStyle w:val="ListBullet"/>
      </w:pPr>
      <w:r>
        <w:t>Odd lot trading is supported on the central order book</w:t>
      </w:r>
    </w:p>
    <w:p>
      <w:pPr>
        <w:pStyle w:val="Heading3"/>
      </w:pPr>
      <w:r>
        <w:t>2.5 Market Maker / Liquidity Provider Programs</w:t>
      </w:r>
    </w:p>
    <w:p>
      <w:pPr>
        <w:pStyle w:val="ListBullet"/>
      </w:pPr>
      <w:r>
        <w:t>Liquidity Provider (LP) Program: Euronext appoints Liquidity Providers for specific securities (especially mid/small-caps, ETFs) who commit to maintaining continuous two-sided quotes with maximum spread and minimum size obligations; in return they receive reduced trading fees</w:t>
      </w:r>
    </w:p>
    <w:p>
      <w:pPr>
        <w:pStyle w:val="ListBullet"/>
      </w:pPr>
      <w:r>
        <w:t>Market Maker Programs: Dedicated programs for ETFs, structured products, warrants, and derivatives with tiered fee rebates based on quoting performance</w:t>
      </w:r>
    </w:p>
    <w:p>
      <w:pPr>
        <w:pStyle w:val="ListBullet"/>
      </w:pPr>
      <w:r>
        <w:t>Supplemental Liquidity Provider (SLP): Additional scheme targeting blue-chip and index constituents to ensure tight spreads and deep liquidity</w:t>
      </w:r>
    </w:p>
    <w:p>
      <w:pPr>
        <w:pStyle w:val="ListBullet"/>
      </w:pPr>
      <w:r>
        <w:t>Euronext Block: Midpoint matching facility for large block orders, allowing institutional participants to trade at midpoint without information leakage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Auction: Pre-opening phase begins at 07:15 CET allowing order accumulation. At 09:00, the uncrossing algorithm determines the opening price by maximizing executable volume. A random end period (up to 30 seconds) is applied to prevent last-second manipulation. Surplus orders remain on the book for continuous trading</w:t>
      </w:r>
    </w:p>
    <w:p>
      <w:pPr>
        <w:pStyle w:val="ListBullet"/>
      </w:pPr>
      <w:r>
        <w:t>Closing Auction: At 17:30, continuous trading halts and a pre-closing order accumulation phase begins (typically 5 minutes). The closing auction uncrossing determines the official closing price used by index providers and fund NAV calculations. Random end period applies</w:t>
      </w:r>
    </w:p>
    <w:p>
      <w:pPr>
        <w:pStyle w:val="ListBullet"/>
      </w:pPr>
      <w:r>
        <w:t>Intraday (Volatility) Auction: Triggered automatically when a potential trade would breach dynamic or static price collars. The instrument enters a "reservation" period (typically 5 minutes) during which orders accumulate, followed by an uncrossing to resume trading at a new equilibrium price</w:t>
      </w:r>
    </w:p>
    <w:p>
      <w:pPr>
        <w:pStyle w:val="ListBullet"/>
      </w:pPr>
      <w:r>
        <w:t>Auction Price Discovery Algorithm: Maximizes executable volume; if multiple prices yield the same volume, minimizes surplus (unmatched) volume; if still tied, selects price closest to the last reference price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Order-driven market with price/time priority (first priority: best price; second priority: earliest timestamp at the same price)</w:t>
      </w:r>
    </w:p>
    <w:p>
      <w:pPr>
        <w:pStyle w:val="ListBullet"/>
      </w:pPr>
      <w:r>
        <w:t>Pure central limit order book (CLOB) model for liquid equities</w:t>
      </w:r>
    </w:p>
    <w:p>
      <w:pPr>
        <w:pStyle w:val="ListBullet"/>
      </w:pPr>
      <w:r>
        <w:t>Market makers provide supplemental liquidity but do not operate as obligatory dealers</w:t>
      </w:r>
    </w:p>
    <w:p>
      <w:pPr>
        <w:pStyle w:val="ListBullet"/>
      </w:pPr>
      <w:r>
        <w:t>Euronext Block: Dark midpoint matching service operating as an MTF for block-sized institutional orders</w:t>
      </w:r>
    </w:p>
    <w:p>
      <w:pPr>
        <w:pStyle w:val="ListBullet"/>
      </w:pPr>
      <w:r>
        <w:t>All Euronext cash markets share a single harmonized matching engine via the Optiq platform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Primary price discovery through opening and closing auctions and continuous order book interaction</w:t>
      </w:r>
    </w:p>
    <w:p>
      <w:pPr>
        <w:pStyle w:val="ListBullet"/>
      </w:pPr>
      <w:r>
        <w:t>The uncrossing algorithm is designed to maximize volume at a single equilibrium price</w:t>
      </w:r>
    </w:p>
    <w:p>
      <w:pPr>
        <w:pStyle w:val="ListBullet"/>
      </w:pPr>
      <w:r>
        <w:t>Reference prices for circuit breaker collars are derived from auction prices and dynamically updated during continuous trading (last traded price becomes new dynamic reference)</w:t>
      </w:r>
    </w:p>
    <w:p>
      <w:pPr>
        <w:pStyle w:val="ListBullet"/>
      </w:pPr>
      <w:r>
        <w:t>Closing price established via closing auction is the official reference for settlement, index calculation, and derivative valuation</w:t>
      </w:r>
    </w:p>
    <w:p>
      <w:pPr>
        <w:pStyle w:val="ListBullet"/>
      </w:pPr>
      <w:r>
        <w:t>Trading at Last (TAL) session allows additional volume to trade at the closing price, further concentrating closing liquidity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to buy/sell at a specified price or better; rests on the book if not immediately matched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best available prices until fully filled; any unmatched portion converts to a limit order at the last execution price (Euronext-specific behavior)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Market-to-Limit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best available price; any unfilled quantity is converted to a limit order at the price of the initial 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Loss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the market price reaches a specified stop price; becomes a market order upon activation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the market price reaches a specified stop price; becomes a limit order at a specified limit price upon activation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Iceberg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Displays only a portion (peak quantity) of the total order; as the visible portion is filled, a new peak is automatically refreshed from the hidden reserve; each refresh gets a new timestamp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Pegged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Price automatically tracks a reference price (best bid, best offer, or midpoint); adjusts in real time as the BBO changes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Pegged-to-Midpoint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Pegged to the midpoint of the best bid and offer; commonly used in Euronext Block for dark trading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Mid-Point Order (Euronext Block)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midpoint of the primary market BBO; designed for large institutional block trades with reduced market impact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Trailing Stop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Stop price adjusts with favorable market movements by a defined offset; triggered on adverse moves [unverified]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 (DAY)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day only; cancelled at end of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executed or cancelled (subject to maximum duration set by the exchange, typically 365 days)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until a specified expiry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as much as possible immediately; cancel any remaining quantity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executed in full immediately or the entire order is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Valid for Closing Auction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participates only in the closing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Valid for Opening Auction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participates only in the opening auction [unverified]</w:t>
            </w:r>
          </w:p>
        </w:tc>
      </w:tr>
    </w:tbl>
    <w:p/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can be amended (price, quantity) or cancelled during any phase via OEG (Order Entry Gateway) using FIX 5.0 or native SBE protocol</w:t>
      </w:r>
    </w:p>
    <w:p>
      <w:pPr>
        <w:pStyle w:val="ListBullet"/>
      </w:pPr>
      <w:r>
        <w:t>Price amendments that improve the order (more aggressive price) result in a new timestamp (loss of time priority)</w:t>
      </w:r>
    </w:p>
    <w:p>
      <w:pPr>
        <w:pStyle w:val="ListBullet"/>
      </w:pPr>
      <w:r>
        <w:t>Quantity reduction preserves time priority; quantity increase may or may not depending on the order type</w:t>
      </w:r>
    </w:p>
    <w:p>
      <w:pPr>
        <w:pStyle w:val="ListBullet"/>
      </w:pPr>
      <w:r>
        <w:t>During auction call periods, orders can be entered, amended, and cancelled but no matching occurs</w:t>
      </w:r>
    </w:p>
    <w:p>
      <w:pPr>
        <w:pStyle w:val="ListBullet"/>
      </w:pPr>
      <w:r>
        <w:t>Mass cancellation functionality available for risk management; Kill Switch allows cancellation of all outstanding orders for a member firm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**Optiq**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development by Euronext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Modular, low-latency architecture; event-driven with latest-generation components; single harmonized platform across all Euronext markets (cash and derivatives)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 matching engine with price/time priority; multi-market, multi-asset capable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~15 microseconds average (order round-trip and market data)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 to 1 million messages per second ingestion rate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Designed for highly scalable throughput; tenfold capacity increase over predecessor systems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2016-2018 (MDG in July 2017; cash markets live July 2018; derivatives 2019)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Pre-2000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Various national systems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Each exchange operated its own platform (e.g., Paris NSC, Amsterdam AEB)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2000-2007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 (Nouveau Systeme de Cotation)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Harmonized platform across Paris, Amsterdam, Brussels; originally developed by SBF/Paris Bourse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2007-2014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UTP (Universal Trading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Euronext era; evolution of NSC with enhanced capacity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2016-2018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(phased rollout)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MDG live July 2017; fixed income April 2018; full cash markets July 2018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 order entry and matching migrated to Optiq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2020-2021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for Oslo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Oslo Bors markets migrated to Optiq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2022-2024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for Borsa Italiana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Three-phase migration: cash Phase 1 (2023), cash Phase 2 (2023), derivatives Phase 3 (April 2024)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Programming Language: Proprietary low-latency C/C++ stack [unverified]</w:t>
      </w:r>
    </w:p>
    <w:p>
      <w:pPr>
        <w:pStyle w:val="ListBullet"/>
      </w:pPr>
      <w:r>
        <w:t>Persistence Layer: Confluent Platform with Apache Kafka for the streaming/persistence layer; reliable, scalable streaming infrastructure supporting millisecond latencies with zero message loss</w:t>
      </w:r>
    </w:p>
    <w:p>
      <w:pPr>
        <w:pStyle w:val="ListBullet"/>
      </w:pPr>
      <w:r>
        <w:t>Network Protocol: TCP/IP for Order Entry Gateways (OEG); UDP/IP multicast for Market Data Gateway (MDG)</w:t>
      </w:r>
    </w:p>
    <w:p>
      <w:pPr>
        <w:pStyle w:val="ListBullet"/>
      </w:pPr>
      <w:r>
        <w:t>Encoding: SBE (Simple Binary Encoding, a FIX standard for binary encoding) for native low-latency access; FIX 5.0 for standard order entry</w:t>
      </w:r>
    </w:p>
    <w:p>
      <w:pPr>
        <w:pStyle w:val="ListBullet"/>
      </w:pPr>
      <w:r>
        <w:t>Market Data: Optiq MDG uses SBE over UDP multicast; supports LZ4 compression for low-bandwidth connections</w:t>
      </w:r>
    </w:p>
    <w:p>
      <w:pPr>
        <w:pStyle w:val="ListBullet"/>
      </w:pPr>
      <w:r>
        <w:t>Hardware: Commodity server infrastructure hosted at Aruba IT3 data centre in Bergamo, Italy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Primary data centre: Aruba Global Cloud Data Centre IT3, Bergamo, Italy (operational since June 2022)</w:t>
      </w:r>
    </w:p>
    <w:p>
      <w:pPr>
        <w:pStyle w:val="ListBullet"/>
      </w:pPr>
      <w:r>
        <w:t>Fully redundant architecture with real-time replication</w:t>
      </w:r>
    </w:p>
    <w:p>
      <w:pPr>
        <w:pStyle w:val="ListBullet"/>
      </w:pPr>
      <w:r>
        <w:t>Dual market data feeds for client-side arbitration</w:t>
      </w:r>
    </w:p>
    <w:p>
      <w:pPr>
        <w:pStyle w:val="ListBullet"/>
      </w:pPr>
      <w:r>
        <w:t>Business continuity plans aligned with multi-national regulatory requirements across all jurisdictions</w:t>
      </w:r>
    </w:p>
    <w:p>
      <w:pPr>
        <w:pStyle w:val="ListBullet"/>
      </w:pPr>
      <w:r>
        <w:t>Regular disaster recovery testing as mandated by local regulators (AMF, CONSOB, AFM, etc.)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(Market Data Gateway)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Native binary market data feed using SBE encoding over UDP multicast; provides full depth and trade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 real-time market data for algorithmic and HFT firms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Lite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Lighter version of MDG with reduced data scope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Firms requiring simplified real-time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 MDG Cloud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Cloud-delivered market data service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Remote participants not co-located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via FIX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Firms preferring standardized FIX connectivity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Reference Data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Daily instrument reference data (tick tables, trading calendars, instrument parameters)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Pre-trade setup and static data maintenance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 (Last Price): Last traded price, trade volume, timestamps; suitable for display and monitoring</w:t>
      </w:r>
    </w:p>
    <w:p>
      <w:pPr>
        <w:pStyle w:val="ListBullet"/>
      </w:pPr>
      <w:r>
        <w:t>Level 2 (Full Depth): Full order book depth with top 10 price levels (MBP -- Market by Price) or top 10 individual orders (MBO -- Market by Order) for both bid and offer sides</w:t>
      </w:r>
    </w:p>
    <w:p>
      <w:pPr>
        <w:pStyle w:val="ListBullet"/>
      </w:pPr>
      <w:r>
        <w:t>Continental Cash Consolidated Pack: Bundled Level 1 and Level 2 data across all Euronext cash markets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Market data disseminated via UDP multicast (IPv4) from the Bergamo data centre</w:t>
      </w:r>
    </w:p>
    <w:p>
      <w:pPr>
        <w:pStyle w:val="ListBullet"/>
      </w:pPr>
      <w:r>
        <w:t>Dual redundant feeds for resilience</w:t>
      </w:r>
    </w:p>
    <w:p>
      <w:pPr>
        <w:pStyle w:val="ListBullet"/>
      </w:pPr>
      <w:r>
        <w:t>MBO and MBP snapshot services published in multicast UDP using same distribution as core MDG</w:t>
      </w:r>
    </w:p>
    <w:p>
      <w:pPr>
        <w:pStyle w:val="ListBullet"/>
      </w:pPr>
      <w:r>
        <w:t>Optiq MDG supports dynamic identification of instrument book depth levels (multiple depth order books supported)</w:t>
      </w:r>
    </w:p>
    <w:p>
      <w:pPr>
        <w:pStyle w:val="ListBullet"/>
      </w:pPr>
      <w:r>
        <w:t>LZ4 compression available for low-bandwidth connections (100 Mbps) and all snapshots</w:t>
      </w:r>
    </w:p>
    <w:p>
      <w:pPr>
        <w:pStyle w:val="ListBullet"/>
      </w:pPr>
      <w:r>
        <w:t>Distribution through data vendors (Refinitiv/LSEG, Bloomberg, ICE, etc.) and direct connections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Euronext provides historical tick data, end-of-day data, and corporate action data through its Euronext Data Services division</w:t>
      </w:r>
    </w:p>
    <w:p>
      <w:pPr>
        <w:pStyle w:val="ListBullet"/>
      </w:pPr>
      <w:r>
        <w:t>Available via file download or API delivery</w:t>
      </w:r>
    </w:p>
    <w:p>
      <w:pPr>
        <w:pStyle w:val="ListBullet"/>
      </w:pPr>
      <w:r>
        <w:t>MiFID II-compliant data products (pre-trade and post-trade transparency data)</w:t>
      </w:r>
    </w:p>
    <w:p>
      <w:pPr>
        <w:pStyle w:val="ListBullet"/>
      </w:pPr>
      <w:r>
        <w:t>Delayed data (15-minute delay) available free for internal use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Membership is required for direct trading access; members must be authorized investment firms or credit institutions regulated in an EEA jurisdiction</w:t>
      </w:r>
    </w:p>
    <w:p>
      <w:pPr>
        <w:pStyle w:val="ListBullet"/>
      </w:pPr>
      <w:r>
        <w:t>Remote membership available for firms regulated in other EEA countries (passporting under MiFID II)</w:t>
      </w:r>
    </w:p>
    <w:p>
      <w:pPr>
        <w:pStyle w:val="ListBullet"/>
      </w:pPr>
      <w:r>
        <w:t>Third-country firms may access via sponsored access through an existing member</w:t>
      </w:r>
    </w:p>
    <w:p>
      <w:pPr>
        <w:pStyle w:val="ListBullet"/>
      </w:pPr>
      <w:r>
        <w:t>Separate membership regimes for cash and derivatives markets</w:t>
      </w:r>
    </w:p>
    <w:p>
      <w:pPr>
        <w:pStyle w:val="ListBullet"/>
      </w:pPr>
      <w:r>
        <w:t>Members must comply with the Euronext Rule Book (Harmonised Rules, Book I) and local supplementary rules (Book II)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OEG (Order Entry Gateway) -- SBE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Native binary protocol using SBE encoding; lowest latency option for order submission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OEG -- FIX 5.0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Industry-standard FIX 5.0 protocol for order entry; slightly higher latency than SBE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Optiq MDG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market data feed via UDP multicast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Sponsored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Broker/member provides direct market access (DMA) to non-member clients through its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ISV (Independent Software Vendor)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Pre-certified third-party trading platforms connected to Euronext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 Aruba Global Cloud Data Centre IT3, Bergamo, Italy (primary data centre since June 2022)</w:t>
      </w:r>
    </w:p>
    <w:p>
      <w:pPr>
        <w:pStyle w:val="ListBullet"/>
      </w:pPr>
      <w:r>
        <w:t>Offerings: Full-rack and partial-rack co-location within the same facility as the matching engines; provides lowest possible latency (~15 microseconds round-trip)</w:t>
      </w:r>
    </w:p>
    <w:p>
      <w:pPr>
        <w:pStyle w:val="ListBullet"/>
      </w:pPr>
      <w:r>
        <w:t>Carriers: Multiple certified data centre carriers provide direct connectivity to the Bergamo facility</w:t>
      </w:r>
    </w:p>
    <w:p>
      <w:pPr>
        <w:pStyle w:val="ListBullet"/>
      </w:pPr>
      <w:r>
        <w:t>Cross-connects: Direct cross-connect options within the data centre to trading participants, ISVs, and market data vendors</w:t>
      </w:r>
    </w:p>
    <w:p>
      <w:pPr>
        <w:pStyle w:val="ListBullet"/>
      </w:pPr>
      <w:r>
        <w:t>Proximity hosting: Available for firms that do not require full co-location but want reduced latency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5.0 (OEG)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Standard order entry, modification, cancellation; trade confirmations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SBE Native (OEG)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Low-latency binary order entry for HFT and algorithmic trading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Drop Copy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Real-time trade capture and monitoring for compliance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MDG SBE (UDP)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Real-time market data reception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REST API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Reference data, corporate actions, listing information (Euronext Data Services) [unverified]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All members and ISVs must complete conformance testing before gaining production access</w:t>
      </w:r>
    </w:p>
    <w:p>
      <w:pPr>
        <w:pStyle w:val="ListBullet"/>
      </w:pPr>
      <w:r>
        <w:t>Euronext provides a dedicated test environment (External Customer Testing, or ECT) replicating the production Optiq environment</w:t>
      </w:r>
    </w:p>
    <w:p>
      <w:pPr>
        <w:pStyle w:val="ListBullet"/>
      </w:pPr>
      <w:r>
        <w:t>Separate certification required for SBE native and FIX protocols</w:t>
      </w:r>
    </w:p>
    <w:p>
      <w:pPr>
        <w:pStyle w:val="ListBullet"/>
      </w:pPr>
      <w:r>
        <w:t>Migration testing windows provided ahead of major platform upgrades or new market onboarding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p>
      <w:r>
        <w:t>Euronext employs a multi-layered safeguard system combining dynamic and static collars: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Reference Price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Dynamic Collar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Last traded price (updated after each trade)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Percentage varies by instrument liquidity/index membership (e.g., +/-2% to +/-5% typical)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Instrument enters reservation (volatility auction) if a potential trade would breach the collar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Static Collar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Opening price of the day or last reference price from previous session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+/-8% for flagship index constituents; +/-10% for other instruments (typical)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Instrument enters reservation if potential trade breaches static threshold from the daily reference price</w:t>
            </w:r>
          </w:p>
        </w:tc>
      </w:tr>
    </w:tbl>
    <w:p/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Dynamic Collar Breach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Potential trade would breach dynamic price band around last traded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Reservation period (~5 minutes) followed by volatility auction uncrossing with random end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Static Collar Breach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Potential trade would breach static price band around the daily reference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Reservation period (~5 minutes) followed by volatility auction uncrossing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Multiple Successive Triggers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Repeated reservation triggers on same instrument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Duration may be extended; Market Operations may intervene manually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Market-wide Halt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Extraordinary circumstances (coordinated with regulators)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Duration determined by regulators; Euronext Market Operations coordinates with the College of Regulators</w:t>
            </w:r>
          </w:p>
        </w:tc>
      </w:tr>
    </w:tbl>
    <w:p/>
    <w:p>
      <w:pPr>
        <w:pStyle w:val="Heading3"/>
      </w:pPr>
      <w:r>
        <w:t>8.3 Pre-trade Risk Controls</w:t>
      </w:r>
    </w:p>
    <w:p>
      <w:pPr>
        <w:pStyle w:val="ListBullet"/>
      </w:pPr>
      <w:r>
        <w:t>Aberrant order rejection: Orders that are unusually large in size, quantity, or price are automatically rejected before entering the order book</w:t>
      </w:r>
    </w:p>
    <w:p>
      <w:pPr>
        <w:pStyle w:val="ListBullet"/>
      </w:pPr>
      <w:r>
        <w:t>Maximum order size limits: Configurable per instrument to prevent fat-finger errors</w:t>
      </w:r>
    </w:p>
    <w:p>
      <w:pPr>
        <w:pStyle w:val="ListBullet"/>
      </w:pPr>
      <w:r>
        <w:t>Throttling: Rate-limiting controls on message submission per connection to prevent system overload</w:t>
      </w:r>
    </w:p>
    <w:p>
      <w:pPr>
        <w:pStyle w:val="ListBullet"/>
      </w:pPr>
      <w:r>
        <w:t>Price collar validation: Orders priced outside the current collar range are rejected or trigger a reservation</w:t>
      </w:r>
    </w:p>
    <w:p>
      <w:pPr>
        <w:pStyle w:val="ListBullet"/>
      </w:pPr>
      <w:r>
        <w:t>Member-level controls: Members must implement their own pre-trade risk management in accordance with MiFID II/RTS 6 requirements (algorithmic trading controls)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Euronext provides a Kill Switch functionality that allows members (or Euronext Market Operations) to cancel all outstanding orders for a specific member/connection in a single action</w:t>
      </w:r>
    </w:p>
    <w:p>
      <w:pPr>
        <w:pStyle w:val="ListBullet"/>
      </w:pPr>
      <w:r>
        <w:t>Compliant with MiFID II Article 48 requirements for circuit breaker and kill switch mechanisms</w:t>
      </w:r>
    </w:p>
    <w:p>
      <w:pPr>
        <w:pStyle w:val="ListBullet"/>
      </w:pPr>
      <w:r>
        <w:t>Members can also implement their own kill switch through OEG mass cancellation messages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College of Euronext Regulators: Multi-national coordination body comprising:</w:t>
      </w:r>
    </w:p>
    <w:p>
      <w:pPr>
        <w:pStyle w:val="ListBullet"/>
      </w:pPr>
      <w:r>
        <w:t>AMF (Autorite des Marches Financiers) -- France (lead regulator)</w:t>
      </w:r>
    </w:p>
    <w:p>
      <w:pPr>
        <w:pStyle w:val="ListBullet"/>
      </w:pPr>
      <w:r>
        <w:t>AFM (Autoriteit Financiele Markten) -- Netherlands</w:t>
      </w:r>
    </w:p>
    <w:p>
      <w:pPr>
        <w:pStyle w:val="ListBullet"/>
      </w:pPr>
      <w:r>
        <w:t>FSMA (Financial Services and Markets Authority) -- Belgium</w:t>
      </w:r>
    </w:p>
    <w:p>
      <w:pPr>
        <w:pStyle w:val="ListBullet"/>
      </w:pPr>
      <w:r>
        <w:t>CMVM (Comissao do Mercado de Valores Mobiliarios) -- Portugal</w:t>
      </w:r>
    </w:p>
    <w:p>
      <w:pPr>
        <w:pStyle w:val="ListBullet"/>
      </w:pPr>
      <w:r>
        <w:t>CBI (Central Bank of Ireland) -- Ireland</w:t>
      </w:r>
    </w:p>
    <w:p>
      <w:pPr>
        <w:pStyle w:val="ListBullet"/>
      </w:pPr>
      <w:r>
        <w:t>Finanstilsynet (Financial Supervisory Authority) -- Norway</w:t>
      </w:r>
    </w:p>
    <w:p>
      <w:pPr>
        <w:pStyle w:val="ListBullet"/>
      </w:pPr>
      <w:r>
        <w:t>CONSOB (Commissione Nazionale per le Societa e la Borsa) -- Italy</w:t>
      </w:r>
    </w:p>
    <w:p>
      <w:pPr>
        <w:pStyle w:val="ListBullet"/>
      </w:pPr>
      <w:r>
        <w:t>HCMC (Hellenic Capital Market Commission) -- Greece (from 2025)</w:t>
      </w:r>
    </w:p>
    <w:p>
      <w:pPr>
        <w:pStyle w:val="ListBullet"/>
      </w:pPr>
      <w:r>
        <w:t>The College operates under a Memorandum of Understanding coordinating supervision across all Euronext jurisdictions</w:t>
      </w:r>
    </w:p>
    <w:p>
      <w:pPr>
        <w:pStyle w:val="Heading3"/>
      </w:pPr>
      <w:r>
        <w:t>9.2 Key Regulations</w:t>
      </w:r>
    </w:p>
    <w:p>
      <w:pPr>
        <w:pStyle w:val="ListBullet"/>
      </w:pPr>
      <w:r>
        <w:t>MiFID II / MiFIR (Markets in Financial Instruments Directive/Regulation): Core framework governing Euronext as a Regulated Market operator and MTF</w:t>
      </w:r>
    </w:p>
    <w:p>
      <w:pPr>
        <w:pStyle w:val="ListBullet"/>
      </w:pPr>
      <w:r>
        <w:t>Market Abuse Regulation (MAR): EU Regulation 596/2014 governing insider dealing, market manipulation, and disclosure</w:t>
      </w:r>
    </w:p>
    <w:p>
      <w:pPr>
        <w:pStyle w:val="ListBullet"/>
      </w:pPr>
      <w:r>
        <w:t>EU Prospectus Regulation: Governs prospectus requirements for securities admitted to Euronext Regulated Markets</w:t>
      </w:r>
    </w:p>
    <w:p>
      <w:pPr>
        <w:pStyle w:val="ListBullet"/>
      </w:pPr>
      <w:r>
        <w:t>CSDR (Central Securities Depositories Regulation): Governs Euronext Securities (CSDs in Denmark, Italy, Norway)</w:t>
      </w:r>
    </w:p>
    <w:p>
      <w:pPr>
        <w:pStyle w:val="ListBullet"/>
      </w:pPr>
      <w:r>
        <w:t>EMIR (European Market Infrastructure Regulation): Governs Euronext Clearing (formerly CC&amp;G)</w:t>
      </w:r>
    </w:p>
    <w:p>
      <w:pPr>
        <w:pStyle w:val="ListBullet"/>
      </w:pPr>
      <w:r>
        <w:t>Euronext Rule Book: Harmonised Rules (Book I, applicable across all markets) and local supplementary rules (Book II, market-specific)</w:t>
      </w:r>
    </w:p>
    <w:p>
      <w:pPr>
        <w:pStyle w:val="ListBullet"/>
      </w:pPr>
      <w:r>
        <w:t>RTS 6 (Algorithmic Trading): Requirements for algorithmic trading controls, testing, and record-keeping</w:t>
      </w:r>
    </w:p>
    <w:p>
      <w:pPr>
        <w:pStyle w:val="ListBullet"/>
      </w:pPr>
      <w:r>
        <w:t>RTS 11 (Tick Size Regime): Standardized tick sizes based on price and liquidity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Euronext operates a centralized Market Surveillance department monitoring all markets in real time</w:t>
      </w:r>
    </w:p>
    <w:p>
      <w:pPr>
        <w:pStyle w:val="ListBullet"/>
      </w:pPr>
      <w:r>
        <w:t>Surveillance covers potential market abuse (insider trading, price manipulation, spoofing, layering)</w:t>
      </w:r>
    </w:p>
    <w:p>
      <w:pPr>
        <w:pStyle w:val="ListBullet"/>
      </w:pPr>
      <w:r>
        <w:t>Cross-market surveillance across all Euronext venues (regulated markets, Growth, Access, Block)</w:t>
      </w:r>
    </w:p>
    <w:p>
      <w:pPr>
        <w:pStyle w:val="ListBullet"/>
      </w:pPr>
      <w:r>
        <w:t>Automated alert systems detect anomalous trading patterns, unusual price movements, and order book irregularities</w:t>
      </w:r>
    </w:p>
    <w:p>
      <w:pPr>
        <w:pStyle w:val="ListBullet"/>
      </w:pPr>
      <w:r>
        <w:t>Findings reported to relevant national regulators (AMF, CONSOB, etc.) for enforcement action</w:t>
      </w:r>
    </w:p>
    <w:p>
      <w:pPr>
        <w:pStyle w:val="ListBullet"/>
      </w:pPr>
      <w:r>
        <w:t>Euronext also operates as an ARM (Approved Reporting Mechanism) and APA (Approved Publication Arrangement) under MiFID II for trade reporting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Members must report transactions to national competent authorities under MiFIR Article 26</w:t>
      </w:r>
    </w:p>
    <w:p>
      <w:pPr>
        <w:pStyle w:val="ListBullet"/>
      </w:pPr>
      <w:r>
        <w:t>Post-trade transparency: Trades published in real time (or deferred for large-in-scale transactions per MiFID II waivers)</w:t>
      </w:r>
    </w:p>
    <w:p>
      <w:pPr>
        <w:pStyle w:val="ListBullet"/>
      </w:pPr>
      <w:r>
        <w:t>Pre-trade transparency: Full order book visible for lit markets; waivers available for dark trading (reference price waiver, negotiated trade waiver, LIS waiver)</w:t>
      </w:r>
    </w:p>
    <w:p>
      <w:pPr>
        <w:pStyle w:val="ListBullet"/>
      </w:pPr>
      <w:r>
        <w:t>Listed companies subject to ongoing disclosure obligations (regulated information, inside information under MAR)</w:t>
      </w:r>
    </w:p>
    <w:p>
      <w:pPr>
        <w:pStyle w:val="Heading3"/>
      </w:pPr>
      <w:r>
        <w:t>9.5 Cross-border Arrangements</w:t>
      </w:r>
    </w:p>
    <w:p>
      <w:pPr>
        <w:pStyle w:val="ListBullet"/>
      </w:pPr>
      <w:r>
        <w:t>Single Rule Book (Harmonised Rules) creates a unified regulatory framework across all Euronext markets</w:t>
      </w:r>
    </w:p>
    <w:p>
      <w:pPr>
        <w:pStyle w:val="ListBullet"/>
      </w:pPr>
      <w:r>
        <w:t>Passporting under MiFID II enables EEA-regulated firms to access all Euronext markets via remote membership</w:t>
      </w:r>
    </w:p>
    <w:p>
      <w:pPr>
        <w:pStyle w:val="ListBullet"/>
      </w:pPr>
      <w:r>
        <w:t>Third-country equivalence determinations may apply for non-EEA firms</w:t>
      </w:r>
    </w:p>
    <w:p>
      <w:pPr>
        <w:pStyle w:val="ListBullet"/>
      </w:pPr>
      <w:r>
        <w:t>Euronext's multi-jurisdictional structure is unique among major exchanges, requiring coordination between 8 national regulators</w:t>
      </w:r>
    </w:p>
    <w:p>
      <w:pPr>
        <w:pStyle w:val="ListBullet"/>
      </w:pPr>
      <w:r>
        <w:t>Post-Brexit: Euronext relocated its primary data centre from Basildon (UK) to Bergamo (Italy) in 2022, reducing dependency on UK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Standard Cash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Ad-valorem (basis points on traded value)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0.50 bps per trade (effective Feb 2025); minimum EUR 0.70 per trade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Maker / Liquidity Provider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Maker-taker model with tiered rebates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Reduced fees for passive (maker) trades; specific rates depend on program tier and asset class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Block (Dark)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Per-trade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 fee schedule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Reduced fee schedules for ETF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liquidity program participation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Structured 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Free for trades up to EUR 6,000 value; capped at EUR 20 per trade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Per-trade cap applies; 5 free orders per trade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 Fees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Per-trade clearing fee via Euronext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instrument and volume tier</w:t>
            </w:r>
          </w:p>
        </w:tc>
      </w:tr>
    </w:tbl>
    <w:p/>
    <w:p>
      <w:pPr>
        <w:pStyle w:val="Heading3"/>
      </w:pPr>
      <w:r>
        <w:t>10.2 Other Fees</w:t>
      </w:r>
    </w:p>
    <w:p>
      <w:pPr>
        <w:pStyle w:val="ListBullet"/>
      </w:pPr>
      <w:r>
        <w:t>Listing fees: Annual listing fees based on market capitalization; initial listing fees vary by market segment (Regulated Market, Growth, Access). Detailed in annual Listing Fee Book (2025 edition available on Euronext website)</w:t>
      </w:r>
    </w:p>
    <w:p>
      <w:pPr>
        <w:pStyle w:val="ListBullet"/>
      </w:pPr>
      <w:r>
        <w:t>Market data fees: Real-time data subject to the Information Product Fee Schedule; delayed data (15-min) free for internal use; redistribution requires a license and additional fees</w:t>
      </w:r>
    </w:p>
    <w:p>
      <w:pPr>
        <w:pStyle w:val="ListBullet"/>
      </w:pPr>
      <w:r>
        <w:t>Co-location fees: Rack space rental at Bergamo data centre; cross-connect fees; specific pricing not publicly disclosed (negotiated per client)</w:t>
      </w:r>
    </w:p>
    <w:p>
      <w:pPr>
        <w:pStyle w:val="ListBullet"/>
      </w:pPr>
      <w:r>
        <w:t>Connectivity fees: Monthly fees for OEG and MDG connections; varies by connection type and bandwidth</w:t>
      </w:r>
    </w:p>
    <w:p>
      <w:pPr>
        <w:pStyle w:val="ListBullet"/>
      </w:pPr>
      <w:r>
        <w:t>Technology licensing: Euronext licenses the Optiq platform to third-party exchange operators [unverified]</w:t>
      </w:r>
    </w:p>
    <w:p>
      <w:pPr>
        <w:pStyle w:val="Heading3"/>
      </w:pPr>
      <w:r>
        <w:t>Revenue Breakdown (FY 2025)</w:t>
      </w:r>
    </w:p>
    <w:p>
      <w:pPr>
        <w:pStyle w:val="ListBullet"/>
      </w:pPr>
      <w:r>
        <w:t>Euronext N.V. total revenue: ~EUR 1.7 billion [estimated based on adjusted EBITDA of EUR 1,143 million at ~67% margin]</w:t>
      </w:r>
    </w:p>
    <w:p>
      <w:pPr>
        <w:pStyle w:val="ListBullet"/>
      </w:pPr>
      <w:r>
        <w:t>Revenue is diversified: trading revenue (~30%), post-trade/clearing (~25%), listing (~10%), technology/data (~20%), other (~15%) [approximate, unverified]</w:t>
      </w:r>
    </w:p>
    <w:p>
      <w:pPr>
        <w:pStyle w:val="ListBullet"/>
      </w:pPr>
      <w:r>
        <w:t>Non-volume-based revenue growth is a strategic priority under the "Innovate for Growth 2027" plan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2022: Core Data Centre relocated from Basildon (UK) to Bergamo, Italy (Aruba IT3); completed June 2022</w:t>
      </w:r>
    </w:p>
    <w:p>
      <w:pPr>
        <w:pStyle w:val="ListBullet"/>
      </w:pPr>
      <w:r>
        <w:t>2023: Borsa Italiana cash markets (equities, ETFs, bonds) migrated to Optiq in two phases</w:t>
      </w:r>
    </w:p>
    <w:p>
      <w:pPr>
        <w:pStyle w:val="ListBullet"/>
      </w:pPr>
      <w:r>
        <w:t>2024: Borsa Italiana derivatives migrated to Optiq (Phase 3, April 2024) -- completing full Borsa Italiana technology integration; Euronext Clearing expanded to cover all Euronext financial derivatives</w:t>
      </w:r>
    </w:p>
    <w:p>
      <w:pPr>
        <w:pStyle w:val="ListBullet"/>
      </w:pPr>
      <w:r>
        <w:t>2025: Continued Optiq platform enhancements; ATHEX Group integration planning underway; MDG and OEG version upgrades (v5.38.0 specification documents published)</w:t>
      </w:r>
    </w:p>
    <w:p>
      <w:pPr>
        <w:pStyle w:val="ListBullet"/>
      </w:pPr>
      <w:r>
        <w:t>Ongoing: Optiq platform offered as a technology solution to third-party exchanges and venue operators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2024: Launch of integrated European ETF market platform (support from issuers representing &gt;90% of European ETF AUM)</w:t>
      </w:r>
    </w:p>
    <w:p>
      <w:pPr>
        <w:pStyle w:val="ListBullet"/>
      </w:pPr>
      <w:r>
        <w:t>2025: Launch of cash-settled Mini Bond Futures on Italian, French, German, and Spanish government bonds (September 2025)</w:t>
      </w:r>
    </w:p>
    <w:p>
      <w:pPr>
        <w:pStyle w:val="ListBullet"/>
      </w:pPr>
      <w:r>
        <w:t>2026: Power futures launch (March 2026), diversifying commodities franchise following Nasdaq Nordic power futures acquisition</w:t>
      </w:r>
    </w:p>
    <w:p>
      <w:pPr>
        <w:pStyle w:val="ListBullet"/>
      </w:pPr>
      <w:r>
        <w:t>2026: European Repo market expansion (target completion June 2026)</w:t>
      </w:r>
    </w:p>
    <w:p>
      <w:pPr>
        <w:pStyle w:val="ListBullet"/>
      </w:pPr>
      <w:r>
        <w:t>Euronext Block: Continues to grow as dark midpoint venue for institutional block trading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MiFID II/MiFIR Review: EU Commission published market integration legislative package (December 2025) aiming to simplify regulatory framework and move toward EU-level supervision; potential impact on Euronext's multi-jurisdiction structure</w:t>
      </w:r>
    </w:p>
    <w:p>
      <w:pPr>
        <w:pStyle w:val="ListBullet"/>
      </w:pPr>
      <w:r>
        <w:t>CSDR Refit: Ongoing implementation affecting Euronext Securities (CSDs)</w:t>
      </w:r>
    </w:p>
    <w:p>
      <w:pPr>
        <w:pStyle w:val="ListBullet"/>
      </w:pPr>
      <w:r>
        <w:t>Consolidated Tape Provider (CTP): EU regulatory push for a consolidated tape for equities; Euronext has positioned itself as a potential contributor/operator</w:t>
      </w:r>
    </w:p>
    <w:p>
      <w:pPr>
        <w:pStyle w:val="ListBullet"/>
      </w:pPr>
      <w:r>
        <w:t>T+1 Settlement: Industry discussions on migrating European markets from T+2 to T+1 settlement; Euronext preparing infrastructure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"Innovate for Growth 2027": Strategic plan focused on growing non-volume-based businesses, scaling technology, and expanding the European footprint</w:t>
      </w:r>
    </w:p>
    <w:p>
      <w:pPr>
        <w:pStyle w:val="ListBullet"/>
      </w:pPr>
      <w:r>
        <w:t>European CSD Model: Announced December 2025; plan to harmonize CSD operations across Denmark, Italy, Norway, and Portugal, reducing costs and improving cross-border settlement. Euronext Securities to begin settling Amsterdam, Brussels, and Paris cash equities by September 2026</w:t>
      </w:r>
    </w:p>
    <w:p>
      <w:pPr>
        <w:pStyle w:val="ListBullet"/>
      </w:pPr>
      <w:r>
        <w:t>ATHEX Integration: Athens Stock Exchange acquired (75.6% stake by end 2025); targeting EUR 12 million annual run-rate synergies by 2028</w:t>
      </w:r>
    </w:p>
    <w:p>
      <w:pPr>
        <w:pStyle w:val="ListBullet"/>
      </w:pPr>
      <w:r>
        <w:t>Admincontrol Acquisition: Nordic SaaS platform for board portals; expanded Corporate Solutions business to 8,500+ companies</w:t>
      </w:r>
    </w:p>
    <w:p>
      <w:pPr>
        <w:pStyle w:val="ListBullet"/>
      </w:pPr>
      <w:r>
        <w:t>Power Futures / Commodity Expansion: Building on Nord Pool acquisition; power futures launching March 2026; expanding energy trading franchise</w:t>
      </w:r>
    </w:p>
    <w:p>
      <w:pPr>
        <w:pStyle w:val="ListBullet"/>
      </w:pPr>
      <w:r>
        <w:t>Euronext Clearing Expansion: After separating from LCH SA, Euronext Clearing now handles all Euronext financial derivatives; further expansion into cash equities clearing planned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Euronext Official Website -- About, Trading, Technology, Regulation: https://www.euronext.com (accessed 2026-04-06)</w:t>
      </w:r>
    </w:p>
    <w:p>
      <w:pPr>
        <w:pStyle w:val="ListNumber"/>
      </w:pPr>
      <w:r>
        <w:t>Euronext -- Trading Hours &amp; Holidays: https://www.euronext.com/en/trading/trading-hours-holidays (accessed 2026-04-06)</w:t>
      </w:r>
    </w:p>
    <w:p>
      <w:pPr>
        <w:pStyle w:val="ListNumber"/>
      </w:pPr>
      <w:r>
        <w:t>Euronext -- Trading Safeguards: https://www.euronext.com/en/trading/market-quality/trading-safeguards-euronext-markets (accessed 2026-04-06)</w:t>
      </w:r>
    </w:p>
    <w:p>
      <w:pPr>
        <w:pStyle w:val="ListNumber"/>
      </w:pPr>
      <w:r>
        <w:t>Euronext -- Optiq Technology Platform: https://www.euronext.com/en/technology/optiq-tech-solutions-for-exchanges-and-venue-operators (accessed 2026-04-06)</w:t>
      </w:r>
    </w:p>
    <w:p>
      <w:pPr>
        <w:pStyle w:val="ListNumber"/>
      </w:pPr>
      <w:r>
        <w:t>Euronext -- Trading Fees and Charges: https://www.euronext.com/en/trading/fees-charges (accessed 2026-04-06)</w:t>
      </w:r>
    </w:p>
    <w:p>
      <w:pPr>
        <w:pStyle w:val="ListNumber"/>
      </w:pPr>
      <w:r>
        <w:t>Euronext -- Cash Markets Trading Fee Guide (Effective 01 Feb 2025): https://www.euronext.com/sites/default/files/2025-02/Euronext%20Cash%20Markets%20Trading%20Fee%20Guide_Effective%2001FEB2025.pdf (accessed 2026-04-06)</w:t>
      </w:r>
    </w:p>
    <w:p>
      <w:pPr>
        <w:pStyle w:val="ListNumber"/>
      </w:pPr>
      <w:r>
        <w:t>Euronext -- Q4 and Full Year 2025 Results: https://www.euronext.com/en/about/media/euronext-press-releases/euronext-publishes-q4-and-full-year-2025-results (accessed 2026-04-06)</w:t>
      </w:r>
    </w:p>
    <w:p>
      <w:pPr>
        <w:pStyle w:val="ListNumber"/>
      </w:pPr>
      <w:r>
        <w:t>Euronext -- Delivering on Strategy 2025: https://www.euronext.com/en/news/delivering-strategy-and-strengthening-european-capital-markets-2025 (accessed 2026-04-06)</w:t>
      </w:r>
    </w:p>
    <w:p>
      <w:pPr>
        <w:pStyle w:val="ListNumber"/>
      </w:pPr>
      <w:r>
        <w:t>Euronext -- Data Centre: https://www.euronext.com/en/technology/euronext-data-centre (accessed 2026-04-06)</w:t>
      </w:r>
    </w:p>
    <w:p>
      <w:pPr>
        <w:pStyle w:val="ListNumber"/>
      </w:pPr>
      <w:r>
        <w:t>Euronext -- Borsa Italiana Acquisition Completion: https://www.euronext.com/en/about/media/euronext-press-releases/acquisition-borsa-italiana-group-and-q1-2021-results (accessed 2026-04-06)</w:t>
      </w:r>
    </w:p>
    <w:p>
      <w:pPr>
        <w:pStyle w:val="ListNumber"/>
      </w:pPr>
      <w:r>
        <w:t>Euronext -- Regulatory Framework / Regulatory Bodies: https://www.euronext.com/en/regulation (accessed 2026-04-06)</w:t>
      </w:r>
    </w:p>
    <w:p>
      <w:pPr>
        <w:pStyle w:val="ListNumber"/>
      </w:pPr>
      <w:r>
        <w:t>Euronext -- Market Data Products: https://www.euronext.com/en/data/market-data/market-data-products (accessed 2026-04-06)</w:t>
      </w:r>
    </w:p>
    <w:p>
      <w:pPr>
        <w:pStyle w:val="ListNumber"/>
      </w:pPr>
      <w:r>
        <w:t>Euronext -- Choosing a Market (Listing): https://www.euronext.com/en/listing/raise-capital/how-go-public/choosing-market (accessed 2026-04-06)</w:t>
      </w:r>
    </w:p>
    <w:p>
      <w:pPr>
        <w:pStyle w:val="ListNumber"/>
      </w:pPr>
      <w:r>
        <w:t>Confluent -- Euronext Case Study (Optiq/Kafka): https://www.confluent.io/customers/euronext/ (accessed 2026-04-06)</w:t>
      </w:r>
    </w:p>
    <w:p>
      <w:pPr>
        <w:pStyle w:val="ListNumber"/>
      </w:pPr>
      <w:r>
        <w:t>OnixS -- Euronext Optiq MDG Market Data Handler: https://www.onixs.biz/euronext-optiq-market-data-gateway-feed-handler.html (accessed 2026-04-06)</w:t>
      </w:r>
    </w:p>
    <w:p>
      <w:pPr>
        <w:pStyle w:val="ListNumber"/>
      </w:pPr>
      <w:r>
        <w:t>Euronext -- Optiq OEG FIX 5.0 / SBE Interface Specifications (v5.38.0): https://connect.euronext.com (accessed 2026-04-06)</w:t>
      </w:r>
    </w:p>
    <w:p>
      <w:pPr>
        <w:pStyle w:val="ListNumber"/>
      </w:pPr>
      <w:r>
        <w:t>Wikipedia -- Euronext: https://en.wikipedia.org/wiki/Euronext (accessed 2026-04-06)</w:t>
      </w:r>
    </w:p>
    <w:p>
      <w:pPr>
        <w:pStyle w:val="ListNumber"/>
      </w:pPr>
      <w:r>
        <w:t>TradingBrokers -- Euronext Trading Hours: https://tradingbrokers.com/euronext-trading-hours/ (accessed 2026-04-06)</w:t>
      </w:r>
    </w:p>
    <w:p>
      <w:pPr>
        <w:pStyle w:val="ListNumber"/>
      </w:pPr>
      <w:r>
        <w:t>ESMA -- MiFID II / RTS 11 Tick Size Regime: https://www.esma.europa.eu (accessed 2026-04-06)</w:t>
      </w:r>
    </w:p>
    <w:p>
      <w:pPr>
        <w:pStyle w:val="ListNumber"/>
      </w:pPr>
      <w:r>
        <w:t>The TRADE News -- Euronext Data Centre Migration: https://www.thetradenews.com/inside-europes-new-fortress-euronexts-continental-data-centre-and-trading-floor/ (accessed 2026-04-06)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