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Nasdaq Nordic (OMX Nordic Exchanges)</w:t>
      </w:r>
    </w:p>
    <w:p>
      <w:r>
        <w:rPr>
          <w:i/>
          <w:sz w:val="18"/>
        </w:rPr>
        <w:t>**Last Updated:** 2026-04-06</w:t>
      </w:r>
    </w:p>
    <w:p>
      <w:r>
        <w:rPr>
          <w:i/>
          <w:sz w:val="18"/>
        </w:rPr>
        <w:t>**Research Tier:** Tier 3</w:t>
      </w:r>
    </w:p>
    <w:p>
      <w:r>
        <w:rPr>
          <w:i/>
          <w:sz w:val="18"/>
        </w:rPr>
        <w:t>**Domain:** Equities</w:t>
      </w:r>
    </w:p>
    <w:p>
      <w:r>
        <w:t>────────────────────────────────────────────────────────────</w:t>
      </w:r>
    </w:p>
    <w:p>
      <w:pPr>
        <w:pStyle w:val="Heading2"/>
      </w:pPr>
      <w:r>
        <w:t>1. Overview &amp; Profile</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Item</w:t>
            </w:r>
          </w:p>
        </w:tc>
        <w:tc>
          <w:tcPr>
            <w:tcW w:type="dxa" w:w="4320"/>
          </w:tcPr>
          <w:p>
            <w:pPr/>
            <w:r>
              <w:rPr>
                <w:b/>
                <w:sz w:val="18"/>
              </w:rPr>
              <w:t>Details</w:t>
            </w:r>
          </w:p>
        </w:tc>
      </w:tr>
      <w:tr>
        <w:tc>
          <w:tcPr>
            <w:tcW w:type="dxa" w:w="4320"/>
          </w:tcPr>
          <w:p>
            <w:pPr/>
            <w:r>
              <w:rPr>
                <w:sz w:val="18"/>
              </w:rPr>
              <w:t>Official Name(s)</w:t>
            </w:r>
          </w:p>
        </w:tc>
        <w:tc>
          <w:tcPr>
            <w:tcW w:type="dxa" w:w="4320"/>
          </w:tcPr>
          <w:p>
            <w:pPr/>
            <w:r>
              <w:rPr>
                <w:sz w:val="18"/>
              </w:rPr>
              <w:t>Nasdaq Stockholm (Stockholmsborsen), Nasdaq Helsinki (Helsingin Porssi), Nasdaq Copenhagen (Kobenhavns Fondsbors), Nasdaq Iceland (Kaupholl Islands), Nasdaq Tallinn, Nasdaq Riga, Nasdaq Vilnius</w:t>
            </w:r>
          </w:p>
        </w:tc>
      </w:tr>
      <w:tr>
        <w:tc>
          <w:tcPr>
            <w:tcW w:type="dxa" w:w="4320"/>
          </w:tcPr>
          <w:p>
            <w:pPr/>
            <w:r>
              <w:rPr>
                <w:sz w:val="18"/>
              </w:rPr>
              <w:t>Common Name</w:t>
            </w:r>
          </w:p>
        </w:tc>
        <w:tc>
          <w:tcPr>
            <w:tcW w:type="dxa" w:w="4320"/>
          </w:tcPr>
          <w:p>
            <w:pPr/>
            <w:r>
              <w:rPr>
                <w:sz w:val="18"/>
              </w:rPr>
              <w:t>Nasdaq Nordic (Nordic); Nasdaq Baltic (Baltic)</w:t>
            </w:r>
          </w:p>
        </w:tc>
      </w:tr>
      <w:tr>
        <w:tc>
          <w:tcPr>
            <w:tcW w:type="dxa" w:w="4320"/>
          </w:tcPr>
          <w:p>
            <w:pPr/>
            <w:r>
              <w:rPr>
                <w:sz w:val="18"/>
              </w:rPr>
              <w:t>Website</w:t>
            </w:r>
          </w:p>
        </w:tc>
        <w:tc>
          <w:tcPr>
            <w:tcW w:type="dxa" w:w="4320"/>
          </w:tcPr>
          <w:p>
            <w:pPr/>
            <w:r>
              <w:rPr>
                <w:sz w:val="18"/>
              </w:rPr>
              <w:t>https://www.nasdaqomxnordic.com / https://www.nasdaqbaltic.com</w:t>
            </w:r>
          </w:p>
        </w:tc>
      </w:tr>
      <w:tr>
        <w:tc>
          <w:tcPr>
            <w:tcW w:type="dxa" w:w="4320"/>
          </w:tcPr>
          <w:p>
            <w:pPr/>
            <w:r>
              <w:rPr>
                <w:sz w:val="18"/>
              </w:rPr>
              <w:t>Year Established</w:t>
            </w:r>
          </w:p>
        </w:tc>
        <w:tc>
          <w:tcPr>
            <w:tcW w:type="dxa" w:w="4320"/>
          </w:tcPr>
          <w:p>
            <w:pPr/>
            <w:r>
              <w:rPr>
                <w:sz w:val="18"/>
              </w:rPr>
              <w:t>Stockholm: 1863; Helsinki: 1912; Copenhagen: 1808; Iceland: 1985; OMX formed: 2003; Nasdaq acquired OMX: 2008</w:t>
            </w:r>
          </w:p>
        </w:tc>
      </w:tr>
      <w:tr>
        <w:tc>
          <w:tcPr>
            <w:tcW w:type="dxa" w:w="4320"/>
          </w:tcPr>
          <w:p>
            <w:pPr/>
            <w:r>
              <w:rPr>
                <w:sz w:val="18"/>
              </w:rPr>
              <w:t>Countries / Cities</w:t>
            </w:r>
          </w:p>
        </w:tc>
        <w:tc>
          <w:tcPr>
            <w:tcW w:type="dxa" w:w="4320"/>
          </w:tcPr>
          <w:p>
            <w:pPr/>
            <w:r>
              <w:rPr>
                <w:sz w:val="18"/>
              </w:rPr>
              <w:t>Sweden (Stockholm), Finland (Helsinki), Denmark (Copenhagen), Iceland (Reykjavik), Estonia (Tallinn), Latvia (Riga), Lithuania (Vilnius)</w:t>
            </w:r>
          </w:p>
        </w:tc>
      </w:tr>
      <w:tr>
        <w:tc>
          <w:tcPr>
            <w:tcW w:type="dxa" w:w="4320"/>
          </w:tcPr>
          <w:p>
            <w:pPr/>
            <w:r>
              <w:rPr>
                <w:sz w:val="18"/>
              </w:rPr>
              <w:t>Ownership Structure</w:t>
            </w:r>
          </w:p>
        </w:tc>
        <w:tc>
          <w:tcPr>
            <w:tcW w:type="dxa" w:w="4320"/>
          </w:tcPr>
          <w:p>
            <w:pPr/>
            <w:r>
              <w:rPr>
                <w:sz w:val="18"/>
              </w:rPr>
              <w:t>Wholly-owned subsidiaries of Nasdaq, Inc. (publicly listed on Nasdaq US, ticker: NDAQ)</w:t>
            </w:r>
          </w:p>
        </w:tc>
      </w:tr>
      <w:tr>
        <w:tc>
          <w:tcPr>
            <w:tcW w:type="dxa" w:w="4320"/>
          </w:tcPr>
          <w:p>
            <w:pPr/>
            <w:r>
              <w:rPr>
                <w:sz w:val="18"/>
              </w:rPr>
              <w:t>Parent Company / Group</w:t>
            </w:r>
          </w:p>
        </w:tc>
        <w:tc>
          <w:tcPr>
            <w:tcW w:type="dxa" w:w="4320"/>
          </w:tcPr>
          <w:p>
            <w:pPr/>
            <w:r>
              <w:rPr>
                <w:sz w:val="18"/>
              </w:rPr>
              <w:t>Nasdaq, Inc.</w:t>
            </w:r>
          </w:p>
        </w:tc>
      </w:tr>
      <w:tr>
        <w:tc>
          <w:tcPr>
            <w:tcW w:type="dxa" w:w="4320"/>
          </w:tcPr>
          <w:p>
            <w:pPr/>
            <w:r>
              <w:rPr>
                <w:sz w:val="18"/>
              </w:rPr>
              <w:t>Regulatory Authorities</w:t>
            </w:r>
          </w:p>
        </w:tc>
        <w:tc>
          <w:tcPr>
            <w:tcW w:type="dxa" w:w="4320"/>
          </w:tcPr>
          <w:p>
            <w:pPr/>
            <w:r>
              <w:rPr>
                <w:sz w:val="18"/>
              </w:rPr>
              <w:t>**Sweden:** Finansinspektionen (FI); **Finland:** Finanssivalvonta (FIN-FSA); **Denmark:** Finanstilsynet; **Iceland:** Fjarmala- og tryggingaeftirlit (FME / Central Bank of Iceland); **Estonia:** Finantsinspektsioon (EFSA); **Latvia:** Finansu un kapitala tirgus komisija (FCMC); **Lithuania:** Lietuvos Bankas (Bank of Lithuania)</w:t>
            </w:r>
          </w:p>
        </w:tc>
      </w:tr>
      <w:tr>
        <w:tc>
          <w:tcPr>
            <w:tcW w:type="dxa" w:w="4320"/>
          </w:tcPr>
          <w:p>
            <w:pPr/>
            <w:r>
              <w:rPr>
                <w:sz w:val="18"/>
              </w:rPr>
              <w:t>Combined Market Capitalization</w:t>
            </w:r>
          </w:p>
        </w:tc>
        <w:tc>
          <w:tcPr>
            <w:tcW w:type="dxa" w:w="4320"/>
          </w:tcPr>
          <w:p>
            <w:pPr/>
            <w:r>
              <w:rPr>
                <w:sz w:val="18"/>
              </w:rPr>
              <w:t>~EUR 2,003 billion (end of 2025, Nordic + Baltic combined)</w:t>
            </w:r>
          </w:p>
        </w:tc>
      </w:tr>
      <w:tr>
        <w:tc>
          <w:tcPr>
            <w:tcW w:type="dxa" w:w="4320"/>
          </w:tcPr>
          <w:p>
            <w:pPr/>
            <w:r>
              <w:rPr>
                <w:sz w:val="18"/>
              </w:rPr>
              <w:t>Total Listed Companies</w:t>
            </w:r>
          </w:p>
        </w:tc>
        <w:tc>
          <w:tcPr>
            <w:tcW w:type="dxa" w:w="4320"/>
          </w:tcPr>
          <w:p>
            <w:pPr/>
            <w:r>
              <w:rPr>
                <w:sz w:val="18"/>
              </w:rPr>
              <w:t>~1,119 companies (end of 2025): ~675 on Main Markets (Nordic + Baltic), ~444 on First North Growth Markets</w:t>
            </w:r>
          </w:p>
        </w:tc>
      </w:tr>
      <w:tr>
        <w:tc>
          <w:tcPr>
            <w:tcW w:type="dxa" w:w="4320"/>
          </w:tcPr>
          <w:p>
            <w:pPr/>
            <w:r>
              <w:rPr>
                <w:sz w:val="18"/>
              </w:rPr>
              <w:t>Average Daily Trading Value</w:t>
            </w:r>
          </w:p>
        </w:tc>
        <w:tc>
          <w:tcPr>
            <w:tcW w:type="dxa" w:w="4320"/>
          </w:tcPr>
          <w:p>
            <w:pPr/>
            <w:r>
              <w:rPr>
                <w:sz w:val="18"/>
              </w:rPr>
              <w:t>EUR 3.238 billion (2025 full year, shares), up 9.0% from EUR 2.971 billion in 2024</w:t>
            </w:r>
          </w:p>
        </w:tc>
      </w:tr>
      <w:tr>
        <w:tc>
          <w:tcPr>
            <w:tcW w:type="dxa" w:w="4320"/>
          </w:tcPr>
          <w:p>
            <w:pPr/>
            <w:r>
              <w:rPr>
                <w:sz w:val="18"/>
              </w:rPr>
              <w:t>Key Indices</w:t>
            </w:r>
          </w:p>
        </w:tc>
        <w:tc>
          <w:tcPr>
            <w:tcW w:type="dxa" w:w="4320"/>
          </w:tcPr>
          <w:p>
            <w:pPr/>
            <w:r>
              <w:rPr>
                <w:sz w:val="18"/>
              </w:rPr>
              <w:t>OMXS30 (Stockholm 30), OMXH25 (Helsinki 25), OMXC25 (Copenhagen 25), OMXN40 (Nordic 40), OMXN120 (Nordic 120), OMX All-Share indices</w:t>
            </w:r>
          </w:p>
        </w:tc>
      </w:tr>
    </w:tbl>
    <w:p/>
    <w:p>
      <w:pPr>
        <w:pStyle w:val="Heading3"/>
      </w:pPr>
      <w:r>
        <w:t>Key Historical Milestones</w:t>
      </w:r>
    </w:p>
    <w:p>
      <w:pPr>
        <w:pStyle w:val="ListBullet"/>
      </w:pPr>
      <w:r>
        <w:t>1808: Copenhagen Stock Exchange founded</w:t>
      </w:r>
    </w:p>
    <w:p>
      <w:pPr>
        <w:pStyle w:val="ListBullet"/>
      </w:pPr>
      <w:r>
        <w:t>1863: Stockholm Stock Exchange (Stockholms Fondsbors) established</w:t>
      </w:r>
    </w:p>
    <w:p>
      <w:pPr>
        <w:pStyle w:val="ListBullet"/>
      </w:pPr>
      <w:r>
        <w:t>1912: Helsinki Stock Exchange founded</w:t>
      </w:r>
    </w:p>
    <w:p>
      <w:pPr>
        <w:pStyle w:val="ListBullet"/>
      </w:pPr>
      <w:r>
        <w:t>1985: Iceland Stock Exchange established</w:t>
      </w:r>
    </w:p>
    <w:p>
      <w:pPr>
        <w:pStyle w:val="ListBullet"/>
      </w:pPr>
      <w:r>
        <w:t>1985: OM AB (Optionsmaklarna) founded by Olof Stenhammar as a Swedish options/futures exchange</w:t>
      </w:r>
    </w:p>
    <w:p>
      <w:pPr>
        <w:pStyle w:val="ListBullet"/>
      </w:pPr>
      <w:r>
        <w:t>1998: OM AB acquires the Stockholm Stock Exchange</w:t>
      </w:r>
    </w:p>
    <w:p>
      <w:pPr>
        <w:pStyle w:val="ListBullet"/>
      </w:pPr>
      <w:r>
        <w:t>2003: OMX AB created through the merger of OM AB and HEX plc (Finland), combining Stockholm and Helsinki exchanges</w:t>
      </w:r>
    </w:p>
    <w:p>
      <w:pPr>
        <w:pStyle w:val="ListBullet"/>
      </w:pPr>
      <w:r>
        <w:t>2004: OMX acquires the Iceland Stock Exchange</w:t>
      </w:r>
    </w:p>
    <w:p>
      <w:pPr>
        <w:pStyle w:val="ListBullet"/>
      </w:pPr>
      <w:r>
        <w:t>2005: OMX merges with/acquires the Copenhagen Stock Exchange</w:t>
      </w:r>
    </w:p>
    <w:p>
      <w:pPr>
        <w:pStyle w:val="ListBullet"/>
      </w:pPr>
      <w:r>
        <w:t>2006: OMX launches the virtual Nordic Stock Exchange, merging the individual share lists of Stockholm, Helsinki, Copenhagen, and Iceland into a combined Nordic List with harmonized rules</w:t>
      </w:r>
    </w:p>
    <w:p>
      <w:pPr>
        <w:pStyle w:val="ListBullet"/>
      </w:pPr>
      <w:r>
        <w:t>2007: Nasdaq agrees to acquire OMX for approximately USD 3.7 billion</w:t>
      </w:r>
    </w:p>
    <w:p>
      <w:pPr>
        <w:pStyle w:val="ListBullet"/>
      </w:pPr>
      <w:r>
        <w:t>2008: Acquisition completed (27 February 2008); the combined entity renamed NASDAQ OMX Group</w:t>
      </w:r>
    </w:p>
    <w:p>
      <w:pPr>
        <w:pStyle w:val="ListBullet"/>
      </w:pPr>
      <w:r>
        <w:t>2010: Baltic exchanges (Tallinn, Riga, Vilnius) fully integrated under the NASDAQ OMX umbrella (previously acquired by OMX in 2004-2007)</w:t>
      </w:r>
    </w:p>
    <w:p>
      <w:pPr>
        <w:pStyle w:val="ListBullet"/>
      </w:pPr>
      <w:r>
        <w:t>2015: NASDAQ OMX Group renamed to Nasdaq, Inc.; OMX AB renamed to Nasdaq AB</w:t>
      </w:r>
    </w:p>
    <w:p>
      <w:pPr>
        <w:pStyle w:val="ListBullet"/>
      </w:pPr>
      <w:r>
        <w:t>2018: MiFID II tick size regime implemented across all Nasdaq Nordic and Baltic markets (January 2, 2018)</w:t>
      </w:r>
    </w:p>
    <w:p>
      <w:pPr>
        <w:pStyle w:val="ListBullet"/>
      </w:pPr>
      <w:r>
        <w:t>2025: Secondary data center relocation from PORT to STOCKHOLM SOUTH (Equinix SK2); record bond listings exceeding EUR 1.2 trillion; defense bond framework launched</w:t>
      </w:r>
    </w:p>
    <w:p>
      <w:r>
        <w:t>────────────────────────────────────────────────────────────</w:t>
      </w:r>
    </w:p>
    <w:p>
      <w:pPr>
        <w:pStyle w:val="Heading2"/>
      </w:pPr>
      <w:r>
        <w:t>2. Market Structure</w:t>
      </w:r>
    </w:p>
    <w:p>
      <w:pPr>
        <w:pStyle w:val="Heading3"/>
      </w:pPr>
      <w:r>
        <w:t>2.1 Market Segments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Segment</w:t>
            </w:r>
          </w:p>
        </w:tc>
        <w:tc>
          <w:tcPr>
            <w:tcW w:type="dxa" w:w="2880"/>
          </w:tcPr>
          <w:p>
            <w:pPr/>
            <w:r>
              <w:rPr>
                <w:b/>
                <w:sz w:val="18"/>
              </w:rPr>
              <w:t>Description</w:t>
            </w:r>
          </w:p>
        </w:tc>
        <w:tc>
          <w:tcPr>
            <w:tcW w:type="dxa" w:w="2880"/>
          </w:tcPr>
          <w:p>
            <w:pPr/>
            <w:r>
              <w:rPr>
                <w:b/>
                <w:sz w:val="18"/>
              </w:rPr>
              <w:t>Listing Requirements (Summary)</w:t>
            </w:r>
          </w:p>
        </w:tc>
      </w:tr>
      <w:tr>
        <w:tc>
          <w:tcPr>
            <w:tcW w:type="dxa" w:w="2880"/>
          </w:tcPr>
          <w:p>
            <w:pPr/>
            <w:r>
              <w:rPr>
                <w:sz w:val="18"/>
              </w:rPr>
              <w:t>**Large Cap**</w:t>
            </w:r>
          </w:p>
        </w:tc>
        <w:tc>
          <w:tcPr>
            <w:tcW w:type="dxa" w:w="2880"/>
          </w:tcPr>
          <w:p>
            <w:pPr/>
            <w:r>
              <w:rPr>
                <w:sz w:val="18"/>
              </w:rPr>
              <w:t>Companies with market cap &gt;= EUR 1 billion</w:t>
            </w:r>
          </w:p>
        </w:tc>
        <w:tc>
          <w:tcPr>
            <w:tcW w:type="dxa" w:w="2880"/>
          </w:tcPr>
          <w:p>
            <w:pPr/>
            <w:r>
              <w:rPr>
                <w:sz w:val="18"/>
              </w:rPr>
              <w:t>Regulated Market admission; 3-year track record; 25% free float; audited financials (IFRS); prospectus approved by local FSA</w:t>
            </w:r>
          </w:p>
        </w:tc>
      </w:tr>
      <w:tr>
        <w:tc>
          <w:tcPr>
            <w:tcW w:type="dxa" w:w="2880"/>
          </w:tcPr>
          <w:p>
            <w:pPr/>
            <w:r>
              <w:rPr>
                <w:sz w:val="18"/>
              </w:rPr>
              <w:t>**Mid Cap**</w:t>
            </w:r>
          </w:p>
        </w:tc>
        <w:tc>
          <w:tcPr>
            <w:tcW w:type="dxa" w:w="2880"/>
          </w:tcPr>
          <w:p>
            <w:pPr/>
            <w:r>
              <w:rPr>
                <w:sz w:val="18"/>
              </w:rPr>
              <w:t>Companies with market cap EUR 150 million - EUR 1 billion</w:t>
            </w:r>
          </w:p>
        </w:tc>
        <w:tc>
          <w:tcPr>
            <w:tcW w:type="dxa" w:w="2880"/>
          </w:tcPr>
          <w:p>
            <w:pPr/>
            <w:r>
              <w:rPr>
                <w:sz w:val="18"/>
              </w:rPr>
              <w:t>Same as Large Cap; segmentation is based solely on market cap</w:t>
            </w:r>
          </w:p>
        </w:tc>
      </w:tr>
      <w:tr>
        <w:tc>
          <w:tcPr>
            <w:tcW w:type="dxa" w:w="2880"/>
          </w:tcPr>
          <w:p>
            <w:pPr/>
            <w:r>
              <w:rPr>
                <w:sz w:val="18"/>
              </w:rPr>
              <w:t>**Small Cap**</w:t>
            </w:r>
          </w:p>
        </w:tc>
        <w:tc>
          <w:tcPr>
            <w:tcW w:type="dxa" w:w="2880"/>
          </w:tcPr>
          <w:p>
            <w:pPr/>
            <w:r>
              <w:rPr>
                <w:sz w:val="18"/>
              </w:rPr>
              <w:t>Companies with market cap &lt; EUR 150 million</w:t>
            </w:r>
          </w:p>
        </w:tc>
        <w:tc>
          <w:tcPr>
            <w:tcW w:type="dxa" w:w="2880"/>
          </w:tcPr>
          <w:p>
            <w:pPr/>
            <w:r>
              <w:rPr>
                <w:sz w:val="18"/>
              </w:rPr>
              <w:t>Same as Large Cap; segmentation is based solely on market cap</w:t>
            </w:r>
          </w:p>
        </w:tc>
      </w:tr>
      <w:tr>
        <w:tc>
          <w:tcPr>
            <w:tcW w:type="dxa" w:w="2880"/>
          </w:tcPr>
          <w:p>
            <w:pPr/>
            <w:r>
              <w:rPr>
                <w:sz w:val="18"/>
              </w:rPr>
              <w:t>**First North Growth Market**</w:t>
            </w:r>
          </w:p>
        </w:tc>
        <w:tc>
          <w:tcPr>
            <w:tcW w:type="dxa" w:w="2880"/>
          </w:tcPr>
          <w:p>
            <w:pPr/>
            <w:r>
              <w:rPr>
                <w:sz w:val="18"/>
              </w:rPr>
              <w:t>MTF for smaller/growth companies; licensed as SME Growth Market under MiFID II</w:t>
            </w:r>
          </w:p>
        </w:tc>
        <w:tc>
          <w:tcPr>
            <w:tcW w:type="dxa" w:w="2880"/>
          </w:tcPr>
          <w:p>
            <w:pPr/>
            <w:r>
              <w:rPr>
                <w:sz w:val="18"/>
              </w:rPr>
              <w:t>Must appoint a Certified Adviser; less stringent requirements than Main Market; no minimum market cap; simplified prospectus rules</w:t>
            </w:r>
          </w:p>
        </w:tc>
      </w:tr>
      <w:tr>
        <w:tc>
          <w:tcPr>
            <w:tcW w:type="dxa" w:w="2880"/>
          </w:tcPr>
          <w:p>
            <w:pPr/>
            <w:r>
              <w:rPr>
                <w:sz w:val="18"/>
              </w:rPr>
              <w:t>**First North Premier Growth Market**</w:t>
            </w:r>
          </w:p>
        </w:tc>
        <w:tc>
          <w:tcPr>
            <w:tcW w:type="dxa" w:w="2880"/>
          </w:tcPr>
          <w:p>
            <w:pPr/>
            <w:r>
              <w:rPr>
                <w:sz w:val="18"/>
              </w:rPr>
              <w:t>Senior segment of First North for companies preparing for Main Market listing</w:t>
            </w:r>
          </w:p>
        </w:tc>
        <w:tc>
          <w:tcPr>
            <w:tcW w:type="dxa" w:w="2880"/>
          </w:tcPr>
          <w:p>
            <w:pPr/>
            <w:r>
              <w:rPr>
                <w:sz w:val="18"/>
              </w:rPr>
              <w:t>Higher disclosure and accounting requirements than standard First North; IFRS-compliant financial statements required</w:t>
            </w:r>
          </w:p>
        </w:tc>
      </w:tr>
      <w:tr>
        <w:tc>
          <w:tcPr>
            <w:tcW w:type="dxa" w:w="2880"/>
          </w:tcPr>
          <w:p>
            <w:pPr/>
            <w:r>
              <w:rPr>
                <w:sz w:val="18"/>
              </w:rPr>
              <w:t>**Nasdaq Baltic Main Market**</w:t>
            </w:r>
          </w:p>
        </w:tc>
        <w:tc>
          <w:tcPr>
            <w:tcW w:type="dxa" w:w="2880"/>
          </w:tcPr>
          <w:p>
            <w:pPr/>
            <w:r>
              <w:rPr>
                <w:sz w:val="18"/>
              </w:rPr>
              <w:t>Regulated markets in Tallinn, Riga, and Vilnius</w:t>
            </w:r>
          </w:p>
        </w:tc>
        <w:tc>
          <w:tcPr>
            <w:tcW w:type="dxa" w:w="2880"/>
          </w:tcPr>
          <w:p>
            <w:pPr/>
            <w:r>
              <w:rPr>
                <w:sz w:val="18"/>
              </w:rPr>
              <w:t>Local listing rules aligned with EU directives; generally lower thresholds than Nordic Main Market</w:t>
            </w:r>
          </w:p>
        </w:tc>
      </w:tr>
      <w:tr>
        <w:tc>
          <w:tcPr>
            <w:tcW w:type="dxa" w:w="2880"/>
          </w:tcPr>
          <w:p>
            <w:pPr/>
            <w:r>
              <w:rPr>
                <w:sz w:val="18"/>
              </w:rPr>
              <w:t>**Nasdaq Baltic First North**</w:t>
            </w:r>
          </w:p>
        </w:tc>
        <w:tc>
          <w:tcPr>
            <w:tcW w:type="dxa" w:w="2880"/>
          </w:tcPr>
          <w:p>
            <w:pPr/>
            <w:r>
              <w:rPr>
                <w:sz w:val="18"/>
              </w:rPr>
              <w:t>MTF segment in Baltic countries</w:t>
            </w:r>
          </w:p>
        </w:tc>
        <w:tc>
          <w:tcPr>
            <w:tcW w:type="dxa" w:w="2880"/>
          </w:tcPr>
          <w:p>
            <w:pPr/>
            <w:r>
              <w:rPr>
                <w:sz w:val="18"/>
              </w:rPr>
              <w:t>Lighter requirements; Certified Adviser required</w:t>
            </w:r>
          </w:p>
        </w:tc>
      </w:tr>
    </w:tbl>
    <w:p/>
    <w:p>
      <w:r>
        <w:t>Market cap segment reviews are conducted annually based on the average market cap in November. As of January 2, 2026, 35 companies changed segment (22 to a larger segment, 13 to a smaller segment).</w:t>
      </w:r>
    </w:p>
    <w:p>
      <w:pPr>
        <w:pStyle w:val="Heading3"/>
      </w:pPr>
      <w:r>
        <w:t>2.2 Trading Sessions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Session</w:t>
            </w:r>
          </w:p>
        </w:tc>
        <w:tc>
          <w:tcPr>
            <w:tcW w:type="dxa" w:w="2880"/>
          </w:tcPr>
          <w:p>
            <w:pPr/>
            <w:r>
              <w:rPr>
                <w:b/>
                <w:sz w:val="18"/>
              </w:rPr>
              <w:t>Time (CET)</w:t>
            </w:r>
          </w:p>
        </w:tc>
        <w:tc>
          <w:tcPr>
            <w:tcW w:type="dxa" w:w="2880"/>
          </w:tcPr>
          <w:p>
            <w:pPr/>
            <w:r>
              <w:rPr>
                <w:b/>
                <w:sz w:val="18"/>
              </w:rPr>
              <w:t>Description</w:t>
            </w:r>
          </w:p>
        </w:tc>
      </w:tr>
      <w:tr>
        <w:tc>
          <w:tcPr>
            <w:tcW w:type="dxa" w:w="2880"/>
          </w:tcPr>
          <w:p>
            <w:pPr/>
            <w:r>
              <w:rPr>
                <w:sz w:val="18"/>
              </w:rPr>
              <w:t>Pre-Open / Order Entry</w:t>
            </w:r>
          </w:p>
        </w:tc>
        <w:tc>
          <w:tcPr>
            <w:tcW w:type="dxa" w:w="2880"/>
          </w:tcPr>
          <w:p>
            <w:pPr/>
            <w:r>
              <w:rPr>
                <w:sz w:val="18"/>
              </w:rPr>
              <w:t>~08:00 - 09:00</w:t>
            </w:r>
          </w:p>
        </w:tc>
        <w:tc>
          <w:tcPr>
            <w:tcW w:type="dxa" w:w="2880"/>
          </w:tcPr>
          <w:p>
            <w:pPr/>
            <w:r>
              <w:rPr>
                <w:sz w:val="18"/>
              </w:rPr>
              <w:t>Orders can be entered, amended, and cancelled; no matching occurs</w:t>
            </w:r>
          </w:p>
        </w:tc>
      </w:tr>
      <w:tr>
        <w:tc>
          <w:tcPr>
            <w:tcW w:type="dxa" w:w="2880"/>
          </w:tcPr>
          <w:p>
            <w:pPr/>
            <w:r>
              <w:rPr>
                <w:sz w:val="18"/>
              </w:rPr>
              <w:t>Opening Auction Call</w:t>
            </w:r>
          </w:p>
        </w:tc>
        <w:tc>
          <w:tcPr>
            <w:tcW w:type="dxa" w:w="2880"/>
          </w:tcPr>
          <w:p>
            <w:pPr/>
            <w:r>
              <w:rPr>
                <w:sz w:val="18"/>
              </w:rPr>
              <w:t>within Pre-Open</w:t>
            </w:r>
          </w:p>
        </w:tc>
        <w:tc>
          <w:tcPr>
            <w:tcW w:type="dxa" w:w="2880"/>
          </w:tcPr>
          <w:p>
            <w:pPr/>
            <w:r>
              <w:rPr>
                <w:sz w:val="18"/>
              </w:rPr>
              <w:t>Orders accumulate for price discovery</w:t>
            </w:r>
          </w:p>
        </w:tc>
      </w:tr>
      <w:tr>
        <w:tc>
          <w:tcPr>
            <w:tcW w:type="dxa" w:w="2880"/>
          </w:tcPr>
          <w:p>
            <w:pPr/>
            <w:r>
              <w:rPr>
                <w:sz w:val="18"/>
              </w:rPr>
              <w:t>Opening Auction Uncross</w:t>
            </w:r>
          </w:p>
        </w:tc>
        <w:tc>
          <w:tcPr>
            <w:tcW w:type="dxa" w:w="2880"/>
          </w:tcPr>
          <w:p>
            <w:pPr/>
            <w:r>
              <w:rPr>
                <w:sz w:val="18"/>
              </w:rPr>
              <w:t>09:00</w:t>
            </w:r>
          </w:p>
        </w:tc>
        <w:tc>
          <w:tcPr>
            <w:tcW w:type="dxa" w:w="2880"/>
          </w:tcPr>
          <w:p>
            <w:pPr/>
            <w:r>
              <w:rPr>
                <w:sz w:val="18"/>
              </w:rPr>
              <w:t>Order books uncross randomly between 09:00:00 and 09:00:05 to prevent gaming</w:t>
            </w:r>
          </w:p>
        </w:tc>
      </w:tr>
      <w:tr>
        <w:tc>
          <w:tcPr>
            <w:tcW w:type="dxa" w:w="2880"/>
          </w:tcPr>
          <w:p>
            <w:pPr/>
            <w:r>
              <w:rPr>
                <w:sz w:val="18"/>
              </w:rPr>
              <w:t>Continuous Trading</w:t>
            </w:r>
          </w:p>
        </w:tc>
        <w:tc>
          <w:tcPr>
            <w:tcW w:type="dxa" w:w="2880"/>
          </w:tcPr>
          <w:p>
            <w:pPr/>
            <w:r>
              <w:rPr>
                <w:sz w:val="18"/>
              </w:rPr>
              <w:t>09:00 - 17:25</w:t>
            </w:r>
          </w:p>
        </w:tc>
        <w:tc>
          <w:tcPr>
            <w:tcW w:type="dxa" w:w="2880"/>
          </w:tcPr>
          <w:p>
            <w:pPr/>
            <w:r>
              <w:rPr>
                <w:sz w:val="18"/>
              </w:rPr>
              <w:t>Order-driven continuous matching; no midday break</w:t>
            </w:r>
          </w:p>
        </w:tc>
      </w:tr>
      <w:tr>
        <w:tc>
          <w:tcPr>
            <w:tcW w:type="dxa" w:w="2880"/>
          </w:tcPr>
          <w:p>
            <w:pPr/>
            <w:r>
              <w:rPr>
                <w:sz w:val="18"/>
              </w:rPr>
              <w:t>Closing Auction Call</w:t>
            </w:r>
          </w:p>
        </w:tc>
        <w:tc>
          <w:tcPr>
            <w:tcW w:type="dxa" w:w="2880"/>
          </w:tcPr>
          <w:p>
            <w:pPr/>
            <w:r>
              <w:rPr>
                <w:sz w:val="18"/>
              </w:rPr>
              <w:t>17:25 - 17:30</w:t>
            </w:r>
          </w:p>
        </w:tc>
        <w:tc>
          <w:tcPr>
            <w:tcW w:type="dxa" w:w="2880"/>
          </w:tcPr>
          <w:p>
            <w:pPr/>
            <w:r>
              <w:rPr>
                <w:sz w:val="18"/>
              </w:rPr>
              <w:t>Orders accumulate for closing price determination [unverified exact times -- may vary by market]</w:t>
            </w:r>
          </w:p>
        </w:tc>
      </w:tr>
      <w:tr>
        <w:tc>
          <w:tcPr>
            <w:tcW w:type="dxa" w:w="2880"/>
          </w:tcPr>
          <w:p>
            <w:pPr/>
            <w:r>
              <w:rPr>
                <w:sz w:val="18"/>
              </w:rPr>
              <w:t>Closing Auction Uncross</w:t>
            </w:r>
          </w:p>
        </w:tc>
        <w:tc>
          <w:tcPr>
            <w:tcW w:type="dxa" w:w="2880"/>
          </w:tcPr>
          <w:p>
            <w:pPr/>
            <w:r>
              <w:rPr>
                <w:sz w:val="18"/>
              </w:rPr>
              <w:t>~17:30</w:t>
            </w:r>
          </w:p>
        </w:tc>
        <w:tc>
          <w:tcPr>
            <w:tcW w:type="dxa" w:w="2880"/>
          </w:tcPr>
          <w:p>
            <w:pPr/>
            <w:r>
              <w:rPr>
                <w:sz w:val="18"/>
              </w:rPr>
              <w:t>Closing price determined via auction uncross</w:t>
            </w:r>
          </w:p>
        </w:tc>
      </w:tr>
      <w:tr>
        <w:tc>
          <w:tcPr>
            <w:tcW w:type="dxa" w:w="2880"/>
          </w:tcPr>
          <w:p>
            <w:pPr/>
            <w:r>
              <w:rPr>
                <w:sz w:val="18"/>
              </w:rPr>
              <w:t>Trading@Closing Price</w:t>
            </w:r>
          </w:p>
        </w:tc>
        <w:tc>
          <w:tcPr>
            <w:tcW w:type="dxa" w:w="2880"/>
          </w:tcPr>
          <w:p>
            <w:pPr/>
            <w:r>
              <w:rPr>
                <w:sz w:val="18"/>
              </w:rPr>
              <w:t>17:30 - 17:40</w:t>
            </w:r>
          </w:p>
        </w:tc>
        <w:tc>
          <w:tcPr>
            <w:tcW w:type="dxa" w:w="2880"/>
          </w:tcPr>
          <w:p>
            <w:pPr/>
            <w:r>
              <w:rPr>
                <w:sz w:val="18"/>
              </w:rPr>
              <w:t>Orders can execute at the established closing price only (Copenhagen: 17:00-17:10 CET) [unverified]</w:t>
            </w:r>
          </w:p>
        </w:tc>
      </w:tr>
    </w:tbl>
    <w:p/>
    <w:p>
      <w:r>
        <w:t>Note: Iceland operates in GMT (UTC+0), which is CET-1. Specific trading hours may vary slightly by market (Stockholm, Helsinki, Copenhagen, Iceland, Baltic). Warrants and certificates may have extended hours from 08:15 CET. Times shown are representative of the standard Nordic equity schedule.</w:t>
      </w:r>
    </w:p>
    <w:p>
      <w:pPr>
        <w:pStyle w:val="Heading3"/>
      </w:pPr>
      <w:r>
        <w:t>2.3 Tick Sizes</w:t>
      </w:r>
    </w:p>
    <w:p>
      <w:r>
        <w:t>Nasdaq Nordic and Baltic markets follow the MiFID II tick size regime (Commission Delegated Regulation (EU) 2017/588, aka RTS 11), implemented since January 2, 2018.</w:t>
      </w:r>
    </w:p>
    <w:p>
      <w:pPr>
        <w:pStyle w:val="ListBullet"/>
      </w:pPr>
      <w:r>
        <w:t>Tick sizes are determined by a matrix of price level and liquidity band (based on Average Daily Number of Transactions, ADNT)</w:t>
      </w:r>
    </w:p>
    <w:p>
      <w:pPr>
        <w:pStyle w:val="ListBullet"/>
      </w:pPr>
      <w:r>
        <w:t>Six liquidity bands exist, ranging from fewer than 10 ADNT to 9,000+ ADNT</w:t>
      </w:r>
    </w:p>
    <w:p>
      <w:pPr>
        <w:pStyle w:val="ListBullet"/>
      </w:pPr>
      <w:r>
        <w:t>The tick size table is the same as used across all EU/EEA regulated markets (harmonized under MiFID II)</w:t>
      </w:r>
    </w:p>
    <w:p>
      <w:pPr>
        <w:pStyle w:val="ListBullet"/>
      </w:pPr>
      <w:r>
        <w:t>Nasdaq Iceland markets were excluded from the MiFID II tick size regime at initial implementation [unverified whether since adopted]</w:t>
      </w:r>
    </w:p>
    <w:p>
      <w:pPr>
        <w:pStyle w:val="ListBullet"/>
      </w:pPr>
      <w:r>
        <w:t>ETFs with equity underlyings also follow the MiFID II tick size table</w:t>
      </w:r>
    </w:p>
    <w:p>
      <w:pPr>
        <w:pStyle w:val="ListBullet"/>
      </w:pPr>
      <w:r>
        <w:t>Other products (warrants, certificates, equity rights) use exchange-specific tick size tables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Price Range (EUR)</w:t>
            </w:r>
          </w:p>
        </w:tc>
        <w:tc>
          <w:tcPr>
            <w:tcW w:type="dxa" w:w="2160"/>
          </w:tcPr>
          <w:p>
            <w:pPr/>
            <w:r>
              <w:rPr>
                <w:b/>
                <w:sz w:val="18"/>
              </w:rPr>
              <w:t>Low Liquidity (&lt; 10 ADNT)</w:t>
            </w:r>
          </w:p>
        </w:tc>
        <w:tc>
          <w:tcPr>
            <w:tcW w:type="dxa" w:w="2160"/>
          </w:tcPr>
          <w:p>
            <w:pPr/>
            <w:r>
              <w:rPr>
                <w:b/>
                <w:sz w:val="18"/>
              </w:rPr>
              <w:t>Medium Liquidity (80-600 ADNT)</w:t>
            </w:r>
          </w:p>
        </w:tc>
        <w:tc>
          <w:tcPr>
            <w:tcW w:type="dxa" w:w="2160"/>
          </w:tcPr>
          <w:p>
            <w:pPr/>
            <w:r>
              <w:rPr>
                <w:b/>
                <w:sz w:val="18"/>
              </w:rPr>
              <w:t>High Liquidity (&gt;= 9000 ADNT)</w:t>
            </w:r>
          </w:p>
        </w:tc>
      </w:tr>
      <w:tr>
        <w:tc>
          <w:tcPr>
            <w:tcW w:type="dxa" w:w="2160"/>
          </w:tcPr>
          <w:p>
            <w:pPr/>
            <w:r>
              <w:rPr>
                <w:sz w:val="18"/>
              </w:rPr>
              <w:t>0 - 0.4999</w:t>
            </w:r>
          </w:p>
        </w:tc>
        <w:tc>
          <w:tcPr>
            <w:tcW w:type="dxa" w:w="2160"/>
          </w:tcPr>
          <w:p>
            <w:pPr/>
            <w:r>
              <w:rPr>
                <w:sz w:val="18"/>
              </w:rPr>
              <w:t>0.005</w:t>
            </w:r>
          </w:p>
        </w:tc>
        <w:tc>
          <w:tcPr>
            <w:tcW w:type="dxa" w:w="2160"/>
          </w:tcPr>
          <w:p>
            <w:pPr/>
            <w:r>
              <w:rPr>
                <w:sz w:val="18"/>
              </w:rPr>
              <w:t>0.002</w:t>
            </w:r>
          </w:p>
        </w:tc>
        <w:tc>
          <w:tcPr>
            <w:tcW w:type="dxa" w:w="2160"/>
          </w:tcPr>
          <w:p>
            <w:pPr/>
            <w:r>
              <w:rPr>
                <w:sz w:val="18"/>
              </w:rPr>
              <w:t>0.0005</w:t>
            </w:r>
          </w:p>
        </w:tc>
      </w:tr>
      <w:tr>
        <w:tc>
          <w:tcPr>
            <w:tcW w:type="dxa" w:w="2160"/>
          </w:tcPr>
          <w:p>
            <w:pPr/>
            <w:r>
              <w:rPr>
                <w:sz w:val="18"/>
              </w:rPr>
              <w:t>0.5 - 0.9999</w:t>
            </w:r>
          </w:p>
        </w:tc>
        <w:tc>
          <w:tcPr>
            <w:tcW w:type="dxa" w:w="2160"/>
          </w:tcPr>
          <w:p>
            <w:pPr/>
            <w:r>
              <w:rPr>
                <w:sz w:val="18"/>
              </w:rPr>
              <w:t>0.01</w:t>
            </w:r>
          </w:p>
        </w:tc>
        <w:tc>
          <w:tcPr>
            <w:tcW w:type="dxa" w:w="2160"/>
          </w:tcPr>
          <w:p>
            <w:pPr/>
            <w:r>
              <w:rPr>
                <w:sz w:val="18"/>
              </w:rPr>
              <w:t>0.005</w:t>
            </w:r>
          </w:p>
        </w:tc>
        <w:tc>
          <w:tcPr>
            <w:tcW w:type="dxa" w:w="2160"/>
          </w:tcPr>
          <w:p>
            <w:pPr/>
            <w:r>
              <w:rPr>
                <w:sz w:val="18"/>
              </w:rPr>
              <w:t>0.001</w:t>
            </w:r>
          </w:p>
        </w:tc>
      </w:tr>
      <w:tr>
        <w:tc>
          <w:tcPr>
            <w:tcW w:type="dxa" w:w="2160"/>
          </w:tcPr>
          <w:p>
            <w:pPr/>
            <w:r>
              <w:rPr>
                <w:sz w:val="18"/>
              </w:rPr>
              <w:t>1 - 1.9999</w:t>
            </w:r>
          </w:p>
        </w:tc>
        <w:tc>
          <w:tcPr>
            <w:tcW w:type="dxa" w:w="2160"/>
          </w:tcPr>
          <w:p>
            <w:pPr/>
            <w:r>
              <w:rPr>
                <w:sz w:val="18"/>
              </w:rPr>
              <w:t>0.02</w:t>
            </w:r>
          </w:p>
        </w:tc>
        <w:tc>
          <w:tcPr>
            <w:tcW w:type="dxa" w:w="2160"/>
          </w:tcPr>
          <w:p>
            <w:pPr/>
            <w:r>
              <w:rPr>
                <w:sz w:val="18"/>
              </w:rPr>
              <w:t>0.01</w:t>
            </w:r>
          </w:p>
        </w:tc>
        <w:tc>
          <w:tcPr>
            <w:tcW w:type="dxa" w:w="2160"/>
          </w:tcPr>
          <w:p>
            <w:pPr/>
            <w:r>
              <w:rPr>
                <w:sz w:val="18"/>
              </w:rPr>
              <w:t>0.002</w:t>
            </w:r>
          </w:p>
        </w:tc>
      </w:tr>
      <w:tr>
        <w:tc>
          <w:tcPr>
            <w:tcW w:type="dxa" w:w="2160"/>
          </w:tcPr>
          <w:p>
            <w:pPr/>
            <w:r>
              <w:rPr>
                <w:sz w:val="18"/>
              </w:rPr>
              <w:t>2 - 4.9999</w:t>
            </w:r>
          </w:p>
        </w:tc>
        <w:tc>
          <w:tcPr>
            <w:tcW w:type="dxa" w:w="2160"/>
          </w:tcPr>
          <w:p>
            <w:pPr/>
            <w:r>
              <w:rPr>
                <w:sz w:val="18"/>
              </w:rPr>
              <w:t>0.05</w:t>
            </w:r>
          </w:p>
        </w:tc>
        <w:tc>
          <w:tcPr>
            <w:tcW w:type="dxa" w:w="2160"/>
          </w:tcPr>
          <w:p>
            <w:pPr/>
            <w:r>
              <w:rPr>
                <w:sz w:val="18"/>
              </w:rPr>
              <w:t>0.02</w:t>
            </w:r>
          </w:p>
        </w:tc>
        <w:tc>
          <w:tcPr>
            <w:tcW w:type="dxa" w:w="2160"/>
          </w:tcPr>
          <w:p>
            <w:pPr/>
            <w:r>
              <w:rPr>
                <w:sz w:val="18"/>
              </w:rPr>
              <w:t>0.005</w:t>
            </w:r>
          </w:p>
        </w:tc>
      </w:tr>
      <w:tr>
        <w:tc>
          <w:tcPr>
            <w:tcW w:type="dxa" w:w="2160"/>
          </w:tcPr>
          <w:p>
            <w:pPr/>
            <w:r>
              <w:rPr>
                <w:sz w:val="18"/>
              </w:rPr>
              <w:t>5 - 9.9999</w:t>
            </w:r>
          </w:p>
        </w:tc>
        <w:tc>
          <w:tcPr>
            <w:tcW w:type="dxa" w:w="2160"/>
          </w:tcPr>
          <w:p>
            <w:pPr/>
            <w:r>
              <w:rPr>
                <w:sz w:val="18"/>
              </w:rPr>
              <w:t>0.1</w:t>
            </w:r>
          </w:p>
        </w:tc>
        <w:tc>
          <w:tcPr>
            <w:tcW w:type="dxa" w:w="2160"/>
          </w:tcPr>
          <w:p>
            <w:pPr/>
            <w:r>
              <w:rPr>
                <w:sz w:val="18"/>
              </w:rPr>
              <w:t>0.05</w:t>
            </w:r>
          </w:p>
        </w:tc>
        <w:tc>
          <w:tcPr>
            <w:tcW w:type="dxa" w:w="2160"/>
          </w:tcPr>
          <w:p>
            <w:pPr/>
            <w:r>
              <w:rPr>
                <w:sz w:val="18"/>
              </w:rPr>
              <w:t>0.01</w:t>
            </w:r>
          </w:p>
        </w:tc>
      </w:tr>
      <w:tr>
        <w:tc>
          <w:tcPr>
            <w:tcW w:type="dxa" w:w="2160"/>
          </w:tcPr>
          <w:p>
            <w:pPr/>
            <w:r>
              <w:rPr>
                <w:sz w:val="18"/>
              </w:rPr>
              <w:t>10 - 49.9999</w:t>
            </w:r>
          </w:p>
        </w:tc>
        <w:tc>
          <w:tcPr>
            <w:tcW w:type="dxa" w:w="2160"/>
          </w:tcPr>
          <w:p>
            <w:pPr/>
            <w:r>
              <w:rPr>
                <w:sz w:val="18"/>
              </w:rPr>
              <w:t>0.2 - 0.5</w:t>
            </w:r>
          </w:p>
        </w:tc>
        <w:tc>
          <w:tcPr>
            <w:tcW w:type="dxa" w:w="2160"/>
          </w:tcPr>
          <w:p>
            <w:pPr/>
            <w:r>
              <w:rPr>
                <w:sz w:val="18"/>
              </w:rPr>
              <w:t>0.1 - 0.2</w:t>
            </w:r>
          </w:p>
        </w:tc>
        <w:tc>
          <w:tcPr>
            <w:tcW w:type="dxa" w:w="2160"/>
          </w:tcPr>
          <w:p>
            <w:pPr/>
            <w:r>
              <w:rPr>
                <w:sz w:val="18"/>
              </w:rPr>
              <w:t>0.02 - 0.05</w:t>
            </w:r>
          </w:p>
        </w:tc>
      </w:tr>
    </w:tbl>
    <w:p/>
    <w:p>
      <w:r>
        <w:t>[Source: ESMA RTS 11; representative subset -- full table contains 13 price ranges x 6 liquidity bands]</w:t>
      </w:r>
    </w:p>
    <w:p>
      <w:pPr>
        <w:pStyle w:val="Heading3"/>
      </w:pPr>
      <w:r>
        <w:t>2.4 Lot Sizes</w:t>
      </w:r>
    </w:p>
    <w:p>
      <w:pPr>
        <w:pStyle w:val="ListBullet"/>
      </w:pPr>
      <w:r>
        <w:t>Standard lot size: 1 share for most equities</w:t>
      </w:r>
    </w:p>
    <w:p>
      <w:pPr>
        <w:pStyle w:val="ListBullet"/>
      </w:pPr>
      <w:r>
        <w:t>Odd lot trading is supported</w:t>
      </w:r>
    </w:p>
    <w:p>
      <w:pPr>
        <w:pStyle w:val="ListBullet"/>
      </w:pPr>
      <w:r>
        <w:t>Block trade thresholds defined under MiFID II Large-in-Scale (LIS) waivers, varying by instrument liquidity</w:t>
      </w:r>
    </w:p>
    <w:p>
      <w:pPr>
        <w:pStyle w:val="Heading3"/>
      </w:pPr>
      <w:r>
        <w:t>2.5 Market Maker / Liquidity Provider Programs</w:t>
      </w:r>
    </w:p>
    <w:p>
      <w:pPr>
        <w:pStyle w:val="ListBullet"/>
      </w:pPr>
      <w:r>
        <w:t>Nasdaq Nordic operates liquidity provider programs where market makers commit to maintaining continuous two-sided quotes within specified spread and size parameters</w:t>
      </w:r>
    </w:p>
    <w:p>
      <w:pPr>
        <w:pStyle w:val="ListBullet"/>
      </w:pPr>
      <w:r>
        <w:t>Registered market makers may receive reduced trading fees as incentives</w:t>
      </w:r>
    </w:p>
    <w:p>
      <w:pPr>
        <w:pStyle w:val="ListBullet"/>
      </w:pPr>
      <w:r>
        <w:t>First North Growth Market requires Certified Advisers (not market makers per se, but advisory role); some First North instruments also have liquidity providers</w:t>
      </w:r>
    </w:p>
    <w:p>
      <w:pPr>
        <w:pStyle w:val="ListBullet"/>
      </w:pPr>
      <w:r>
        <w:t>Less liquid instruments on First North Denmark have been moved to an auction-only trading model to support price discovery [unverified]</w:t>
      </w:r>
    </w:p>
    <w:p>
      <w:r>
        <w:t>────────────────────────────────────────────────────────────</w:t>
      </w:r>
    </w:p>
    <w:p>
      <w:pPr>
        <w:pStyle w:val="Heading2"/>
      </w:pPr>
      <w:r>
        <w:t>3. Trading Mechanism</w:t>
      </w:r>
    </w:p>
    <w:p>
      <w:pPr>
        <w:pStyle w:val="Heading3"/>
      </w:pPr>
      <w:r>
        <w:t>3.1 Auction Mechanisms</w:t>
      </w:r>
    </w:p>
    <w:p>
      <w:pPr>
        <w:pStyle w:val="ListBullet"/>
      </w:pPr>
      <w:r>
        <w:t>Opening Auction: During the pre-open phase, orders accumulate. At 09:00 CET, the opening uncross determines the opening price by maximizing executable volume. Each order book uncrosses randomly within a 5-second window (09:00:00 - 09:00:05) to prevent manipulation</w:t>
      </w:r>
    </w:p>
    <w:p>
      <w:pPr>
        <w:pStyle w:val="ListBullet"/>
      </w:pPr>
      <w:r>
        <w:t>Closing Auction: At the end of continuous trading (~17:25 CET), the market enters a closing call period. The closing uncross at ~17:30 CET determines the official closing price, which is used by index providers, fund managers, and for NAV calculations</w:t>
      </w:r>
    </w:p>
    <w:p>
      <w:pPr>
        <w:pStyle w:val="ListBullet"/>
      </w:pPr>
      <w:r>
        <w:t>Scheduled Intraday Auctions: For less liquid instruments in the "Auction Only" trading segment, scheduled intraday auctions occur at set intervals (e.g., 11:00, 13:00, 15:00 CET) without continuous trading between them</w:t>
      </w:r>
    </w:p>
    <w:p>
      <w:pPr>
        <w:pStyle w:val="ListBullet"/>
      </w:pPr>
      <w:r>
        <w:t>Volatility Auctions: Triggered when a potential execution price would breach Volatility Guard thresholds (see Section 8). Continuous trading is halted and an auction call period of 60-180 seconds is initiated to allow orderly price discovery</w:t>
      </w:r>
    </w:p>
    <w:p>
      <w:pPr>
        <w:pStyle w:val="Heading3"/>
      </w:pPr>
      <w:r>
        <w:t>3.2 Continuous Trading</w:t>
      </w:r>
    </w:p>
    <w:p>
      <w:pPr>
        <w:pStyle w:val="ListBullet"/>
      </w:pPr>
      <w:r>
        <w:t>Order-driven market with price/time priority</w:t>
      </w:r>
    </w:p>
    <w:p>
      <w:pPr>
        <w:pStyle w:val="ListBullet"/>
      </w:pPr>
      <w:r>
        <w:t>Continuous matching occurs between the opening and closing auctions (approximately 09:00 - 17:25 CET)</w:t>
      </w:r>
    </w:p>
    <w:p>
      <w:pPr>
        <w:pStyle w:val="ListBullet"/>
      </w:pPr>
      <w:r>
        <w:t>The INET matching engine processes incoming orders against the resting order book using strict price/time priority</w:t>
      </w:r>
    </w:p>
    <w:p>
      <w:pPr>
        <w:pStyle w:val="ListBullet"/>
      </w:pPr>
      <w:r>
        <w:t>Market makers (liquidity providers) can provide continuous quotes but the system is fundamentally order-driven, not quote-driven</w:t>
      </w:r>
    </w:p>
    <w:p>
      <w:pPr>
        <w:pStyle w:val="ListBullet"/>
      </w:pPr>
      <w:r>
        <w:t>Dark order functionality is available (hidden and midpoint orders)</w:t>
      </w:r>
    </w:p>
    <w:p>
      <w:pPr>
        <w:pStyle w:val="Heading3"/>
      </w:pPr>
      <w:r>
        <w:t>3.3 Price Discovery</w:t>
      </w:r>
    </w:p>
    <w:p>
      <w:pPr>
        <w:pStyle w:val="ListBullet"/>
      </w:pPr>
      <w:r>
        <w:t>Primary price discovery occurs through the opening and closing auctions</w:t>
      </w:r>
    </w:p>
    <w:p>
      <w:pPr>
        <w:pStyle w:val="ListBullet"/>
      </w:pPr>
      <w:r>
        <w:t>The uncrossing algorithm maximizes executable volume, then minimizes surplus, then references the prior price</w:t>
      </w:r>
    </w:p>
    <w:p>
      <w:pPr>
        <w:pStyle w:val="ListBullet"/>
      </w:pPr>
      <w:r>
        <w:t>Reference prices for Volatility Guards are dynamically updated based on recent trades (Dynamic) and the day's opening auction price (Static)</w:t>
      </w:r>
    </w:p>
    <w:p>
      <w:pPr>
        <w:pStyle w:val="ListBullet"/>
      </w:pPr>
      <w:r>
        <w:t>Trading@Closing session allows additional volume to trade at the established closing price, ensuring end-of-day liquidity</w:t>
      </w:r>
    </w:p>
    <w:p>
      <w:r>
        <w:t>────────────────────────────────────────────────────────────</w:t>
      </w:r>
    </w:p>
    <w:p>
      <w:pPr>
        <w:pStyle w:val="Heading2"/>
      </w:pPr>
      <w:r>
        <w:t>4. Order Types</w:t>
      </w:r>
    </w:p>
    <w:p>
      <w:pPr>
        <w:pStyle w:val="Heading3"/>
      </w:pPr>
      <w:r>
        <w:t>4.1 Standard Order Types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Order Type</w:t>
            </w:r>
          </w:p>
        </w:tc>
        <w:tc>
          <w:tcPr>
            <w:tcW w:type="dxa" w:w="4320"/>
          </w:tcPr>
          <w:p>
            <w:pPr/>
            <w:r>
              <w:rPr>
                <w:b/>
                <w:sz w:val="18"/>
              </w:rPr>
              <w:t>Description</w:t>
            </w:r>
          </w:p>
        </w:tc>
      </w:tr>
      <w:tr>
        <w:tc>
          <w:tcPr>
            <w:tcW w:type="dxa" w:w="4320"/>
          </w:tcPr>
          <w:p>
            <w:pPr/>
            <w:r>
              <w:rPr>
                <w:sz w:val="18"/>
              </w:rPr>
              <w:t>Limit Order</w:t>
            </w:r>
          </w:p>
        </w:tc>
        <w:tc>
          <w:tcPr>
            <w:tcW w:type="dxa" w:w="4320"/>
          </w:tcPr>
          <w:p>
            <w:pPr/>
            <w:r>
              <w:rPr>
                <w:sz w:val="18"/>
              </w:rPr>
              <w:t>Buy/sell at a specified price or better; rests on the order book if not immediately matched</w:t>
            </w:r>
          </w:p>
        </w:tc>
      </w:tr>
      <w:tr>
        <w:tc>
          <w:tcPr>
            <w:tcW w:type="dxa" w:w="4320"/>
          </w:tcPr>
          <w:p>
            <w:pPr/>
            <w:r>
              <w:rPr>
                <w:sz w:val="18"/>
              </w:rPr>
              <w:t>Market Order</w:t>
            </w:r>
          </w:p>
        </w:tc>
        <w:tc>
          <w:tcPr>
            <w:tcW w:type="dxa" w:w="4320"/>
          </w:tcPr>
          <w:p>
            <w:pPr/>
            <w:r>
              <w:rPr>
                <w:sz w:val="18"/>
              </w:rPr>
              <w:t>Executes at the best available price; unmatched remainder is cancelled</w:t>
            </w:r>
          </w:p>
        </w:tc>
      </w:tr>
    </w:tbl>
    <w:p/>
    <w:p>
      <w:pPr>
        <w:pStyle w:val="Heading3"/>
      </w:pPr>
      <w:r>
        <w:t>4.2 Advanced Order Types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Order Type</w:t>
            </w:r>
          </w:p>
        </w:tc>
        <w:tc>
          <w:tcPr>
            <w:tcW w:type="dxa" w:w="4320"/>
          </w:tcPr>
          <w:p>
            <w:pPr/>
            <w:r>
              <w:rPr>
                <w:b/>
                <w:sz w:val="18"/>
              </w:rPr>
              <w:t>Description</w:t>
            </w:r>
          </w:p>
        </w:tc>
      </w:tr>
      <w:tr>
        <w:tc>
          <w:tcPr>
            <w:tcW w:type="dxa" w:w="4320"/>
          </w:tcPr>
          <w:p>
            <w:pPr/>
            <w:r>
              <w:rPr>
                <w:sz w:val="18"/>
              </w:rPr>
              <w:t>Iceberg Order</w:t>
            </w:r>
          </w:p>
        </w:tc>
        <w:tc>
          <w:tcPr>
            <w:tcW w:type="dxa" w:w="4320"/>
          </w:tcPr>
          <w:p>
            <w:pPr/>
            <w:r>
              <w:rPr>
                <w:sz w:val="18"/>
              </w:rPr>
              <w:t>Only a visible portion (peak) is displayed; hidden reserve replenishes automatically as the peak is filled</w:t>
            </w:r>
          </w:p>
        </w:tc>
      </w:tr>
      <w:tr>
        <w:tc>
          <w:tcPr>
            <w:tcW w:type="dxa" w:w="4320"/>
          </w:tcPr>
          <w:p>
            <w:pPr/>
            <w:r>
              <w:rPr>
                <w:sz w:val="18"/>
              </w:rPr>
              <w:t>Hidden Order</w:t>
            </w:r>
          </w:p>
        </w:tc>
        <w:tc>
          <w:tcPr>
            <w:tcW w:type="dxa" w:w="4320"/>
          </w:tcPr>
          <w:p>
            <w:pPr/>
            <w:r>
              <w:rPr>
                <w:sz w:val="18"/>
              </w:rPr>
              <w:t>Entire quantity is hidden from the visible order book; lower priority than displayed orders at the same price</w:t>
            </w:r>
          </w:p>
        </w:tc>
      </w:tr>
      <w:tr>
        <w:tc>
          <w:tcPr>
            <w:tcW w:type="dxa" w:w="4320"/>
          </w:tcPr>
          <w:p>
            <w:pPr/>
            <w:r>
              <w:rPr>
                <w:sz w:val="18"/>
              </w:rPr>
              <w:t>Mid-Point Order</w:t>
            </w:r>
          </w:p>
        </w:tc>
        <w:tc>
          <w:tcPr>
            <w:tcW w:type="dxa" w:w="4320"/>
          </w:tcPr>
          <w:p>
            <w:pPr/>
            <w:r>
              <w:rPr>
                <w:sz w:val="18"/>
              </w:rPr>
              <w:t>Pegged to the midpoint of the best bid and offer; executes in the dark book [unverified]</w:t>
            </w:r>
          </w:p>
        </w:tc>
      </w:tr>
      <w:tr>
        <w:tc>
          <w:tcPr>
            <w:tcW w:type="dxa" w:w="4320"/>
          </w:tcPr>
          <w:p>
            <w:pPr/>
            <w:r>
              <w:rPr>
                <w:sz w:val="18"/>
              </w:rPr>
              <w:t>Reserve Order</w:t>
            </w:r>
          </w:p>
        </w:tc>
        <w:tc>
          <w:tcPr>
            <w:tcW w:type="dxa" w:w="4320"/>
          </w:tcPr>
          <w:p>
            <w:pPr/>
            <w:r>
              <w:rPr>
                <w:sz w:val="18"/>
              </w:rPr>
              <w:t>Similar to Iceberg; configurable visible and hidden quantities [unverified]</w:t>
            </w:r>
          </w:p>
        </w:tc>
      </w:tr>
    </w:tbl>
    <w:p/>
    <w:p>
      <w:pPr>
        <w:pStyle w:val="Heading3"/>
      </w:pPr>
      <w:r>
        <w:t>4.3 Time-in-Force Options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TIF</w:t>
            </w:r>
          </w:p>
        </w:tc>
        <w:tc>
          <w:tcPr>
            <w:tcW w:type="dxa" w:w="4320"/>
          </w:tcPr>
          <w:p>
            <w:pPr/>
            <w:r>
              <w:rPr>
                <w:b/>
                <w:sz w:val="18"/>
              </w:rPr>
              <w:t>Description</w:t>
            </w:r>
          </w:p>
        </w:tc>
      </w:tr>
      <w:tr>
        <w:tc>
          <w:tcPr>
            <w:tcW w:type="dxa" w:w="4320"/>
          </w:tcPr>
          <w:p>
            <w:pPr/>
            <w:r>
              <w:rPr>
                <w:sz w:val="18"/>
              </w:rPr>
              <w:t>Day (DAY)</w:t>
            </w:r>
          </w:p>
        </w:tc>
        <w:tc>
          <w:tcPr>
            <w:tcW w:type="dxa" w:w="4320"/>
          </w:tcPr>
          <w:p>
            <w:pPr/>
            <w:r>
              <w:rPr>
                <w:sz w:val="18"/>
              </w:rPr>
              <w:t>Valid for the current trading day; cancelled at end of day</w:t>
            </w:r>
          </w:p>
        </w:tc>
      </w:tr>
      <w:tr>
        <w:tc>
          <w:tcPr>
            <w:tcW w:type="dxa" w:w="4320"/>
          </w:tcPr>
          <w:p>
            <w:pPr/>
            <w:r>
              <w:rPr>
                <w:sz w:val="18"/>
              </w:rPr>
              <w:t>Good till Cancelled (GTC)</w:t>
            </w:r>
          </w:p>
        </w:tc>
        <w:tc>
          <w:tcPr>
            <w:tcW w:type="dxa" w:w="4320"/>
          </w:tcPr>
          <w:p>
            <w:pPr/>
            <w:r>
              <w:rPr>
                <w:sz w:val="18"/>
              </w:rPr>
              <w:t>Remains active until executed or cancelled (subject to exchange maximum)</w:t>
            </w:r>
          </w:p>
        </w:tc>
      </w:tr>
      <w:tr>
        <w:tc>
          <w:tcPr>
            <w:tcW w:type="dxa" w:w="4320"/>
          </w:tcPr>
          <w:p>
            <w:pPr/>
            <w:r>
              <w:rPr>
                <w:sz w:val="18"/>
              </w:rPr>
              <w:t>Good till Date (GTD)</w:t>
            </w:r>
          </w:p>
        </w:tc>
        <w:tc>
          <w:tcPr>
            <w:tcW w:type="dxa" w:w="4320"/>
          </w:tcPr>
          <w:p>
            <w:pPr/>
            <w:r>
              <w:rPr>
                <w:sz w:val="18"/>
              </w:rPr>
              <w:t>Valid until a specified expiry date</w:t>
            </w:r>
          </w:p>
        </w:tc>
      </w:tr>
      <w:tr>
        <w:tc>
          <w:tcPr>
            <w:tcW w:type="dxa" w:w="4320"/>
          </w:tcPr>
          <w:p>
            <w:pPr/>
            <w:r>
              <w:rPr>
                <w:sz w:val="18"/>
              </w:rPr>
              <w:t>Immediate or Cancel (IOC)</w:t>
            </w:r>
          </w:p>
        </w:tc>
        <w:tc>
          <w:tcPr>
            <w:tcW w:type="dxa" w:w="4320"/>
          </w:tcPr>
          <w:p>
            <w:pPr/>
            <w:r>
              <w:rPr>
                <w:sz w:val="18"/>
              </w:rPr>
              <w:t>Execute available quantity immediately; cancel remainder</w:t>
            </w:r>
          </w:p>
        </w:tc>
      </w:tr>
      <w:tr>
        <w:tc>
          <w:tcPr>
            <w:tcW w:type="dxa" w:w="4320"/>
          </w:tcPr>
          <w:p>
            <w:pPr/>
            <w:r>
              <w:rPr>
                <w:sz w:val="18"/>
              </w:rPr>
              <w:t>Fill or Kill (FOK)</w:t>
            </w:r>
          </w:p>
        </w:tc>
        <w:tc>
          <w:tcPr>
            <w:tcW w:type="dxa" w:w="4320"/>
          </w:tcPr>
          <w:p>
            <w:pPr/>
            <w:r>
              <w:rPr>
                <w:sz w:val="18"/>
              </w:rPr>
              <w:t>Must execute in full immediately or entire order is cancelled</w:t>
            </w:r>
          </w:p>
        </w:tc>
      </w:tr>
      <w:tr>
        <w:tc>
          <w:tcPr>
            <w:tcW w:type="dxa" w:w="4320"/>
          </w:tcPr>
          <w:p>
            <w:pPr/>
            <w:r>
              <w:rPr>
                <w:sz w:val="18"/>
              </w:rPr>
              <w:t>At the Open (ATO)</w:t>
            </w:r>
          </w:p>
        </w:tc>
        <w:tc>
          <w:tcPr>
            <w:tcW w:type="dxa" w:w="4320"/>
          </w:tcPr>
          <w:p>
            <w:pPr/>
            <w:r>
              <w:rPr>
                <w:sz w:val="18"/>
              </w:rPr>
              <w:t>Valid only during the opening auction</w:t>
            </w:r>
          </w:p>
        </w:tc>
      </w:tr>
      <w:tr>
        <w:tc>
          <w:tcPr>
            <w:tcW w:type="dxa" w:w="4320"/>
          </w:tcPr>
          <w:p>
            <w:pPr/>
            <w:r>
              <w:rPr>
                <w:sz w:val="18"/>
              </w:rPr>
              <w:t>At the Close (ATC)</w:t>
            </w:r>
          </w:p>
        </w:tc>
        <w:tc>
          <w:tcPr>
            <w:tcW w:type="dxa" w:w="4320"/>
          </w:tcPr>
          <w:p>
            <w:pPr/>
            <w:r>
              <w:rPr>
                <w:sz w:val="18"/>
              </w:rPr>
              <w:t>Valid only during the closing auction</w:t>
            </w:r>
          </w:p>
        </w:tc>
      </w:tr>
    </w:tbl>
    <w:p/>
    <w:p>
      <w:pPr>
        <w:pStyle w:val="Heading3"/>
      </w:pPr>
      <w:r>
        <w:t>4.4 Order Modification / Cancellation</w:t>
      </w:r>
    </w:p>
    <w:p>
      <w:pPr>
        <w:pStyle w:val="ListBullet"/>
      </w:pPr>
      <w:r>
        <w:t>Orders can be amended (price, quantity) or cancelled during trading sessions via OUCH or FIX gateway</w:t>
      </w:r>
    </w:p>
    <w:p>
      <w:pPr>
        <w:pStyle w:val="ListBullet"/>
      </w:pPr>
      <w:r>
        <w:t>Price improvements result in loss of time priority (new timestamp)</w:t>
      </w:r>
    </w:p>
    <w:p>
      <w:pPr>
        <w:pStyle w:val="ListBullet"/>
      </w:pPr>
      <w:r>
        <w:t>Quantity reductions preserve time priority</w:t>
      </w:r>
    </w:p>
    <w:p>
      <w:pPr>
        <w:pStyle w:val="ListBullet"/>
      </w:pPr>
      <w:r>
        <w:t>Mass cancellation functionality available through PRM Kill Switch</w:t>
      </w:r>
    </w:p>
    <w:p>
      <w:r>
        <w:t>────────────────────────────────────────────────────────────</w:t>
      </w:r>
    </w:p>
    <w:p>
      <w:pPr>
        <w:pStyle w:val="Heading2"/>
      </w:pPr>
      <w:r>
        <w:t>5. Trading System (Technology)</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Item</w:t>
            </w:r>
          </w:p>
        </w:tc>
        <w:tc>
          <w:tcPr>
            <w:tcW w:type="dxa" w:w="4320"/>
          </w:tcPr>
          <w:p>
            <w:pPr/>
            <w:r>
              <w:rPr>
                <w:b/>
                <w:sz w:val="18"/>
              </w:rPr>
              <w:t>Details</w:t>
            </w:r>
          </w:p>
        </w:tc>
      </w:tr>
      <w:tr>
        <w:tc>
          <w:tcPr>
            <w:tcW w:type="dxa" w:w="4320"/>
          </w:tcPr>
          <w:p>
            <w:pPr/>
            <w:r>
              <w:rPr>
                <w:sz w:val="18"/>
              </w:rPr>
              <w:t>System Name</w:t>
            </w:r>
          </w:p>
        </w:tc>
        <w:tc>
          <w:tcPr>
            <w:tcW w:type="dxa" w:w="4320"/>
          </w:tcPr>
          <w:p>
            <w:pPr/>
            <w:r>
              <w:rPr>
                <w:sz w:val="18"/>
              </w:rPr>
              <w:t>**INET Nordic** (for equities, ETFs, warrants, certificates); **Genium INET** (for derivatives, fixed income)</w:t>
            </w:r>
          </w:p>
        </w:tc>
      </w:tr>
      <w:tr>
        <w:tc>
          <w:tcPr>
            <w:tcW w:type="dxa" w:w="4320"/>
          </w:tcPr>
          <w:p>
            <w:pPr/>
            <w:r>
              <w:rPr>
                <w:sz w:val="18"/>
              </w:rPr>
              <w:t>Vendor / In-house</w:t>
            </w:r>
          </w:p>
        </w:tc>
        <w:tc>
          <w:tcPr>
            <w:tcW w:type="dxa" w:w="4320"/>
          </w:tcPr>
          <w:p>
            <w:pPr/>
            <w:r>
              <w:rPr>
                <w:sz w:val="18"/>
              </w:rPr>
              <w:t>In-house (Nasdaq Technology)</w:t>
            </w:r>
          </w:p>
        </w:tc>
      </w:tr>
      <w:tr>
        <w:tc>
          <w:tcPr>
            <w:tcW w:type="dxa" w:w="4320"/>
          </w:tcPr>
          <w:p>
            <w:pPr/>
            <w:r>
              <w:rPr>
                <w:sz w:val="18"/>
              </w:rPr>
              <w:t>Architecture</w:t>
            </w:r>
          </w:p>
        </w:tc>
        <w:tc>
          <w:tcPr>
            <w:tcW w:type="dxa" w:w="4320"/>
          </w:tcPr>
          <w:p>
            <w:pPr/>
            <w:r>
              <w:rPr>
                <w:sz w:val="18"/>
              </w:rPr>
              <w:t>Distributed, low-latency architecture; event-driven matching engine</w:t>
            </w:r>
          </w:p>
        </w:tc>
      </w:tr>
      <w:tr>
        <w:tc>
          <w:tcPr>
            <w:tcW w:type="dxa" w:w="4320"/>
          </w:tcPr>
          <w:p>
            <w:pPr/>
            <w:r>
              <w:rPr>
                <w:sz w:val="18"/>
              </w:rPr>
              <w:t>Matching Engine</w:t>
            </w:r>
          </w:p>
        </w:tc>
        <w:tc>
          <w:tcPr>
            <w:tcW w:type="dxa" w:w="4320"/>
          </w:tcPr>
          <w:p>
            <w:pPr/>
            <w:r>
              <w:rPr>
                <w:sz w:val="18"/>
              </w:rPr>
              <w:t>Central matching engine with strict price/time priority; supports multiple asset classes</w:t>
            </w:r>
          </w:p>
        </w:tc>
      </w:tr>
      <w:tr>
        <w:tc>
          <w:tcPr>
            <w:tcW w:type="dxa" w:w="4320"/>
          </w:tcPr>
          <w:p>
            <w:pPr/>
            <w:r>
              <w:rPr>
                <w:sz w:val="18"/>
              </w:rPr>
              <w:t>Round-trip Latency</w:t>
            </w:r>
          </w:p>
        </w:tc>
        <w:tc>
          <w:tcPr>
            <w:tcW w:type="dxa" w:w="4320"/>
          </w:tcPr>
          <w:p>
            <w:pPr/>
            <w:r>
              <w:rPr>
                <w:sz w:val="18"/>
              </w:rPr>
              <w:t>Sub-100 microseconds average (Genium INET backbone); FIX latency improved by co-locating FIX gateways near matching engine</w:t>
            </w:r>
          </w:p>
        </w:tc>
      </w:tr>
      <w:tr>
        <w:tc>
          <w:tcPr>
            <w:tcW w:type="dxa" w:w="4320"/>
          </w:tcPr>
          <w:p>
            <w:pPr/>
            <w:r>
              <w:rPr>
                <w:sz w:val="18"/>
              </w:rPr>
              <w:t>Order Processing Capacity</w:t>
            </w:r>
          </w:p>
        </w:tc>
        <w:tc>
          <w:tcPr>
            <w:tcW w:type="dxa" w:w="4320"/>
          </w:tcPr>
          <w:p>
            <w:pPr/>
            <w:r>
              <w:rPr>
                <w:sz w:val="18"/>
              </w:rPr>
              <w:t>Over 1,000,000 messages per second throughput capability</w:t>
            </w:r>
          </w:p>
        </w:tc>
      </w:tr>
      <w:tr>
        <w:tc>
          <w:tcPr>
            <w:tcW w:type="dxa" w:w="4320"/>
          </w:tcPr>
          <w:p>
            <w:pPr/>
            <w:r>
              <w:rPr>
                <w:sz w:val="18"/>
              </w:rPr>
              <w:t>Messages Per Second</w:t>
            </w:r>
          </w:p>
        </w:tc>
        <w:tc>
          <w:tcPr>
            <w:tcW w:type="dxa" w:w="4320"/>
          </w:tcPr>
          <w:p>
            <w:pPr/>
            <w:r>
              <w:rPr>
                <w:sz w:val="18"/>
              </w:rPr>
              <w:t>&gt;1,000,000 (designed capacity)</w:t>
            </w:r>
          </w:p>
        </w:tc>
      </w:tr>
      <w:tr>
        <w:tc>
          <w:tcPr>
            <w:tcW w:type="dxa" w:w="4320"/>
          </w:tcPr>
          <w:p>
            <w:pPr/>
            <w:r>
              <w:rPr>
                <w:sz w:val="18"/>
              </w:rPr>
              <w:t>Launch Year</w:t>
            </w:r>
          </w:p>
        </w:tc>
        <w:tc>
          <w:tcPr>
            <w:tcW w:type="dxa" w:w="4320"/>
          </w:tcPr>
          <w:p>
            <w:pPr/>
            <w:r>
              <w:rPr>
                <w:sz w:val="18"/>
              </w:rPr>
              <w:t>INET Nordic platform: incrementally deployed; Genium INET: 2010 for derivatives</w:t>
            </w:r>
          </w:p>
        </w:tc>
      </w:tr>
    </w:tbl>
    <w:p/>
    <w:p>
      <w:pPr>
        <w:pStyle w:val="Heading3"/>
      </w:pPr>
      <w:r>
        <w:t>System History</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Period</w:t>
            </w:r>
          </w:p>
        </w:tc>
        <w:tc>
          <w:tcPr>
            <w:tcW w:type="dxa" w:w="2880"/>
          </w:tcPr>
          <w:p>
            <w:pPr/>
            <w:r>
              <w:rPr>
                <w:b/>
                <w:sz w:val="18"/>
              </w:rPr>
              <w:t>System</w:t>
            </w:r>
          </w:p>
        </w:tc>
        <w:tc>
          <w:tcPr>
            <w:tcW w:type="dxa" w:w="2880"/>
          </w:tcPr>
          <w:p>
            <w:pPr/>
            <w:r>
              <w:rPr>
                <w:b/>
                <w:sz w:val="18"/>
              </w:rPr>
              <w:t>Notes</w:t>
            </w:r>
          </w:p>
        </w:tc>
      </w:tr>
      <w:tr>
        <w:tc>
          <w:tcPr>
            <w:tcW w:type="dxa" w:w="2880"/>
          </w:tcPr>
          <w:p>
            <w:pPr/>
            <w:r>
              <w:rPr>
                <w:sz w:val="18"/>
              </w:rPr>
              <w:t>Pre-1990s</w:t>
            </w:r>
          </w:p>
        </w:tc>
        <w:tc>
          <w:tcPr>
            <w:tcW w:type="dxa" w:w="2880"/>
          </w:tcPr>
          <w:p>
            <w:pPr/>
            <w:r>
              <w:rPr>
                <w:sz w:val="18"/>
              </w:rPr>
              <w:t>Floor-based / early electronic</w:t>
            </w:r>
          </w:p>
        </w:tc>
        <w:tc>
          <w:tcPr>
            <w:tcW w:type="dxa" w:w="2880"/>
          </w:tcPr>
          <w:p>
            <w:pPr/>
            <w:r>
              <w:rPr>
                <w:sz w:val="18"/>
              </w:rPr>
              <w:t>Individual national exchange systems</w:t>
            </w:r>
          </w:p>
        </w:tc>
      </w:tr>
      <w:tr>
        <w:tc>
          <w:tcPr>
            <w:tcW w:type="dxa" w:w="2880"/>
          </w:tcPr>
          <w:p>
            <w:pPr/>
            <w:r>
              <w:rPr>
                <w:sz w:val="18"/>
              </w:rPr>
              <w:t>1990s-2003</w:t>
            </w:r>
          </w:p>
        </w:tc>
        <w:tc>
          <w:tcPr>
            <w:tcW w:type="dxa" w:w="2880"/>
          </w:tcPr>
          <w:p>
            <w:pPr/>
            <w:r>
              <w:rPr>
                <w:sz w:val="18"/>
              </w:rPr>
              <w:t>SAXESS</w:t>
            </w:r>
          </w:p>
        </w:tc>
        <w:tc>
          <w:tcPr>
            <w:tcW w:type="dxa" w:w="2880"/>
          </w:tcPr>
          <w:p>
            <w:pPr/>
            <w:r>
              <w:rPr>
                <w:sz w:val="18"/>
              </w:rPr>
              <w:t>Common trading system for Nordic exchanges under NOREX alliance</w:t>
            </w:r>
          </w:p>
        </w:tc>
      </w:tr>
      <w:tr>
        <w:tc>
          <w:tcPr>
            <w:tcW w:type="dxa" w:w="2880"/>
          </w:tcPr>
          <w:p>
            <w:pPr/>
            <w:r>
              <w:rPr>
                <w:sz w:val="18"/>
              </w:rPr>
              <w:t>2003-2010</w:t>
            </w:r>
          </w:p>
        </w:tc>
        <w:tc>
          <w:tcPr>
            <w:tcW w:type="dxa" w:w="2880"/>
          </w:tcPr>
          <w:p>
            <w:pPr/>
            <w:r>
              <w:rPr>
                <w:sz w:val="18"/>
              </w:rPr>
              <w:t>SAXESS (under OMX)</w:t>
            </w:r>
          </w:p>
        </w:tc>
        <w:tc>
          <w:tcPr>
            <w:tcW w:type="dxa" w:w="2880"/>
          </w:tcPr>
          <w:p>
            <w:pPr/>
            <w:r>
              <w:rPr>
                <w:sz w:val="18"/>
              </w:rPr>
              <w:t>OMX harmonized trading across Stockholm, Helsinki, Copenhagen</w:t>
            </w:r>
          </w:p>
        </w:tc>
      </w:tr>
      <w:tr>
        <w:tc>
          <w:tcPr>
            <w:tcW w:type="dxa" w:w="2880"/>
          </w:tcPr>
          <w:p>
            <w:pPr/>
            <w:r>
              <w:rPr>
                <w:sz w:val="18"/>
              </w:rPr>
              <w:t>2010-present</w:t>
            </w:r>
          </w:p>
        </w:tc>
        <w:tc>
          <w:tcPr>
            <w:tcW w:type="dxa" w:w="2880"/>
          </w:tcPr>
          <w:p>
            <w:pPr/>
            <w:r>
              <w:rPr>
                <w:sz w:val="18"/>
              </w:rPr>
              <w:t>**Genium INET** (derivatives)</w:t>
            </w:r>
          </w:p>
        </w:tc>
        <w:tc>
          <w:tcPr>
            <w:tcW w:type="dxa" w:w="2880"/>
          </w:tcPr>
          <w:p>
            <w:pPr/>
            <w:r>
              <w:rPr>
                <w:sz w:val="18"/>
              </w:rPr>
              <w:t>Nasdaq's next-generation platform; sub-100 microsecond latency</w:t>
            </w:r>
          </w:p>
        </w:tc>
      </w:tr>
      <w:tr>
        <w:tc>
          <w:tcPr>
            <w:tcW w:type="dxa" w:w="2880"/>
          </w:tcPr>
          <w:p>
            <w:pPr/>
            <w:r>
              <w:rPr>
                <w:sz w:val="18"/>
              </w:rPr>
              <w:t>2010s-present</w:t>
            </w:r>
          </w:p>
        </w:tc>
        <w:tc>
          <w:tcPr>
            <w:tcW w:type="dxa" w:w="2880"/>
          </w:tcPr>
          <w:p>
            <w:pPr/>
            <w:r>
              <w:rPr>
                <w:sz w:val="18"/>
              </w:rPr>
              <w:t>**INET Nordic** (equities)</w:t>
            </w:r>
          </w:p>
        </w:tc>
        <w:tc>
          <w:tcPr>
            <w:tcW w:type="dxa" w:w="2880"/>
          </w:tcPr>
          <w:p>
            <w:pPr/>
            <w:r>
              <w:rPr>
                <w:sz w:val="18"/>
              </w:rPr>
              <w:t>INET-based matching for cash equities across all Nordic and Baltic markets</w:t>
            </w:r>
          </w:p>
        </w:tc>
      </w:tr>
    </w:tbl>
    <w:p/>
    <w:p>
      <w:pPr>
        <w:pStyle w:val="Heading3"/>
      </w:pPr>
      <w:r>
        <w:t>Technology Stack</w:t>
      </w:r>
    </w:p>
    <w:p>
      <w:pPr>
        <w:pStyle w:val="ListBullet"/>
      </w:pPr>
      <w:r>
        <w:t>Protocols: OUCH (native order entry, lowest latency), FIX (industry standard order entry), ITCH (market data dissemination via UDP multicast), GLIMPSE (snapshot recovery), AMD (market data), FIX Drop Copy</w:t>
      </w:r>
    </w:p>
    <w:p>
      <w:pPr>
        <w:pStyle w:val="ListBullet"/>
      </w:pPr>
      <w:r>
        <w:t>Market Data: TotalView-ITCH provides full order depth with market participant attribution; delivered via UDP/IP multicast with MoldUDP64 packet format</w:t>
      </w:r>
    </w:p>
    <w:p>
      <w:pPr>
        <w:pStyle w:val="ListBullet"/>
      </w:pPr>
      <w:r>
        <w:t>Network: TCP/IP for order entry gateways; UDP/IP multicast for market data</w:t>
      </w:r>
    </w:p>
    <w:p>
      <w:pPr>
        <w:pStyle w:val="ListBullet"/>
      </w:pPr>
      <w:r>
        <w:t>Timestamps: Nanosecond precision (nanoseconds since midnight UTC)</w:t>
      </w:r>
    </w:p>
    <w:p>
      <w:pPr>
        <w:pStyle w:val="ListBullet"/>
      </w:pPr>
      <w:r>
        <w:t>Protocol Versions (as of 2025): OUCH 5.02.6, FIX Order Entry 2.02.2, FIX DROP 2.01.6, TotalView-ITCH 3.04.5</w:t>
      </w:r>
    </w:p>
    <w:p>
      <w:pPr>
        <w:pStyle w:val="Heading3"/>
      </w:pPr>
      <w:r>
        <w:t>Disaster Recovery / Business Continuity</w:t>
      </w:r>
    </w:p>
    <w:p>
      <w:pPr>
        <w:pStyle w:val="ListBullet"/>
      </w:pPr>
      <w:r>
        <w:t>Primary Data Center: Vasby (Upplands Vasby), north of Stockholm</w:t>
      </w:r>
    </w:p>
    <w:p>
      <w:pPr>
        <w:pStyle w:val="ListBullet"/>
      </w:pPr>
      <w:r>
        <w:t>Secondary Data Center: STOCKHOLM SOUTH (Equinix SK2) -- relocated from PORT site during April-September 2025</w:t>
      </w:r>
    </w:p>
    <w:p>
      <w:pPr>
        <w:pStyle w:val="ListBullet"/>
      </w:pPr>
      <w:r>
        <w:t>Dual redundant market data feeds from two sites (co-location customers receive feeds from primary site only with redundant multicast flows)</w:t>
      </w:r>
    </w:p>
    <w:p>
      <w:pPr>
        <w:pStyle w:val="ListBullet"/>
      </w:pPr>
      <w:r>
        <w:t>Real-time replication between primary and secondary sites</w:t>
      </w:r>
    </w:p>
    <w:p>
      <w:pPr>
        <w:pStyle w:val="ListBullet"/>
      </w:pPr>
      <w:r>
        <w:t>Business continuity plans tested regularly as required by local regulators and MiFID II obligations</w:t>
      </w:r>
    </w:p>
    <w:p>
      <w:pPr>
        <w:pStyle w:val="ListBullet"/>
      </w:pPr>
      <w:r>
        <w:t>Dedicated gateways and co-location connections reside at primary Vasby site and retain their connectivity during failover</w:t>
      </w:r>
    </w:p>
    <w:p>
      <w:r>
        <w:t>────────────────────────────────────────────────────────────</w:t>
      </w:r>
    </w:p>
    <w:p>
      <w:pPr>
        <w:pStyle w:val="Heading2"/>
      </w:pPr>
      <w:r>
        <w:t>6. Market Data</w:t>
      </w:r>
    </w:p>
    <w:p>
      <w:pPr>
        <w:pStyle w:val="Heading3"/>
      </w:pPr>
      <w:r>
        <w:t>6.1 Data Feed Protocols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Protocol</w:t>
            </w:r>
          </w:p>
        </w:tc>
        <w:tc>
          <w:tcPr>
            <w:tcW w:type="dxa" w:w="2880"/>
          </w:tcPr>
          <w:p>
            <w:pPr/>
            <w:r>
              <w:rPr>
                <w:b/>
                <w:sz w:val="18"/>
              </w:rPr>
              <w:t>Description</w:t>
            </w:r>
          </w:p>
        </w:tc>
        <w:tc>
          <w:tcPr>
            <w:tcW w:type="dxa" w:w="2880"/>
          </w:tcPr>
          <w:p>
            <w:pPr/>
            <w:r>
              <w:rPr>
                <w:b/>
                <w:sz w:val="18"/>
              </w:rPr>
              <w:t>Use Case</w:t>
            </w:r>
          </w:p>
        </w:tc>
      </w:tr>
      <w:tr>
        <w:tc>
          <w:tcPr>
            <w:tcW w:type="dxa" w:w="2880"/>
          </w:tcPr>
          <w:p>
            <w:pPr/>
            <w:r>
              <w:rPr>
                <w:sz w:val="18"/>
              </w:rPr>
              <w:t>TotalView-ITCH</w:t>
            </w:r>
          </w:p>
        </w:tc>
        <w:tc>
          <w:tcPr>
            <w:tcW w:type="dxa" w:w="2880"/>
          </w:tcPr>
          <w:p>
            <w:pPr/>
            <w:r>
              <w:rPr>
                <w:sz w:val="18"/>
              </w:rPr>
              <w:t>Full order-by-order depth with market participant attribution; native binary protocol via UDP multicast</w:t>
            </w:r>
          </w:p>
        </w:tc>
        <w:tc>
          <w:tcPr>
            <w:tcW w:type="dxa" w:w="2880"/>
          </w:tcPr>
          <w:p>
            <w:pPr/>
            <w:r>
              <w:rPr>
                <w:sz w:val="18"/>
              </w:rPr>
              <w:t>Ultra-low latency market data for HFT and algorithmic trading</w:t>
            </w:r>
          </w:p>
        </w:tc>
      </w:tr>
      <w:tr>
        <w:tc>
          <w:tcPr>
            <w:tcW w:type="dxa" w:w="2880"/>
          </w:tcPr>
          <w:p>
            <w:pPr/>
            <w:r>
              <w:rPr>
                <w:sz w:val="18"/>
              </w:rPr>
              <w:t>ITCH Level 2</w:t>
            </w:r>
          </w:p>
        </w:tc>
        <w:tc>
          <w:tcPr>
            <w:tcW w:type="dxa" w:w="2880"/>
          </w:tcPr>
          <w:p>
            <w:pPr/>
            <w:r>
              <w:rPr>
                <w:sz w:val="18"/>
              </w:rPr>
              <w:t>Aggregated bid/ask at multiple price levels</w:t>
            </w:r>
          </w:p>
        </w:tc>
        <w:tc>
          <w:tcPr>
            <w:tcW w:type="dxa" w:w="2880"/>
          </w:tcPr>
          <w:p>
            <w:pPr/>
            <w:r>
              <w:rPr>
                <w:sz w:val="18"/>
              </w:rPr>
              <w:t>Standard market data for trading applications</w:t>
            </w:r>
          </w:p>
        </w:tc>
      </w:tr>
      <w:tr>
        <w:tc>
          <w:tcPr>
            <w:tcW w:type="dxa" w:w="2880"/>
          </w:tcPr>
          <w:p>
            <w:pPr/>
            <w:r>
              <w:rPr>
                <w:sz w:val="18"/>
              </w:rPr>
              <w:t>AMD (Alternative Market Data)</w:t>
            </w:r>
          </w:p>
        </w:tc>
        <w:tc>
          <w:tcPr>
            <w:tcW w:type="dxa" w:w="2880"/>
          </w:tcPr>
          <w:p>
            <w:pPr/>
            <w:r>
              <w:rPr>
                <w:sz w:val="18"/>
              </w:rPr>
              <w:t>Alternative multicast data feed</w:t>
            </w:r>
          </w:p>
        </w:tc>
        <w:tc>
          <w:tcPr>
            <w:tcW w:type="dxa" w:w="2880"/>
          </w:tcPr>
          <w:p>
            <w:pPr/>
            <w:r>
              <w:rPr>
                <w:sz w:val="18"/>
              </w:rPr>
              <w:t>Market data distribution</w:t>
            </w:r>
          </w:p>
        </w:tc>
      </w:tr>
      <w:tr>
        <w:tc>
          <w:tcPr>
            <w:tcW w:type="dxa" w:w="2880"/>
          </w:tcPr>
          <w:p>
            <w:pPr/>
            <w:r>
              <w:rPr>
                <w:sz w:val="18"/>
              </w:rPr>
              <w:t>FIX Market Data</w:t>
            </w:r>
          </w:p>
        </w:tc>
        <w:tc>
          <w:tcPr>
            <w:tcW w:type="dxa" w:w="2880"/>
          </w:tcPr>
          <w:p>
            <w:pPr/>
            <w:r>
              <w:rPr>
                <w:sz w:val="18"/>
              </w:rPr>
              <w:t>Market data via FIX protocol</w:t>
            </w:r>
          </w:p>
        </w:tc>
        <w:tc>
          <w:tcPr>
            <w:tcW w:type="dxa" w:w="2880"/>
          </w:tcPr>
          <w:p>
            <w:pPr/>
            <w:r>
              <w:rPr>
                <w:sz w:val="18"/>
              </w:rPr>
              <w:t>Firms preferring standardized FIX connectivity</w:t>
            </w:r>
          </w:p>
        </w:tc>
      </w:tr>
      <w:tr>
        <w:tc>
          <w:tcPr>
            <w:tcW w:type="dxa" w:w="2880"/>
          </w:tcPr>
          <w:p>
            <w:pPr/>
            <w:r>
              <w:rPr>
                <w:sz w:val="18"/>
              </w:rPr>
              <w:t>GLIMPSE</w:t>
            </w:r>
          </w:p>
        </w:tc>
        <w:tc>
          <w:tcPr>
            <w:tcW w:type="dxa" w:w="2880"/>
          </w:tcPr>
          <w:p>
            <w:pPr/>
            <w:r>
              <w:rPr>
                <w:sz w:val="18"/>
              </w:rPr>
              <w:t>Snapshot/recovery protocol over TCP</w:t>
            </w:r>
          </w:p>
        </w:tc>
        <w:tc>
          <w:tcPr>
            <w:tcW w:type="dxa" w:w="2880"/>
          </w:tcPr>
          <w:p>
            <w:pPr/>
            <w:r>
              <w:rPr>
                <w:sz w:val="18"/>
              </w:rPr>
              <w:t>Initial state rebuild and gap recovery</w:t>
            </w:r>
          </w:p>
        </w:tc>
      </w:tr>
    </w:tbl>
    <w:p/>
    <w:p>
      <w:pPr>
        <w:pStyle w:val="Heading3"/>
      </w:pPr>
      <w:r>
        <w:t>6.2 Data Levels</w:t>
      </w:r>
    </w:p>
    <w:p>
      <w:pPr>
        <w:pStyle w:val="ListBullet"/>
      </w:pPr>
      <w:r>
        <w:t>Level 1: Best bid/offer (BBO), last trade price, volume</w:t>
      </w:r>
    </w:p>
    <w:p>
      <w:pPr>
        <w:pStyle w:val="ListBullet"/>
      </w:pPr>
      <w:r>
        <w:t>Level 2: Aggregated depth at 5 price levels with quotes, orders, and trades</w:t>
      </w:r>
    </w:p>
    <w:p>
      <w:pPr>
        <w:pStyle w:val="ListBullet"/>
      </w:pPr>
      <w:r>
        <w:t>TotalView (Full Depth): Full order book depth, order-by-order granularity with attribution</w:t>
      </w:r>
    </w:p>
    <w:p>
      <w:pPr>
        <w:pStyle w:val="ListBullet"/>
      </w:pPr>
      <w:r>
        <w:t>Delayed Data: 15-minute delayed feeds available</w:t>
      </w:r>
    </w:p>
    <w:p>
      <w:pPr>
        <w:pStyle w:val="Heading3"/>
      </w:pPr>
      <w:r>
        <w:t>6.3 Distribution Infrastructure</w:t>
      </w:r>
    </w:p>
    <w:p>
      <w:pPr>
        <w:pStyle w:val="ListBullet"/>
      </w:pPr>
      <w:r>
        <w:t>UDP/IP multicast from primary and secondary data center sites</w:t>
      </w:r>
    </w:p>
    <w:p>
      <w:pPr>
        <w:pStyle w:val="ListBullet"/>
      </w:pPr>
      <w:r>
        <w:t>MoldUDP64 packet format for reliable multicast delivery</w:t>
      </w:r>
    </w:p>
    <w:p>
      <w:pPr>
        <w:pStyle w:val="ListBullet"/>
      </w:pPr>
      <w:r>
        <w:t>Co-location customers receive multicast from Vasby primary site with redundant flows</w:t>
      </w:r>
    </w:p>
    <w:p>
      <w:pPr>
        <w:pStyle w:val="ListBullet"/>
      </w:pPr>
      <w:r>
        <w:t>TCP-based replay/re-request service for gap recovery</w:t>
      </w:r>
    </w:p>
    <w:p>
      <w:pPr>
        <w:pStyle w:val="Heading3"/>
      </w:pPr>
      <w:r>
        <w:t>6.4 Historical Data</w:t>
      </w:r>
    </w:p>
    <w:p>
      <w:pPr>
        <w:pStyle w:val="ListBullet"/>
      </w:pPr>
      <w:r>
        <w:t>Historical tick data available through Nasdaq Data Link and third-party vendors</w:t>
      </w:r>
    </w:p>
    <w:p>
      <w:pPr>
        <w:pStyle w:val="ListBullet"/>
      </w:pPr>
      <w:r>
        <w:t>End-of-day data, reference data, corporate actions data available</w:t>
      </w:r>
    </w:p>
    <w:p>
      <w:pPr>
        <w:pStyle w:val="ListBullet"/>
      </w:pPr>
      <w:r>
        <w:t>Academic access available (e.g., Aalto University Datahub hosts Nasdaq Nordic Equity TotalView-ITCH)</w:t>
      </w:r>
    </w:p>
    <w:p>
      <w:r>
        <w:t>────────────────────────────────────────────────────────────</w:t>
      </w:r>
    </w:p>
    <w:p>
      <w:pPr>
        <w:pStyle w:val="Heading2"/>
      </w:pPr>
      <w:r>
        <w:t>7. Connectivity &amp; Access</w:t>
      </w:r>
    </w:p>
    <w:p>
      <w:pPr>
        <w:pStyle w:val="Heading3"/>
      </w:pPr>
      <w:r>
        <w:t>7.1 Membership / Participation</w:t>
      </w:r>
    </w:p>
    <w:p>
      <w:pPr>
        <w:pStyle w:val="ListBullet"/>
      </w:pPr>
      <w:r>
        <w:t>Members must be authorized by the relevant local financial supervisory authority (or equivalent EU/EEA regulator)</w:t>
      </w:r>
    </w:p>
    <w:p>
      <w:pPr>
        <w:pStyle w:val="ListBullet"/>
      </w:pPr>
      <w:r>
        <w:t>Nasdaq Nordic and Baltic membership list is publicly available</w:t>
      </w:r>
    </w:p>
    <w:p>
      <w:pPr>
        <w:pStyle w:val="ListBullet"/>
      </w:pPr>
      <w:r>
        <w:t>Types: Direct members, remote members (from other EU/EEA countries), sponsored access participants</w:t>
      </w:r>
    </w:p>
    <w:p>
      <w:pPr>
        <w:pStyle w:val="ListBullet"/>
      </w:pPr>
      <w:r>
        <w:t>Requirements: Adequate capital, competent personnel, robust systems and controls, compliance arrangements</w:t>
      </w:r>
    </w:p>
    <w:p>
      <w:pPr>
        <w:pStyle w:val="Heading3"/>
      </w:pPr>
      <w:r>
        <w:t>7.2 Connection Methods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Method</w:t>
            </w:r>
          </w:p>
        </w:tc>
        <w:tc>
          <w:tcPr>
            <w:tcW w:type="dxa" w:w="4320"/>
          </w:tcPr>
          <w:p>
            <w:pPr/>
            <w:r>
              <w:rPr>
                <w:b/>
                <w:sz w:val="18"/>
              </w:rPr>
              <w:t>Description</w:t>
            </w:r>
          </w:p>
        </w:tc>
      </w:tr>
      <w:tr>
        <w:tc>
          <w:tcPr>
            <w:tcW w:type="dxa" w:w="4320"/>
          </w:tcPr>
          <w:p>
            <w:pPr/>
            <w:r>
              <w:rPr>
                <w:sz w:val="18"/>
              </w:rPr>
              <w:t>Direct Link</w:t>
            </w:r>
          </w:p>
        </w:tc>
        <w:tc>
          <w:tcPr>
            <w:tcW w:type="dxa" w:w="4320"/>
          </w:tcPr>
          <w:p>
            <w:pPr/>
            <w:r>
              <w:rPr>
                <w:sz w:val="18"/>
              </w:rPr>
              <w:t>Dedicated network connection to Nasdaq Nordic</w:t>
            </w:r>
          </w:p>
        </w:tc>
      </w:tr>
      <w:tr>
        <w:tc>
          <w:tcPr>
            <w:tcW w:type="dxa" w:w="4320"/>
          </w:tcPr>
          <w:p>
            <w:pPr/>
            <w:r>
              <w:rPr>
                <w:sz w:val="18"/>
              </w:rPr>
              <w:t>Authorized Extranet/VPN</w:t>
            </w:r>
          </w:p>
        </w:tc>
        <w:tc>
          <w:tcPr>
            <w:tcW w:type="dxa" w:w="4320"/>
          </w:tcPr>
          <w:p>
            <w:pPr/>
            <w:r>
              <w:rPr>
                <w:sz w:val="18"/>
              </w:rPr>
              <w:t>Via approved network providers</w:t>
            </w:r>
          </w:p>
        </w:tc>
      </w:tr>
      <w:tr>
        <w:tc>
          <w:tcPr>
            <w:tcW w:type="dxa" w:w="4320"/>
          </w:tcPr>
          <w:p>
            <w:pPr/>
            <w:r>
              <w:rPr>
                <w:sz w:val="18"/>
              </w:rPr>
              <w:t>Co-location</w:t>
            </w:r>
          </w:p>
        </w:tc>
        <w:tc>
          <w:tcPr>
            <w:tcW w:type="dxa" w:w="4320"/>
          </w:tcPr>
          <w:p>
            <w:pPr/>
            <w:r>
              <w:rPr>
                <w:sz w:val="18"/>
              </w:rPr>
              <w:t>Direct cross-connect from co-located racks at Vasby primary data center</w:t>
            </w:r>
          </w:p>
        </w:tc>
      </w:tr>
      <w:tr>
        <w:tc>
          <w:tcPr>
            <w:tcW w:type="dxa" w:w="4320"/>
          </w:tcPr>
          <w:p>
            <w:pPr/>
            <w:r>
              <w:rPr>
                <w:sz w:val="18"/>
              </w:rPr>
              <w:t>Point-of-Presence (PoP)</w:t>
            </w:r>
          </w:p>
        </w:tc>
        <w:tc>
          <w:tcPr>
            <w:tcW w:type="dxa" w:w="4320"/>
          </w:tcPr>
          <w:p>
            <w:pPr/>
            <w:r>
              <w:rPr>
                <w:sz w:val="18"/>
              </w:rPr>
              <w:t>Nasdaq PoP services in London and Frankfurt for remote access</w:t>
            </w:r>
          </w:p>
        </w:tc>
      </w:tr>
    </w:tbl>
    <w:p/>
    <w:p>
      <w:pPr>
        <w:pStyle w:val="Heading3"/>
      </w:pPr>
      <w:r>
        <w:t>7.3 Co-location / Proximity Services</w:t>
      </w:r>
    </w:p>
    <w:p>
      <w:pPr>
        <w:pStyle w:val="ListBullet"/>
      </w:pPr>
      <w:r>
        <w:t>Location: Vasby (Upplands Vasby), Stockholm, Sweden -- primary data center</w:t>
      </w:r>
    </w:p>
    <w:p>
      <w:pPr>
        <w:pStyle w:val="ListBullet"/>
      </w:pPr>
      <w:r>
        <w:t>Services: Rack space, power, cooling, direct cross-connect to matching engine</w:t>
      </w:r>
    </w:p>
    <w:p>
      <w:pPr>
        <w:pStyle w:val="ListBullet"/>
      </w:pPr>
      <w:r>
        <w:t>Latency Advantage: Lowest possible latency via co-location at the matching engine site</w:t>
      </w:r>
    </w:p>
    <w:p>
      <w:pPr>
        <w:pStyle w:val="ListBullet"/>
      </w:pPr>
      <w:r>
        <w:t>Co-location connectivity details available via Nasdaq Member Portal under "Technical Access"</w:t>
      </w:r>
    </w:p>
    <w:p>
      <w:pPr>
        <w:pStyle w:val="Heading3"/>
      </w:pPr>
      <w:r>
        <w:t>7.4 API Protocols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Protocol</w:t>
            </w:r>
          </w:p>
        </w:tc>
        <w:tc>
          <w:tcPr>
            <w:tcW w:type="dxa" w:w="4320"/>
          </w:tcPr>
          <w:p>
            <w:pPr/>
            <w:r>
              <w:rPr>
                <w:b/>
                <w:sz w:val="18"/>
              </w:rPr>
              <w:t>Use Case</w:t>
            </w:r>
          </w:p>
        </w:tc>
      </w:tr>
      <w:tr>
        <w:tc>
          <w:tcPr>
            <w:tcW w:type="dxa" w:w="4320"/>
          </w:tcPr>
          <w:p>
            <w:pPr/>
            <w:r>
              <w:rPr>
                <w:sz w:val="18"/>
              </w:rPr>
              <w:t>OUCH</w:t>
            </w:r>
          </w:p>
        </w:tc>
        <w:tc>
          <w:tcPr>
            <w:tcW w:type="dxa" w:w="4320"/>
          </w:tcPr>
          <w:p>
            <w:pPr/>
            <w:r>
              <w:rPr>
                <w:sz w:val="18"/>
              </w:rPr>
              <w:t>Native binary order entry; lowest latency</w:t>
            </w:r>
          </w:p>
        </w:tc>
      </w:tr>
      <w:tr>
        <w:tc>
          <w:tcPr>
            <w:tcW w:type="dxa" w:w="4320"/>
          </w:tcPr>
          <w:p>
            <w:pPr/>
            <w:r>
              <w:rPr>
                <w:sz w:val="18"/>
              </w:rPr>
              <w:t>FIX</w:t>
            </w:r>
          </w:p>
        </w:tc>
        <w:tc>
          <w:tcPr>
            <w:tcW w:type="dxa" w:w="4320"/>
          </w:tcPr>
          <w:p>
            <w:pPr/>
            <w:r>
              <w:rPr>
                <w:sz w:val="18"/>
              </w:rPr>
              <w:t>Industry-standard order entry and execution reporting</w:t>
            </w:r>
          </w:p>
        </w:tc>
      </w:tr>
      <w:tr>
        <w:tc>
          <w:tcPr>
            <w:tcW w:type="dxa" w:w="4320"/>
          </w:tcPr>
          <w:p>
            <w:pPr/>
            <w:r>
              <w:rPr>
                <w:sz w:val="18"/>
              </w:rPr>
              <w:t>FIX Drop Copy</w:t>
            </w:r>
          </w:p>
        </w:tc>
        <w:tc>
          <w:tcPr>
            <w:tcW w:type="dxa" w:w="4320"/>
          </w:tcPr>
          <w:p>
            <w:pPr/>
            <w:r>
              <w:rPr>
                <w:sz w:val="18"/>
              </w:rPr>
              <w:t>Real-time copy of executions and order updates</w:t>
            </w:r>
          </w:p>
        </w:tc>
      </w:tr>
      <w:tr>
        <w:tc>
          <w:tcPr>
            <w:tcW w:type="dxa" w:w="4320"/>
          </w:tcPr>
          <w:p>
            <w:pPr/>
            <w:r>
              <w:rPr>
                <w:sz w:val="18"/>
              </w:rPr>
              <w:t>ITCH</w:t>
            </w:r>
          </w:p>
        </w:tc>
        <w:tc>
          <w:tcPr>
            <w:tcW w:type="dxa" w:w="4320"/>
          </w:tcPr>
          <w:p>
            <w:pPr/>
            <w:r>
              <w:rPr>
                <w:sz w:val="18"/>
              </w:rPr>
              <w:t>Market data dissemination (outbound only)</w:t>
            </w:r>
          </w:p>
        </w:tc>
      </w:tr>
      <w:tr>
        <w:tc>
          <w:tcPr>
            <w:tcW w:type="dxa" w:w="4320"/>
          </w:tcPr>
          <w:p>
            <w:pPr/>
            <w:r>
              <w:rPr>
                <w:sz w:val="18"/>
              </w:rPr>
              <w:t>GLIMPSE</w:t>
            </w:r>
          </w:p>
        </w:tc>
        <w:tc>
          <w:tcPr>
            <w:tcW w:type="dxa" w:w="4320"/>
          </w:tcPr>
          <w:p>
            <w:pPr/>
            <w:r>
              <w:rPr>
                <w:sz w:val="18"/>
              </w:rPr>
              <w:t>Snapshot recovery for market data</w:t>
            </w:r>
          </w:p>
        </w:tc>
      </w:tr>
    </w:tbl>
    <w:p/>
    <w:p>
      <w:pPr>
        <w:pStyle w:val="Heading3"/>
      </w:pPr>
      <w:r>
        <w:t>7.5 Certification / Testing</w:t>
      </w:r>
    </w:p>
    <w:p>
      <w:pPr>
        <w:pStyle w:val="ListBullet"/>
      </w:pPr>
      <w:r>
        <w:t>INET Nordic test environments available for member firms to validate connectivity and order management</w:t>
      </w:r>
    </w:p>
    <w:p>
      <w:pPr>
        <w:pStyle w:val="ListBullet"/>
      </w:pPr>
      <w:r>
        <w:t>Conformance testing required before production access</w:t>
      </w:r>
    </w:p>
    <w:p>
      <w:pPr>
        <w:pStyle w:val="ListBullet"/>
      </w:pPr>
      <w:r>
        <w:t>Technical connectivity details accessible through Nasdaq Member Portal ("Connectivity Guideline" section)</w:t>
      </w:r>
    </w:p>
    <w:p>
      <w:pPr>
        <w:pStyle w:val="ListBullet"/>
      </w:pPr>
      <w:r>
        <w:t>Advance notice provided for system upgrades and functional enhancements</w:t>
      </w:r>
    </w:p>
    <w:p>
      <w:r>
        <w:t>────────────────────────────────────────────────────────────</w:t>
      </w:r>
    </w:p>
    <w:p>
      <w:pPr>
        <w:pStyle w:val="Heading2"/>
      </w:pPr>
      <w:r>
        <w:t>8. Risk Controls &amp; Circuit Breakers</w:t>
      </w:r>
    </w:p>
    <w:p>
      <w:pPr>
        <w:pStyle w:val="Heading3"/>
      </w:pPr>
      <w:r>
        <w:t>8.1 Price Limits</w:t>
      </w:r>
    </w:p>
    <w:p>
      <w:pPr>
        <w:pStyle w:val="ListBullet"/>
      </w:pPr>
      <w:r>
        <w:t>Nasdaq Nordic does not impose fixed daily price limits (no hard up/down percentage limit)</w:t>
      </w:r>
    </w:p>
    <w:p>
      <w:pPr>
        <w:pStyle w:val="ListBullet"/>
      </w:pPr>
      <w:r>
        <w:t>Instead, uses Volatility Guards (dynamic and static) to detect and manage abnormal price movements</w:t>
      </w:r>
    </w:p>
    <w:p>
      <w:pPr>
        <w:pStyle w:val="Heading3"/>
      </w:pPr>
      <w:r>
        <w:t>8.2 Circuit Breakers (Volatility Guards)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Type</w:t>
            </w:r>
          </w:p>
        </w:tc>
        <w:tc>
          <w:tcPr>
            <w:tcW w:type="dxa" w:w="2880"/>
          </w:tcPr>
          <w:p>
            <w:pPr/>
            <w:r>
              <w:rPr>
                <w:b/>
                <w:sz w:val="18"/>
              </w:rPr>
              <w:t>Trigger</w:t>
            </w:r>
          </w:p>
        </w:tc>
        <w:tc>
          <w:tcPr>
            <w:tcW w:type="dxa" w:w="2880"/>
          </w:tcPr>
          <w:p>
            <w:pPr/>
            <w:r>
              <w:rPr>
                <w:b/>
                <w:sz w:val="18"/>
              </w:rPr>
              <w:t>Response</w:t>
            </w:r>
          </w:p>
        </w:tc>
      </w:tr>
      <w:tr>
        <w:tc>
          <w:tcPr>
            <w:tcW w:type="dxa" w:w="2880"/>
          </w:tcPr>
          <w:p>
            <w:pPr/>
            <w:r>
              <w:rPr>
                <w:sz w:val="18"/>
              </w:rPr>
              <w:t>**Dynamic Volatility Guard**</w:t>
            </w:r>
          </w:p>
        </w:tc>
        <w:tc>
          <w:tcPr>
            <w:tcW w:type="dxa" w:w="2880"/>
          </w:tcPr>
          <w:p>
            <w:pPr/>
            <w:r>
              <w:rPr>
                <w:sz w:val="18"/>
              </w:rPr>
              <w:t>Potential execution price deviates beyond a percentage threshold from the **last traded price** (continuously updated reference)</w:t>
            </w:r>
          </w:p>
        </w:tc>
        <w:tc>
          <w:tcPr>
            <w:tcW w:type="dxa" w:w="2880"/>
          </w:tcPr>
          <w:p>
            <w:pPr/>
            <w:r>
              <w:rPr>
                <w:sz w:val="18"/>
              </w:rPr>
              <w:t>Continuous trading halted; instrument enters a volatility auction lasting 60-180 seconds</w:t>
            </w:r>
          </w:p>
        </w:tc>
      </w:tr>
      <w:tr>
        <w:tc>
          <w:tcPr>
            <w:tcW w:type="dxa" w:w="2880"/>
          </w:tcPr>
          <w:p>
            <w:pPr/>
            <w:r>
              <w:rPr>
                <w:sz w:val="18"/>
              </w:rPr>
              <w:t>**Static Volatility Guard**</w:t>
            </w:r>
          </w:p>
        </w:tc>
        <w:tc>
          <w:tcPr>
            <w:tcW w:type="dxa" w:w="2880"/>
          </w:tcPr>
          <w:p>
            <w:pPr/>
            <w:r>
              <w:rPr>
                <w:sz w:val="18"/>
              </w:rPr>
              <w:t>Potential execution price deviates beyond a percentage threshold from the **reference price** (typically the day's opening auction price)</w:t>
            </w:r>
          </w:p>
        </w:tc>
        <w:tc>
          <w:tcPr>
            <w:tcW w:type="dxa" w:w="2880"/>
          </w:tcPr>
          <w:p>
            <w:pPr/>
            <w:r>
              <w:rPr>
                <w:sz w:val="18"/>
              </w:rPr>
              <w:t>Continuous trading halted; instrument enters a volatility auction lasting 60-180 seconds</w:t>
            </w:r>
          </w:p>
        </w:tc>
      </w:tr>
      <w:tr>
        <w:tc>
          <w:tcPr>
            <w:tcW w:type="dxa" w:w="2880"/>
          </w:tcPr>
          <w:p>
            <w:pPr/>
            <w:r>
              <w:rPr>
                <w:sz w:val="18"/>
              </w:rPr>
              <w:t>**Auction Safeguards**</w:t>
            </w:r>
          </w:p>
        </w:tc>
        <w:tc>
          <w:tcPr>
            <w:tcW w:type="dxa" w:w="2880"/>
          </w:tcPr>
          <w:p>
            <w:pPr/>
            <w:r>
              <w:rPr>
                <w:sz w:val="18"/>
              </w:rPr>
              <w:t>Opening auction uncross price deviates beyond 2x the Dynamic Volatility Guard threshold; Scheduled intraday auction safeguard equals the Dynamic Volatility Guard value</w:t>
            </w:r>
          </w:p>
        </w:tc>
        <w:tc>
          <w:tcPr>
            <w:tcW w:type="dxa" w:w="2880"/>
          </w:tcPr>
          <w:p>
            <w:pPr/>
            <w:r>
              <w:rPr>
                <w:sz w:val="18"/>
              </w:rPr>
              <w:t>Auction period is extended</w:t>
            </w:r>
          </w:p>
        </w:tc>
      </w:tr>
    </w:tbl>
    <w:p/>
    <w:p>
      <w:pPr>
        <w:pStyle w:val="ListBullet"/>
      </w:pPr>
      <w:r>
        <w:t>Volatility Guard thresholds are configured per instrument and reviewed periodically by the exchange</w:t>
      </w:r>
    </w:p>
    <w:p>
      <w:pPr>
        <w:pStyle w:val="ListBullet"/>
      </w:pPr>
      <w:r>
        <w:t>Specific percentage thresholds are defined in Appendix M of the Nasdaq Nordic Market Model and are not publicly disclosed in summary form [unverified]</w:t>
      </w:r>
    </w:p>
    <w:p>
      <w:pPr>
        <w:pStyle w:val="ListBullet"/>
      </w:pPr>
      <w:r>
        <w:t>After the volatility auction completes, the instrument returns to continuous trading</w:t>
      </w:r>
    </w:p>
    <w:p>
      <w:pPr>
        <w:pStyle w:val="Heading3"/>
      </w:pPr>
      <w:r>
        <w:t>8.3 Pre-trade Risk Controls (PRM)</w:t>
      </w:r>
    </w:p>
    <w:p>
      <w:r>
        <w:t>Nasdaq Nordic's Pre-trade Risk Management (PRM) service validates orders entered via OUCH and FIX protocols: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Control</w:t>
            </w:r>
          </w:p>
        </w:tc>
        <w:tc>
          <w:tcPr>
            <w:tcW w:type="dxa" w:w="4320"/>
          </w:tcPr>
          <w:p>
            <w:pPr/>
            <w:r>
              <w:rPr>
                <w:b/>
                <w:sz w:val="18"/>
              </w:rPr>
              <w:t>Description</w:t>
            </w:r>
          </w:p>
        </w:tc>
      </w:tr>
      <w:tr>
        <w:tc>
          <w:tcPr>
            <w:tcW w:type="dxa" w:w="4320"/>
          </w:tcPr>
          <w:p>
            <w:pPr/>
            <w:r>
              <w:rPr>
                <w:sz w:val="18"/>
              </w:rPr>
              <w:t>**Blow-Through Protection**</w:t>
            </w:r>
          </w:p>
        </w:tc>
        <w:tc>
          <w:tcPr>
            <w:tcW w:type="dxa" w:w="4320"/>
          </w:tcPr>
          <w:p>
            <w:pPr/>
            <w:r>
              <w:rPr>
                <w:sz w:val="18"/>
              </w:rPr>
              <w:t>Prevents orders from triggering Volatility Guards by checking price deviation before submission</w:t>
            </w:r>
          </w:p>
        </w:tc>
      </w:tr>
      <w:tr>
        <w:tc>
          <w:tcPr>
            <w:tcW w:type="dxa" w:w="4320"/>
          </w:tcPr>
          <w:p>
            <w:pPr/>
            <w:r>
              <w:rPr>
                <w:sz w:val="18"/>
              </w:rPr>
              <w:t>**Maximum Order Value**</w:t>
            </w:r>
          </w:p>
        </w:tc>
        <w:tc>
          <w:tcPr>
            <w:tcW w:type="dxa" w:w="4320"/>
          </w:tcPr>
          <w:p>
            <w:pPr/>
            <w:r>
              <w:rPr>
                <w:sz w:val="18"/>
              </w:rPr>
              <w:t>Configurable per firm; orders exceeding the threshold are rejected</w:t>
            </w:r>
          </w:p>
        </w:tc>
      </w:tr>
      <w:tr>
        <w:tc>
          <w:tcPr>
            <w:tcW w:type="dxa" w:w="4320"/>
          </w:tcPr>
          <w:p>
            <w:pPr/>
            <w:r>
              <w:rPr>
                <w:sz w:val="18"/>
              </w:rPr>
              <w:t>**Maximum Order Quantity**</w:t>
            </w:r>
          </w:p>
        </w:tc>
        <w:tc>
          <w:tcPr>
            <w:tcW w:type="dxa" w:w="4320"/>
          </w:tcPr>
          <w:p>
            <w:pPr/>
            <w:r>
              <w:rPr>
                <w:sz w:val="18"/>
              </w:rPr>
              <w:t>Limits on maximum shares per single order</w:t>
            </w:r>
          </w:p>
        </w:tc>
      </w:tr>
      <w:tr>
        <w:tc>
          <w:tcPr>
            <w:tcW w:type="dxa" w:w="4320"/>
          </w:tcPr>
          <w:p>
            <w:pPr/>
            <w:r>
              <w:rPr>
                <w:sz w:val="18"/>
              </w:rPr>
              <w:t>**Fat-Finger Protection**</w:t>
            </w:r>
          </w:p>
        </w:tc>
        <w:tc>
          <w:tcPr>
            <w:tcW w:type="dxa" w:w="4320"/>
          </w:tcPr>
          <w:p>
            <w:pPr/>
            <w:r>
              <w:rPr>
                <w:sz w:val="18"/>
              </w:rPr>
              <w:t>Price and size reasonability checks to prevent erroneous orders</w:t>
            </w:r>
          </w:p>
        </w:tc>
      </w:tr>
      <w:tr>
        <w:tc>
          <w:tcPr>
            <w:tcW w:type="dxa" w:w="4320"/>
          </w:tcPr>
          <w:p>
            <w:pPr/>
            <w:r>
              <w:rPr>
                <w:sz w:val="18"/>
              </w:rPr>
              <w:t>**Message Throttling**</w:t>
            </w:r>
          </w:p>
        </w:tc>
        <w:tc>
          <w:tcPr>
            <w:tcW w:type="dxa" w:w="4320"/>
          </w:tcPr>
          <w:p>
            <w:pPr/>
            <w:r>
              <w:rPr>
                <w:sz w:val="18"/>
              </w:rPr>
              <w:t>Rate limits on order submissions per second</w:t>
            </w:r>
          </w:p>
        </w:tc>
      </w:tr>
      <w:tr>
        <w:tc>
          <w:tcPr>
            <w:tcW w:type="dxa" w:w="4320"/>
          </w:tcPr>
          <w:p>
            <w:pPr/>
            <w:r>
              <w:rPr>
                <w:sz w:val="18"/>
              </w:rPr>
              <w:t>**FIX Drop On-Disconnect**</w:t>
            </w:r>
          </w:p>
        </w:tc>
        <w:tc>
          <w:tcPr>
            <w:tcW w:type="dxa" w:w="4320"/>
          </w:tcPr>
          <w:p>
            <w:pPr/>
            <w:r>
              <w:rPr>
                <w:sz w:val="18"/>
              </w:rPr>
              <w:t>Automatically cancels all open orders and prevents new order entry upon client disconnect</w:t>
            </w:r>
          </w:p>
        </w:tc>
      </w:tr>
    </w:tbl>
    <w:p/>
    <w:p>
      <w:r>
        <w:t>PRM is designed for highly automated trading flows and adds no latency to order execution. It is compliant with ESMA guidelines on systems and controls in automated trading (MiFID II Article 48).</w:t>
      </w:r>
    </w:p>
    <w:p>
      <w:pPr>
        <w:pStyle w:val="Heading3"/>
      </w:pPr>
      <w:r>
        <w:t>8.4 Kill Switch</w:t>
      </w:r>
    </w:p>
    <w:p>
      <w:pPr>
        <w:pStyle w:val="ListBullet"/>
      </w:pPr>
      <w:r>
        <w:t>Kill Switch for Mass Cancellation: Administrator function that cancels all outstanding orders for a firm or user</w:t>
      </w:r>
    </w:p>
    <w:p>
      <w:pPr>
        <w:pStyle w:val="ListBullet"/>
      </w:pPr>
      <w:r>
        <w:t>Available through PRM interface</w:t>
      </w:r>
    </w:p>
    <w:p>
      <w:pPr>
        <w:pStyle w:val="ListBullet"/>
      </w:pPr>
      <w:r>
        <w:t>Can be activated by the member firm or by Nasdaq Market Operations upon request</w:t>
      </w:r>
    </w:p>
    <w:p>
      <w:pPr>
        <w:pStyle w:val="ListBullet"/>
      </w:pPr>
      <w:r>
        <w:t>Supports cancellation at the CompID, user, or firm-wide level [unverified]</w:t>
      </w:r>
    </w:p>
    <w:p>
      <w:r>
        <w:t>────────────────────────────────────────────────────────────</w:t>
      </w:r>
    </w:p>
    <w:p>
      <w:pPr>
        <w:pStyle w:val="Heading2"/>
      </w:pPr>
      <w:r>
        <w:t>9. Regulatory Framework</w:t>
      </w:r>
    </w:p>
    <w:p>
      <w:pPr>
        <w:pStyle w:val="Heading3"/>
      </w:pPr>
      <w:r>
        <w:t>9.1 Supervising Authorities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Country</w:t>
            </w:r>
          </w:p>
        </w:tc>
        <w:tc>
          <w:tcPr>
            <w:tcW w:type="dxa" w:w="2880"/>
          </w:tcPr>
          <w:p>
            <w:pPr/>
            <w:r>
              <w:rPr>
                <w:b/>
                <w:sz w:val="18"/>
              </w:rPr>
              <w:t>Regulator</w:t>
            </w:r>
          </w:p>
        </w:tc>
        <w:tc>
          <w:tcPr>
            <w:tcW w:type="dxa" w:w="2880"/>
          </w:tcPr>
          <w:p>
            <w:pPr/>
            <w:r>
              <w:rPr>
                <w:b/>
                <w:sz w:val="18"/>
              </w:rPr>
              <w:t>Role</w:t>
            </w:r>
          </w:p>
        </w:tc>
      </w:tr>
      <w:tr>
        <w:tc>
          <w:tcPr>
            <w:tcW w:type="dxa" w:w="2880"/>
          </w:tcPr>
          <w:p>
            <w:pPr/>
            <w:r>
              <w:rPr>
                <w:sz w:val="18"/>
              </w:rPr>
              <w:t>**Sweden**</w:t>
            </w:r>
          </w:p>
        </w:tc>
        <w:tc>
          <w:tcPr>
            <w:tcW w:type="dxa" w:w="2880"/>
          </w:tcPr>
          <w:p>
            <w:pPr/>
            <w:r>
              <w:rPr>
                <w:sz w:val="18"/>
              </w:rPr>
              <w:t>Finansinspektionen (FI)</w:t>
            </w:r>
          </w:p>
        </w:tc>
        <w:tc>
          <w:tcPr>
            <w:tcW w:type="dxa" w:w="2880"/>
          </w:tcPr>
          <w:p>
            <w:pPr/>
            <w:r>
              <w:rPr>
                <w:sz w:val="18"/>
              </w:rPr>
              <w:t>Supervises Nasdaq Stockholm as a Regulated Market</w:t>
            </w:r>
          </w:p>
        </w:tc>
      </w:tr>
      <w:tr>
        <w:tc>
          <w:tcPr>
            <w:tcW w:type="dxa" w:w="2880"/>
          </w:tcPr>
          <w:p>
            <w:pPr/>
            <w:r>
              <w:rPr>
                <w:sz w:val="18"/>
              </w:rPr>
              <w:t>**Finland**</w:t>
            </w:r>
          </w:p>
        </w:tc>
        <w:tc>
          <w:tcPr>
            <w:tcW w:type="dxa" w:w="2880"/>
          </w:tcPr>
          <w:p>
            <w:pPr/>
            <w:r>
              <w:rPr>
                <w:sz w:val="18"/>
              </w:rPr>
              <w:t>Finanssivalvonta (FIN-FSA)</w:t>
            </w:r>
          </w:p>
        </w:tc>
        <w:tc>
          <w:tcPr>
            <w:tcW w:type="dxa" w:w="2880"/>
          </w:tcPr>
          <w:p>
            <w:pPr/>
            <w:r>
              <w:rPr>
                <w:sz w:val="18"/>
              </w:rPr>
              <w:t>Supervises Nasdaq Helsinki</w:t>
            </w:r>
          </w:p>
        </w:tc>
      </w:tr>
      <w:tr>
        <w:tc>
          <w:tcPr>
            <w:tcW w:type="dxa" w:w="2880"/>
          </w:tcPr>
          <w:p>
            <w:pPr/>
            <w:r>
              <w:rPr>
                <w:sz w:val="18"/>
              </w:rPr>
              <w:t>**Denmark**</w:t>
            </w:r>
          </w:p>
        </w:tc>
        <w:tc>
          <w:tcPr>
            <w:tcW w:type="dxa" w:w="2880"/>
          </w:tcPr>
          <w:p>
            <w:pPr/>
            <w:r>
              <w:rPr>
                <w:sz w:val="18"/>
              </w:rPr>
              <w:t>Finanstilsynet</w:t>
            </w:r>
          </w:p>
        </w:tc>
        <w:tc>
          <w:tcPr>
            <w:tcW w:type="dxa" w:w="2880"/>
          </w:tcPr>
          <w:p>
            <w:pPr/>
            <w:r>
              <w:rPr>
                <w:sz w:val="18"/>
              </w:rPr>
              <w:t>Supervises Nasdaq Copenhagen</w:t>
            </w:r>
          </w:p>
        </w:tc>
      </w:tr>
      <w:tr>
        <w:tc>
          <w:tcPr>
            <w:tcW w:type="dxa" w:w="2880"/>
          </w:tcPr>
          <w:p>
            <w:pPr/>
            <w:r>
              <w:rPr>
                <w:sz w:val="18"/>
              </w:rPr>
              <w:t>**Iceland**</w:t>
            </w:r>
          </w:p>
        </w:tc>
        <w:tc>
          <w:tcPr>
            <w:tcW w:type="dxa" w:w="2880"/>
          </w:tcPr>
          <w:p>
            <w:pPr/>
            <w:r>
              <w:rPr>
                <w:sz w:val="18"/>
              </w:rPr>
              <w:t>Central Bank of Iceland (Sedlabanki Islands) / FME</w:t>
            </w:r>
          </w:p>
        </w:tc>
        <w:tc>
          <w:tcPr>
            <w:tcW w:type="dxa" w:w="2880"/>
          </w:tcPr>
          <w:p>
            <w:pPr/>
            <w:r>
              <w:rPr>
                <w:sz w:val="18"/>
              </w:rPr>
              <w:t>Supervises Nasdaq Iceland</w:t>
            </w:r>
          </w:p>
        </w:tc>
      </w:tr>
      <w:tr>
        <w:tc>
          <w:tcPr>
            <w:tcW w:type="dxa" w:w="2880"/>
          </w:tcPr>
          <w:p>
            <w:pPr/>
            <w:r>
              <w:rPr>
                <w:sz w:val="18"/>
              </w:rPr>
              <w:t>**Estonia**</w:t>
            </w:r>
          </w:p>
        </w:tc>
        <w:tc>
          <w:tcPr>
            <w:tcW w:type="dxa" w:w="2880"/>
          </w:tcPr>
          <w:p>
            <w:pPr/>
            <w:r>
              <w:rPr>
                <w:sz w:val="18"/>
              </w:rPr>
              <w:t>Finantsinspektsioon (EFSA)</w:t>
            </w:r>
          </w:p>
        </w:tc>
        <w:tc>
          <w:tcPr>
            <w:tcW w:type="dxa" w:w="2880"/>
          </w:tcPr>
          <w:p>
            <w:pPr/>
            <w:r>
              <w:rPr>
                <w:sz w:val="18"/>
              </w:rPr>
              <w:t>Supervises Nasdaq Tallinn</w:t>
            </w:r>
          </w:p>
        </w:tc>
      </w:tr>
      <w:tr>
        <w:tc>
          <w:tcPr>
            <w:tcW w:type="dxa" w:w="2880"/>
          </w:tcPr>
          <w:p>
            <w:pPr/>
            <w:r>
              <w:rPr>
                <w:sz w:val="18"/>
              </w:rPr>
              <w:t>**Latvia**</w:t>
            </w:r>
          </w:p>
        </w:tc>
        <w:tc>
          <w:tcPr>
            <w:tcW w:type="dxa" w:w="2880"/>
          </w:tcPr>
          <w:p>
            <w:pPr/>
            <w:r>
              <w:rPr>
                <w:sz w:val="18"/>
              </w:rPr>
              <w:t>Finansu un kapitala tirgus komisija (FCMC)</w:t>
            </w:r>
          </w:p>
        </w:tc>
        <w:tc>
          <w:tcPr>
            <w:tcW w:type="dxa" w:w="2880"/>
          </w:tcPr>
          <w:p>
            <w:pPr/>
            <w:r>
              <w:rPr>
                <w:sz w:val="18"/>
              </w:rPr>
              <w:t>Supervises Nasdaq Riga</w:t>
            </w:r>
          </w:p>
        </w:tc>
      </w:tr>
      <w:tr>
        <w:tc>
          <w:tcPr>
            <w:tcW w:type="dxa" w:w="2880"/>
          </w:tcPr>
          <w:p>
            <w:pPr/>
            <w:r>
              <w:rPr>
                <w:sz w:val="18"/>
              </w:rPr>
              <w:t>**Lithuania**</w:t>
            </w:r>
          </w:p>
        </w:tc>
        <w:tc>
          <w:tcPr>
            <w:tcW w:type="dxa" w:w="2880"/>
          </w:tcPr>
          <w:p>
            <w:pPr/>
            <w:r>
              <w:rPr>
                <w:sz w:val="18"/>
              </w:rPr>
              <w:t>Lietuvos Bankas (Bank of Lithuania)</w:t>
            </w:r>
          </w:p>
        </w:tc>
        <w:tc>
          <w:tcPr>
            <w:tcW w:type="dxa" w:w="2880"/>
          </w:tcPr>
          <w:p>
            <w:pPr/>
            <w:r>
              <w:rPr>
                <w:sz w:val="18"/>
              </w:rPr>
              <w:t>Supervises Nasdaq Vilnius</w:t>
            </w:r>
          </w:p>
        </w:tc>
      </w:tr>
    </w:tbl>
    <w:p/>
    <w:p>
      <w:r>
        <w:t>Each exchange entity holds a Regulated Market license (Main Market) and/or MTF license (First North) in its respective jurisdiction. Although operated under common Nasdaq Nordic branding and harmonized rules, each entity is a separate legal entity supervised by its national regulator.</w:t>
      </w:r>
    </w:p>
    <w:p>
      <w:pPr>
        <w:pStyle w:val="Heading3"/>
      </w:pPr>
      <w:r>
        <w:t>9.2 Key Regulations</w:t>
      </w:r>
    </w:p>
    <w:p>
      <w:pPr>
        <w:pStyle w:val="ListBullet"/>
      </w:pPr>
      <w:r>
        <w:t>MiFID II / MiFIR (Markets in Financial Instruments Directive II / Regulation): Core regulatory framework for all Nasdaq Nordic and Baltic markets as EU/EEA Regulated Markets; governs transparency, best execution, investor protection, algorithmic trading controls, and tick sizes</w:t>
      </w:r>
    </w:p>
    <w:p>
      <w:pPr>
        <w:pStyle w:val="ListBullet"/>
      </w:pPr>
      <w:r>
        <w:t>Market Abuse Regulation (MAR): EU-wide prohibition of insider dealing, market manipulation, and unlawful disclosure of inside information; directly applicable in all member states</w:t>
      </w:r>
    </w:p>
    <w:p>
      <w:pPr>
        <w:pStyle w:val="ListBullet"/>
      </w:pPr>
      <w:r>
        <w:t>Prospectus Regulation: EU regulation governing public offers of securities and admission to trading; prospectus must be approved by the home-country FSA</w:t>
      </w:r>
    </w:p>
    <w:p>
      <w:pPr>
        <w:pStyle w:val="ListBullet"/>
      </w:pPr>
      <w:r>
        <w:t>Transparency Directive: Disclosure requirements for issuers of listed securities (periodic financial reporting, major shareholding notifications)</w:t>
      </w:r>
    </w:p>
    <w:p>
      <w:pPr>
        <w:pStyle w:val="ListBullet"/>
      </w:pPr>
      <w:r>
        <w:t>EU Takeover Directive: Governs mandatory and voluntary takeover bids (transposed into local law)</w:t>
      </w:r>
    </w:p>
    <w:p>
      <w:pPr>
        <w:pStyle w:val="ListBullet"/>
      </w:pPr>
      <w:r>
        <w:t>CSDR (Central Securities Depositories Regulation): Governs settlement discipline and CSD authorization; Nasdaq CSD SE operates across Baltic and Icelandic markets</w:t>
      </w:r>
    </w:p>
    <w:p>
      <w:pPr>
        <w:pStyle w:val="ListBullet"/>
      </w:pPr>
      <w:r>
        <w:t>Nasdaq Nordic Main Market Rulebook for Issuers of Shares: Harmonized listing rules applied across Stockholm, Helsinki, Copenhagen, and Iceland with local supplements per jurisdiction</w:t>
      </w:r>
    </w:p>
    <w:p>
      <w:pPr>
        <w:pStyle w:val="Heading3"/>
      </w:pPr>
      <w:r>
        <w:t>9.3 Market Surveillance</w:t>
      </w:r>
    </w:p>
    <w:p>
      <w:pPr>
        <w:pStyle w:val="ListBullet"/>
      </w:pPr>
      <w:r>
        <w:t>Nasdaq Nordic Market Surveillance: Centralized real-time surveillance monitoring trading activity across all Nordic and Baltic markets for potential market abuse, suspicious patterns, and rule violations</w:t>
      </w:r>
    </w:p>
    <w:p>
      <w:pPr>
        <w:pStyle w:val="ListBullet"/>
      </w:pPr>
      <w:r>
        <w:t>Nasdaq uses its own surveillance technology to monitor order flow, trading patterns, and price movements</w:t>
      </w:r>
    </w:p>
    <w:p>
      <w:pPr>
        <w:pStyle w:val="ListBullet"/>
      </w:pPr>
      <w:r>
        <w:t>Cooperation with national regulators: Suspicious Transaction and Order Reports (STORs) are filed with relevant FSAs</w:t>
      </w:r>
    </w:p>
    <w:p>
      <w:pPr>
        <w:pStyle w:val="ListBullet"/>
      </w:pPr>
      <w:r>
        <w:t>Nasdaq published its first European Financial Crime Report in 2025, and signed its first proof of concept with a Tier 1 European bank for anti-financial crime technology</w:t>
      </w:r>
    </w:p>
    <w:p>
      <w:pPr>
        <w:pStyle w:val="Heading3"/>
      </w:pPr>
      <w:r>
        <w:t>9.4 Reporting Requirements</w:t>
      </w:r>
    </w:p>
    <w:p>
      <w:pPr>
        <w:pStyle w:val="ListBullet"/>
      </w:pPr>
      <w:r>
        <w:t>Transaction Reporting: Investment firms report to their national competent authority under MiFIR Article 26 (65 data fields per transaction, by T+1)</w:t>
      </w:r>
    </w:p>
    <w:p>
      <w:pPr>
        <w:pStyle w:val="ListBullet"/>
      </w:pPr>
      <w:r>
        <w:t>Post-trade Transparency: Real-time publication of trade details (MiFID II pre- and post-trade transparency regime)</w:t>
      </w:r>
    </w:p>
    <w:p>
      <w:pPr>
        <w:pStyle w:val="ListBullet"/>
      </w:pPr>
      <w:r>
        <w:t>Short Selling Disclosure: Per EU Short Selling Regulation; net short positions above 0.1% reported to NCA, above 0.5% disclosed publicly</w:t>
      </w:r>
    </w:p>
    <w:p>
      <w:pPr>
        <w:pStyle w:val="ListBullet"/>
      </w:pPr>
      <w:r>
        <w:t>Major Shareholding Notifications: Varies by country but generally aligned with the EU Transparency Directive thresholds</w:t>
      </w:r>
    </w:p>
    <w:p>
      <w:pPr>
        <w:pStyle w:val="Heading3"/>
      </w:pPr>
      <w:r>
        <w:t>9.5 Cross-border Arrangements / Nordic Cooperation</w:t>
      </w:r>
    </w:p>
    <w:p>
      <w:pPr>
        <w:pStyle w:val="ListBullet"/>
      </w:pPr>
      <w:r>
        <w:t>Harmonized Rulebook: Nasdaq Nordic operates under a common Nordic Main Market Rulebook for Issuers of Shares, with local supplements (Supplement A for Stockholm, B for Copenhagen, C for Helsinki, D for Iceland) ensuring consistency while respecting local legal requirements</w:t>
      </w:r>
    </w:p>
    <w:p>
      <w:pPr>
        <w:pStyle w:val="ListBullet"/>
      </w:pPr>
      <w:r>
        <w:t>EU/EEA Passporting: Member firms authorized in one EU/EEA country can access other Nasdaq Nordic/Baltic markets under MiFID II passporting without additional local authorization</w:t>
      </w:r>
    </w:p>
    <w:p>
      <w:pPr>
        <w:pStyle w:val="ListBullet"/>
      </w:pPr>
      <w:r>
        <w:t>Nordic Cooperation: The Nordic and Baltic FSAs cooperate closely on cross-border supervision; joint memoranda of understanding facilitate information sharing</w:t>
      </w:r>
    </w:p>
    <w:p>
      <w:pPr>
        <w:pStyle w:val="ListBullet"/>
      </w:pPr>
      <w:r>
        <w:t>Nasdaq CSD SE: A single CSD entity authorized in Latvia, operating across Estonia, Latvia, Lithuania, and Iceland under EU CSDR passporting, facilitating harmonized post-trade infrastructure</w:t>
      </w:r>
    </w:p>
    <w:p>
      <w:pPr>
        <w:pStyle w:val="ListBullet"/>
      </w:pPr>
      <w:r>
        <w:t>IOSCO MMOU: All relevant Nordic and Baltic regulators are signatories to the IOSCO Multilateral Memorandum of Understanding</w:t>
      </w:r>
    </w:p>
    <w:p>
      <w:r>
        <w:t>────────────────────────────────────────────────────────────</w:t>
      </w:r>
    </w:p>
    <w:p>
      <w:pPr>
        <w:pStyle w:val="Heading2"/>
      </w:pPr>
      <w:r>
        <w:t>10. Fees &amp; Revenue Model</w:t>
      </w:r>
    </w:p>
    <w:p>
      <w:pPr>
        <w:pStyle w:val="Heading3"/>
      </w:pPr>
      <w:r>
        <w:t>10.1 Trading Fees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Fee Type</w:t>
            </w:r>
          </w:p>
        </w:tc>
        <w:tc>
          <w:tcPr>
            <w:tcW w:type="dxa" w:w="2880"/>
          </w:tcPr>
          <w:p>
            <w:pPr/>
            <w:r>
              <w:rPr>
                <w:b/>
                <w:sz w:val="18"/>
              </w:rPr>
              <w:t>Structure</w:t>
            </w:r>
          </w:p>
        </w:tc>
        <w:tc>
          <w:tcPr>
            <w:tcW w:type="dxa" w:w="2880"/>
          </w:tcPr>
          <w:p>
            <w:pPr/>
            <w:r>
              <w:rPr>
                <w:b/>
                <w:sz w:val="18"/>
              </w:rPr>
              <w:t>Notes</w:t>
            </w:r>
          </w:p>
        </w:tc>
      </w:tr>
      <w:tr>
        <w:tc>
          <w:tcPr>
            <w:tcW w:type="dxa" w:w="2880"/>
          </w:tcPr>
          <w:p>
            <w:pPr/>
            <w:r>
              <w:rPr>
                <w:sz w:val="18"/>
              </w:rPr>
              <w:t>Execution Fee (Equities)</w:t>
            </w:r>
          </w:p>
        </w:tc>
        <w:tc>
          <w:tcPr>
            <w:tcW w:type="dxa" w:w="2880"/>
          </w:tcPr>
          <w:p>
            <w:pPr/>
            <w:r>
              <w:rPr>
                <w:sz w:val="18"/>
              </w:rPr>
              <w:t>Value-based (ad valorem) + possible fixed per-trade component</w:t>
            </w:r>
          </w:p>
        </w:tc>
        <w:tc>
          <w:tcPr>
            <w:tcW w:type="dxa" w:w="2880"/>
          </w:tcPr>
          <w:p>
            <w:pPr/>
            <w:r>
              <w:rPr>
                <w:sz w:val="18"/>
              </w:rPr>
              <w:t>Varies by volume tier and pricing package; specific rates in Nasdaq Nordic Cash Market Fee List</w:t>
            </w:r>
          </w:p>
        </w:tc>
      </w:tr>
      <w:tr>
        <w:tc>
          <w:tcPr>
            <w:tcW w:type="dxa" w:w="2880"/>
          </w:tcPr>
          <w:p>
            <w:pPr/>
            <w:r>
              <w:rPr>
                <w:sz w:val="18"/>
              </w:rPr>
              <w:t>Routing Fee</w:t>
            </w:r>
          </w:p>
        </w:tc>
        <w:tc>
          <w:tcPr>
            <w:tcW w:type="dxa" w:w="2880"/>
          </w:tcPr>
          <w:p>
            <w:pPr/>
            <w:r>
              <w:rPr>
                <w:sz w:val="18"/>
              </w:rPr>
              <w:t>Additional fee for orders routed to other venues</w:t>
            </w:r>
          </w:p>
        </w:tc>
        <w:tc>
          <w:tcPr>
            <w:tcW w:type="dxa" w:w="2880"/>
          </w:tcPr>
          <w:p>
            <w:pPr/>
            <w:r>
              <w:rPr>
                <w:sz w:val="18"/>
              </w:rPr>
              <w:t>Applied on top of standard execution fee</w:t>
            </w:r>
          </w:p>
        </w:tc>
      </w:tr>
      <w:tr>
        <w:tc>
          <w:tcPr>
            <w:tcW w:type="dxa" w:w="2880"/>
          </w:tcPr>
          <w:p>
            <w:pPr/>
            <w:r>
              <w:rPr>
                <w:sz w:val="18"/>
              </w:rPr>
              <w:t>Market Maker Rebate</w:t>
            </w:r>
          </w:p>
        </w:tc>
        <w:tc>
          <w:tcPr>
            <w:tcW w:type="dxa" w:w="2880"/>
          </w:tcPr>
          <w:p>
            <w:pPr/>
            <w:r>
              <w:rPr>
                <w:sz w:val="18"/>
              </w:rPr>
              <w:t>Reduced fees or rebates for registered liquidity providers</w:t>
            </w:r>
          </w:p>
        </w:tc>
        <w:tc>
          <w:tcPr>
            <w:tcW w:type="dxa" w:w="2880"/>
          </w:tcPr>
          <w:p>
            <w:pPr/>
            <w:r>
              <w:rPr>
                <w:sz w:val="18"/>
              </w:rPr>
              <w:t>Incentivizes continuous quoting</w:t>
            </w:r>
          </w:p>
        </w:tc>
      </w:tr>
    </w:tbl>
    <w:p/>
    <w:p>
      <w:r>
        <w:t>Detailed fee schedules are published in the "Nasdaq Nordic Cash Market Fee List" (updated periodically; most recent version as of November 2024). Fee changes of approximately +2.4% for listed products were announced effective January 1, 2026, based on inflation and cost adjustments.</w:t>
      </w:r>
    </w:p>
    <w:p>
      <w:pPr>
        <w:pStyle w:val="Heading3"/>
      </w:pPr>
      <w:r>
        <w:t>10.2 Other Fees</w:t>
      </w:r>
    </w:p>
    <w:p>
      <w:pPr>
        <w:pStyle w:val="ListBullet"/>
      </w:pPr>
      <w:r>
        <w:t>Listing Fees: Initial and annual listing fees based on market cap and market segment</w:t>
      </w:r>
    </w:p>
    <w:p>
      <w:pPr>
        <w:pStyle w:val="ListBullet"/>
      </w:pPr>
      <w:r>
        <w:t>Market Data Fees: Per-user and enterprise licensing; separate pricing for real-time, delayed, and derived data. European Markets Exchange Data Price List updated January 2025 and January 2026</w:t>
      </w:r>
    </w:p>
    <w:p>
      <w:pPr>
        <w:pStyle w:val="ListBullet"/>
      </w:pPr>
      <w:r>
        <w:t>Co-location Fees: Charges for rack space, cross-connect, and power at Vasby data center</w:t>
      </w:r>
    </w:p>
    <w:p>
      <w:pPr>
        <w:pStyle w:val="ListBullet"/>
      </w:pPr>
      <w:r>
        <w:t>Membership Fees: Annual fees for exchange membership [specific amounts not publicly summarized]</w:t>
      </w:r>
    </w:p>
    <w:p>
      <w:r>
        <w:t>────────────────────────────────────────────────────────────</w:t>
      </w:r>
    </w:p>
    <w:p>
      <w:pPr>
        <w:pStyle w:val="Heading2"/>
      </w:pPr>
      <w:r>
        <w:t>11. Recent Developments</w:t>
      </w:r>
    </w:p>
    <w:p>
      <w:pPr>
        <w:pStyle w:val="Heading3"/>
      </w:pPr>
      <w:r>
        <w:t>System Upgrades (Last 5 Years)</w:t>
      </w:r>
    </w:p>
    <w:p>
      <w:pPr>
        <w:pStyle w:val="ListBullet"/>
      </w:pPr>
      <w:r>
        <w:t>2021: Introduction of next-generation OUCH and FIX protocols for INET Nordic</w:t>
      </w:r>
    </w:p>
    <w:p>
      <w:pPr>
        <w:pStyle w:val="ListBullet"/>
      </w:pPr>
      <w:r>
        <w:t>2022-2023: Ongoing INET Nordic functional enhancements; capacity and latency improvements</w:t>
      </w:r>
    </w:p>
    <w:p>
      <w:pPr>
        <w:pStyle w:val="ListBullet"/>
      </w:pPr>
      <w:r>
        <w:t>2025: Relocation of secondary data center from PORT to STOCKHOLM SOUTH (Equinix SK2), April-September 2025; FIX gateway optimization for lower latency</w:t>
      </w:r>
    </w:p>
    <w:p>
      <w:pPr>
        <w:pStyle w:val="ListBullet"/>
      </w:pPr>
      <w:r>
        <w:t>2025-2026: Continued protocol version updates (OUCH 5.02.6, TotalView-ITCH 3.04.5)</w:t>
      </w:r>
    </w:p>
    <w:p>
      <w:pPr>
        <w:pStyle w:val="Heading3"/>
      </w:pPr>
      <w:r>
        <w:t>New Products / Segments</w:t>
      </w:r>
    </w:p>
    <w:p>
      <w:pPr>
        <w:pStyle w:val="ListBullet"/>
      </w:pPr>
      <w:r>
        <w:t>Defense Bond Framework (2025): Europe's first defense bond framework launched; Lithuanian state-owned Valstybiu Investicinis Kapitalas became the first issuer (October 2025)</w:t>
      </w:r>
    </w:p>
    <w:p>
      <w:pPr>
        <w:pStyle w:val="ListBullet"/>
      </w:pPr>
      <w:r>
        <w:t>Sustainable Bond Market: Marked its 10th anniversary with over EUR 80 billion in listed volume; total bond listings exceeded EUR 1.2 trillion across Nordic markets</w:t>
      </w:r>
    </w:p>
    <w:p>
      <w:pPr>
        <w:pStyle w:val="ListBullet"/>
      </w:pPr>
      <w:r>
        <w:t>Auction-Only Trading: Introduced for less liquid shares on First North Denmark to support better price discovery</w:t>
      </w:r>
    </w:p>
    <w:p>
      <w:pPr>
        <w:pStyle w:val="ListBullet"/>
      </w:pPr>
      <w:r>
        <w:t>First North 25 Index: Semi-annual rebalancing continues</w:t>
      </w:r>
    </w:p>
    <w:p>
      <w:pPr>
        <w:pStyle w:val="Heading3"/>
      </w:pPr>
      <w:r>
        <w:t>Regulatory Changes</w:t>
      </w:r>
    </w:p>
    <w:p>
      <w:pPr>
        <w:pStyle w:val="ListBullet"/>
      </w:pPr>
      <w:r>
        <w:t>MiFID II Tick Size Regime: Fully embedded since 2018; ongoing liquidity band recalibrations by ESMA</w:t>
      </w:r>
    </w:p>
    <w:p>
      <w:pPr>
        <w:pStyle w:val="ListBullet"/>
      </w:pPr>
      <w:r>
        <w:t>Annual Market Cap Segment Review: January 2026 review moved 35 companies across Large/Mid/Small Cap segments</w:t>
      </w:r>
    </w:p>
    <w:p>
      <w:pPr>
        <w:pStyle w:val="ListBullet"/>
      </w:pPr>
      <w:r>
        <w:t>Nordic Main Market Rulebook Updates: Supplements updated January 2026 for Stockholm (Supplement D) and Copenhagen (Supplement B)</w:t>
      </w:r>
    </w:p>
    <w:p>
      <w:pPr>
        <w:pStyle w:val="Heading3"/>
      </w:pPr>
      <w:r>
        <w:t>Strategic Initiatives</w:t>
      </w:r>
    </w:p>
    <w:p>
      <w:pPr>
        <w:pStyle w:val="ListBullet"/>
      </w:pPr>
      <w:r>
        <w:t>Anti-Financial Crime Technology: Nasdaq signed its first proof of concept with a Tier 1 European bank; published its European Financial Crime Report (2025)</w:t>
      </w:r>
    </w:p>
    <w:p>
      <w:pPr>
        <w:pStyle w:val="ListBullet"/>
      </w:pPr>
      <w:r>
        <w:t>Market Share: Nasdaq Nordic Exchange Network held approximately 72% market share of Nordic equity trades in 2024</w:t>
      </w:r>
    </w:p>
    <w:p>
      <w:pPr>
        <w:pStyle w:val="ListBullet"/>
      </w:pPr>
      <w:r>
        <w:t>IPO Activity: Nordic IPO pipeline recovering into 2025-2026 after subdued years</w:t>
      </w:r>
    </w:p>
    <w:p>
      <w:pPr>
        <w:pStyle w:val="ListBullet"/>
      </w:pPr>
      <w:r>
        <w:t>2026 Outlook: Focus on scaling the Nordic market platform to enhance the strength of European financial markets; continued growth in bond and sustainable finance segments</w:t>
      </w:r>
    </w:p>
    <w:p>
      <w:r>
        <w:t>────────────────────────────────────────────────────────────</w:t>
      </w:r>
    </w:p>
    <w:p>
      <w:pPr>
        <w:pStyle w:val="Heading2"/>
      </w:pPr>
      <w:r>
        <w:t>Sources</w:t>
      </w:r>
    </w:p>
    <w:p>
      <w:r>
        <w:t>[Source: Nasdaq Official, "Nordic About Us &amp; Legal", https://www.nasdaq.com/european-markets/about-nordic-exchanges, accessed 2026-04-06]</w:t>
      </w:r>
    </w:p>
    <w:p>
      <w:r>
        <w:t>[Source: Nasdaq Official, "European Markets Trading Hours", https://www.nasdaq.com/european-market-activity/trading-hours, accessed 2026-04-06]</w:t>
      </w:r>
    </w:p>
    <w:p>
      <w:r>
        <w:t>[Source: Nasdaq Official, "Nordic Equities Exchange and Market", https://www.nasdaq.com/solutions/nordic-equities-exchange-and-market, accessed 2026-04-06]</w:t>
      </w:r>
    </w:p>
    <w:p>
      <w:r>
        <w:t>[Source: Nasdaq Official, "Nordic Main Market", https://www.nasdaq.com/solutions/listings/markets/nordic/main-market, accessed 2026-04-06]</w:t>
      </w:r>
    </w:p>
    <w:p>
      <w:r>
        <w:t>[Source: Nasdaq Official, "First North Growth Market", https://www.nasdaq.com/solutions/listings/markets/nordic/first-north, accessed 2026-04-06]</w:t>
      </w:r>
    </w:p>
    <w:p>
      <w:r>
        <w:t>[Source: Nasdaq Official, "INET Nordic Protocol Specifications", https://www.nasdaq.com/solutions/inet-nordic-protocol-specifications, accessed 2026-04-06]</w:t>
      </w:r>
    </w:p>
    <w:p>
      <w:r>
        <w:t>[Source: Nasdaq Official, "Technical Information - INET Nordic Trading Platform", https://www.nasdaq.com/solutions/technical-information-inet-nordic-trading-platform, accessed 2026-04-06]</w:t>
      </w:r>
    </w:p>
    <w:p>
      <w:r>
        <w:t>[Source: Nasdaq Official, "Nasdaq Nordic Market Model 2026-01", https://www.nasdaq.com/docs/2026/03/02/Nasdaq-Nordic-Market-Model-2026-01.pdf, accessed 2026-04-06]</w:t>
      </w:r>
    </w:p>
    <w:p>
      <w:r>
        <w:t>[Source: Nasdaq Official, "Pre-Trade Risk Management for INET Nordic", https://www.nasdaq.com/solutions/pre-trade-risk-management, accessed 2026-04-06]</w:t>
      </w:r>
    </w:p>
    <w:p>
      <w:r>
        <w:t>[Source: Nasdaq Official, "Nasdaq Nordic PRM Service Guide 3.5", https://www.nasdaq.com/docs/2024/05/29/Nasdaq-Nordic-PRM-Service-Guide-3.5.pdf, accessed 2026-04-06]</w:t>
      </w:r>
    </w:p>
    <w:p>
      <w:r>
        <w:t>[Source: Nasdaq Official, "Secondary Data Center Relocation 2025", https://www.nasdaq.com/solutions/european-market-services/secondary-dc-relocation, accessed 2026-04-06]</w:t>
      </w:r>
    </w:p>
    <w:p>
      <w:r>
        <w:t>[Source: Nasdaq Official, "Nasdaq Primary Datacenter Vasby Stockholm Overview", https://www.nasdaq.com/docs/nasdaq-primary-datacenter-vasby-stockholm-overview.pdf, accessed 2026-04-06]</w:t>
      </w:r>
    </w:p>
    <w:p>
      <w:r>
        <w:t>[Source: Nasdaq Official, "Nordic Cash Market Fee List (November 2024)", https://www.nasdaq.com/docs/nordic-cash-market-fee-list-1-november-2024, accessed 2026-04-06]</w:t>
      </w:r>
    </w:p>
    <w:p>
      <w:r>
        <w:t>[Source: Nasdaq Official, "European Markets Exchange Data Price List (January 2026)", https://www.nasdaq.com/docs/Nasdaq_European_Exchange_Market_Data_Price_List_January_2026, accessed 2026-04-06]</w:t>
      </w:r>
    </w:p>
    <w:p>
      <w:r>
        <w:t>[Source: Nasdaq Official, "Annual Trading Statistics 2025", https://view.news.eu.nasdaq.com/view?id=b47e42a5cfb6120f9859fdf9de6db83ef, accessed 2026-04-06]</w:t>
      </w:r>
    </w:p>
    <w:p>
      <w:r>
        <w:t>[Source: Nasdaq Official, "Market Cap Segment Review at Nasdaq Nordic Exchanges (December 2025)", https://view.news.eu.nasdaq.com/view?id=beea8b646fe73fc18cbd50835d7a6b6a6, accessed 2026-04-06]</w:t>
      </w:r>
    </w:p>
    <w:p>
      <w:r>
        <w:t>[Source: Nasdaq Official, "Nasdaq Europe in 2025: A Year of Market Leadership and Innovation", https://www.nasdaq.com/newsroom/nasdaq-europe-2025-year-market-leadership-and-innovation, accessed 2026-04-06]</w:t>
      </w:r>
    </w:p>
    <w:p>
      <w:r>
        <w:t>[Source: Nasdaq Official, "Rules &amp; Regulations - European", https://www.nasdaq.com/market-regulation/nordic, accessed 2026-04-06]</w:t>
      </w:r>
    </w:p>
    <w:p>
      <w:r>
        <w:t>[Source: Nasdaq Official, "Rules &amp; Regulations - Nordic Main Market Rules", https://www.nasdaq.com/market-regulation/nordic/main-market-rules, accessed 2026-04-06]</w:t>
      </w:r>
    </w:p>
    <w:p>
      <w:r>
        <w:t>[Source: Nasdaq IR, "NASDAQ OMX Nordic Introduces Updated Volatility Guards", https://ir.nasdaq.com/news-releases/news-release-details/nasdaq-omx-nordic-introduces-updated-volatility-guards-protect, accessed 2026-04-06]</w:t>
      </w:r>
    </w:p>
    <w:p>
      <w:r>
        <w:t>[Source: Nasdaq Official, "MiFID II Tick Size Regime Implementation (IT Notice 78/17)", https://view.news.eu.nasdaq.com/view?id=b342eaa0fdc828c42823694e47fec1b57, accessed 2026-04-06]</w:t>
      </w:r>
    </w:p>
    <w:p>
      <w:r>
        <w:t>[Source: Nasdaq Baltic, "Tick Size and Trading Lots", https://nasdaqbaltic.com/market-information/tick-size-and-trading-lots/, accessed 2026-04-06]</w:t>
      </w:r>
    </w:p>
    <w:p>
      <w:r>
        <w:t>[Source: Wikipedia, "Nasdaq Nordic", https://en.wikipedia.org/wiki/Nasdaq_Nordic, accessed 2026-04-06]</w:t>
      </w:r>
    </w:p>
    <w:p>
      <w:r>
        <w:t>[Source: Wikipedia, "Nasdaq Stockholm", https://en.wikipedia.org/wiki/Nasdaq_Stockholm, accessed 2026-04-06]</w:t>
      </w:r>
    </w:p>
    <w:p>
      <w:r>
        <w:t>[Source: Baker McKenzie, "Overview of Exchange - Nasdaq Stockholm", https://resourcehub.bakermckenzie.com/en/resources/cross-border-listings-guide/europe-middle-east--africa/nasdaq-stockholm/topics/overview-of-exchange, accessed 2026-04-06]</w:t>
      </w:r>
    </w:p>
    <w:p>
      <w:r>
        <w:t>[Source: ESMA, "Commission Delegated Regulation (EU) 2017/588 (RTS 11) - MiFID II Tick Sizes"]</w:t>
      </w:r>
    </w:p>
    <w:p>
      <w:r>
        <w:t>[Source: Nasdaq Indexes, "OMXN120 Overview", https://indexes.nasdaqomx.com/Index/Overview/NOMXN120, accessed 2026-04-06]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