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SIX Swiss Exchange (SIX)</w:t>
      </w:r>
    </w:p>
    <w:p>
      <w:r>
        <w:rPr>
          <w:i/>
          <w:sz w:val="18"/>
        </w:rPr>
        <w:t>**Last Updated:** 2026-04-06</w:t>
      </w:r>
    </w:p>
    <w:p>
      <w:r>
        <w:rPr>
          <w:i/>
          <w:sz w:val="18"/>
        </w:rPr>
        <w:t>**Research Tier:** Tier 2</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SIX Swiss Exchange AG</w:t>
            </w:r>
          </w:p>
        </w:tc>
      </w:tr>
      <w:tr>
        <w:tc>
          <w:tcPr>
            <w:tcW w:type="dxa" w:w="4320"/>
          </w:tcPr>
          <w:p>
            <w:pPr/>
            <w:r>
              <w:rPr>
                <w:sz w:val="18"/>
              </w:rPr>
              <w:t>Abbreviation</w:t>
            </w:r>
          </w:p>
        </w:tc>
        <w:tc>
          <w:tcPr>
            <w:tcW w:type="dxa" w:w="4320"/>
          </w:tcPr>
          <w:p>
            <w:pPr/>
            <w:r>
              <w:rPr>
                <w:sz w:val="18"/>
              </w:rPr>
              <w:t>SIX (formerly SWX)</w:t>
            </w:r>
          </w:p>
        </w:tc>
      </w:tr>
      <w:tr>
        <w:tc>
          <w:tcPr>
            <w:tcW w:type="dxa" w:w="4320"/>
          </w:tcPr>
          <w:p>
            <w:pPr/>
            <w:r>
              <w:rPr>
                <w:sz w:val="18"/>
              </w:rPr>
              <w:t>Website</w:t>
            </w:r>
          </w:p>
        </w:tc>
        <w:tc>
          <w:tcPr>
            <w:tcW w:type="dxa" w:w="4320"/>
          </w:tcPr>
          <w:p>
            <w:pPr/>
            <w:r>
              <w:rPr>
                <w:sz w:val="18"/>
              </w:rPr>
              <w:t>https://www.six-group.com/en/products-services/the-swiss-stock-exchange.html</w:t>
            </w:r>
          </w:p>
        </w:tc>
      </w:tr>
      <w:tr>
        <w:tc>
          <w:tcPr>
            <w:tcW w:type="dxa" w:w="4320"/>
          </w:tcPr>
          <w:p>
            <w:pPr/>
            <w:r>
              <w:rPr>
                <w:sz w:val="18"/>
              </w:rPr>
              <w:t>Year Established</w:t>
            </w:r>
          </w:p>
        </w:tc>
        <w:tc>
          <w:tcPr>
            <w:tcW w:type="dxa" w:w="4320"/>
          </w:tcPr>
          <w:p>
            <w:pPr/>
            <w:r>
              <w:rPr>
                <w:sz w:val="18"/>
              </w:rPr>
              <w:t>1995 (current form); origins trace to Geneva Stock Exchange (1850), Zurich Stock Exchange (1873), Basel Stock Exchange (1876); merged 1993, automated trading began 1995</w:t>
            </w:r>
          </w:p>
        </w:tc>
      </w:tr>
      <w:tr>
        <w:tc>
          <w:tcPr>
            <w:tcW w:type="dxa" w:w="4320"/>
          </w:tcPr>
          <w:p>
            <w:pPr/>
            <w:r>
              <w:rPr>
                <w:sz w:val="18"/>
              </w:rPr>
              <w:t>Country / City</w:t>
            </w:r>
          </w:p>
        </w:tc>
        <w:tc>
          <w:tcPr>
            <w:tcW w:type="dxa" w:w="4320"/>
          </w:tcPr>
          <w:p>
            <w:pPr/>
            <w:r>
              <w:rPr>
                <w:sz w:val="18"/>
              </w:rPr>
              <w:t>Switzerland / Zurich (Pfingstweidstrasse 110, CH-8005 Zurich)</w:t>
            </w:r>
          </w:p>
        </w:tc>
      </w:tr>
      <w:tr>
        <w:tc>
          <w:tcPr>
            <w:tcW w:type="dxa" w:w="4320"/>
          </w:tcPr>
          <w:p>
            <w:pPr/>
            <w:r>
              <w:rPr>
                <w:sz w:val="18"/>
              </w:rPr>
              <w:t>Ownership Structure</w:t>
            </w:r>
          </w:p>
        </w:tc>
        <w:tc>
          <w:tcPr>
            <w:tcW w:type="dxa" w:w="4320"/>
          </w:tcPr>
          <w:p>
            <w:pPr/>
            <w:r>
              <w:rPr>
                <w:sz w:val="18"/>
              </w:rPr>
              <w:t>Wholly owned subsidiary of SIX Group AG, which is owned by ~120 Swiss and international financial institutions</w:t>
            </w:r>
          </w:p>
        </w:tc>
      </w:tr>
      <w:tr>
        <w:tc>
          <w:tcPr>
            <w:tcW w:type="dxa" w:w="4320"/>
          </w:tcPr>
          <w:p>
            <w:pPr/>
            <w:r>
              <w:rPr>
                <w:sz w:val="18"/>
              </w:rPr>
              <w:t>Parent Company / Group</w:t>
            </w:r>
          </w:p>
        </w:tc>
        <w:tc>
          <w:tcPr>
            <w:tcW w:type="dxa" w:w="4320"/>
          </w:tcPr>
          <w:p>
            <w:pPr/>
            <w:r>
              <w:rPr>
                <w:sz w:val="18"/>
              </w:rPr>
              <w:t>SIX Group AG (vertically integrated: exchange, clearing via SIX x-clear, settlement/custody via SIX SIS, financial data via SIX Financial Information)</w:t>
            </w:r>
          </w:p>
        </w:tc>
      </w:tr>
      <w:tr>
        <w:tc>
          <w:tcPr>
            <w:tcW w:type="dxa" w:w="4320"/>
          </w:tcPr>
          <w:p>
            <w:pPr/>
            <w:r>
              <w:rPr>
                <w:sz w:val="18"/>
              </w:rPr>
              <w:t>Regulatory Authority</w:t>
            </w:r>
          </w:p>
        </w:tc>
        <w:tc>
          <w:tcPr>
            <w:tcW w:type="dxa" w:w="4320"/>
          </w:tcPr>
          <w:p>
            <w:pPr/>
            <w:r>
              <w:rPr>
                <w:sz w:val="18"/>
              </w:rPr>
              <w:t>Swiss Financial Market Supervisory Authority (FINMA), under the Financial Market Infrastructure Act (FMIA); self-regulatory organization SIX Exchange Regulation (SER) handles listing and trading rule supervision</w:t>
            </w:r>
          </w:p>
        </w:tc>
      </w:tr>
      <w:tr>
        <w:tc>
          <w:tcPr>
            <w:tcW w:type="dxa" w:w="4320"/>
          </w:tcPr>
          <w:p>
            <w:pPr/>
            <w:r>
              <w:rPr>
                <w:sz w:val="18"/>
              </w:rPr>
              <w:t>Market Capitalization (listed companies)</w:t>
            </w:r>
          </w:p>
        </w:tc>
        <w:tc>
          <w:tcPr>
            <w:tcW w:type="dxa" w:w="4320"/>
          </w:tcPr>
          <w:p>
            <w:pPr/>
            <w:r>
              <w:rPr>
                <w:sz w:val="18"/>
              </w:rPr>
              <w:t>~CHF 1.8 trillion (free float market cap, mid-2025); SMI constituents ~CHF 1.32 trillion (March 2025)</w:t>
            </w:r>
          </w:p>
        </w:tc>
      </w:tr>
      <w:tr>
        <w:tc>
          <w:tcPr>
            <w:tcW w:type="dxa" w:w="4320"/>
          </w:tcPr>
          <w:p>
            <w:pPr/>
            <w:r>
              <w:rPr>
                <w:sz w:val="18"/>
              </w:rPr>
              <w:t>Total Listed Instruments</w:t>
            </w:r>
          </w:p>
        </w:tc>
        <w:tc>
          <w:tcPr>
            <w:tcW w:type="dxa" w:w="4320"/>
          </w:tcPr>
          <w:p>
            <w:pPr/>
            <w:r>
              <w:rPr>
                <w:sz w:val="18"/>
              </w:rPr>
              <w:t>~250+ equity issuers; ~169,099 structured products newly listed in 2025 alone; also ETFs, bonds, funds</w:t>
            </w:r>
          </w:p>
        </w:tc>
      </w:tr>
      <w:tr>
        <w:tc>
          <w:tcPr>
            <w:tcW w:type="dxa" w:w="4320"/>
          </w:tcPr>
          <w:p>
            <w:pPr/>
            <w:r>
              <w:rPr>
                <w:sz w:val="18"/>
              </w:rPr>
              <w:t>Average Daily Trading Volume</w:t>
            </w:r>
          </w:p>
        </w:tc>
        <w:tc>
          <w:tcPr>
            <w:tcW w:type="dxa" w:w="4320"/>
          </w:tcPr>
          <w:p>
            <w:pPr/>
            <w:r>
              <w:rPr>
                <w:sz w:val="18"/>
              </w:rPr>
              <w:t>~210,000 equity trades/day (52.8 million equity trades in 2025 / ~252 trading days)</w:t>
            </w:r>
          </w:p>
        </w:tc>
      </w:tr>
      <w:tr>
        <w:tc>
          <w:tcPr>
            <w:tcW w:type="dxa" w:w="4320"/>
          </w:tcPr>
          <w:p>
            <w:pPr/>
            <w:r>
              <w:rPr>
                <w:sz w:val="18"/>
              </w:rPr>
              <w:t>Average Daily Trading Value</w:t>
            </w:r>
          </w:p>
        </w:tc>
        <w:tc>
          <w:tcPr>
            <w:tcW w:type="dxa" w:w="4320"/>
          </w:tcPr>
          <w:p>
            <w:pPr/>
            <w:r>
              <w:rPr>
                <w:sz w:val="18"/>
              </w:rPr>
              <w:t>~CHF 3.5 billion/day in equities (CHF 874.8 billion equity turnover in 2025 / ~252 trading days); total turnover CHF 1,135.0 billion across all segments in 2025</w:t>
            </w:r>
          </w:p>
        </w:tc>
      </w:tr>
    </w:tbl>
    <w:p/>
    <w:p>
      <w:pPr>
        <w:pStyle w:val="Heading3"/>
      </w:pPr>
      <w:r>
        <w:t>Key Historical Milestones</w:t>
      </w:r>
    </w:p>
    <w:p>
      <w:pPr>
        <w:pStyle w:val="ListBullet"/>
      </w:pPr>
      <w:r>
        <w:t>1850: Geneva Stock Exchange (Societe des agents de change reunis) founded, the oldest Swiss bourse</w:t>
      </w:r>
    </w:p>
    <w:p>
      <w:pPr>
        <w:pStyle w:val="ListBullet"/>
      </w:pPr>
      <w:r>
        <w:t>1873: Zurich Stock Exchange established</w:t>
      </w:r>
    </w:p>
    <w:p>
      <w:pPr>
        <w:pStyle w:val="ListBullet"/>
      </w:pPr>
      <w:r>
        <w:t>1876: Basel Stock Exchange established</w:t>
      </w:r>
    </w:p>
    <w:p>
      <w:pPr>
        <w:pStyle w:val="ListBullet"/>
      </w:pPr>
      <w:r>
        <w:t>1988: SOFFEX (Swiss Options and Financial Futures Exchange) launched as the world's first fully electronic derivatives exchange</w:t>
      </w:r>
    </w:p>
    <w:p>
      <w:pPr>
        <w:pStyle w:val="ListBullet"/>
      </w:pPr>
      <w:r>
        <w:t>1993: Three Swiss exchanges merged to form "Schweizer Borse / Swiss Exchange" (association formed)</w:t>
      </w:r>
    </w:p>
    <w:p>
      <w:pPr>
        <w:pStyle w:val="ListBullet"/>
      </w:pPr>
      <w:r>
        <w:t>1995: Unified electronic trading platform launched; first stock exchange in the world to incorporate a fully automated trading, clearing, and settlement system</w:t>
      </w:r>
    </w:p>
    <w:p>
      <w:pPr>
        <w:pStyle w:val="ListBullet"/>
      </w:pPr>
      <w:r>
        <w:t>1998: SOFFEX merged with Germany's DTB to form Eurex</w:t>
      </w:r>
    </w:p>
    <w:p>
      <w:pPr>
        <w:pStyle w:val="ListBullet"/>
      </w:pPr>
      <w:r>
        <w:t>1999: virt-x launched as a joint venture with Tradepoint for pan-European blue chip trading</w:t>
      </w:r>
    </w:p>
    <w:p>
      <w:pPr>
        <w:pStyle w:val="ListBullet"/>
      </w:pPr>
      <w:r>
        <w:t>2001: SWX Swiss Exchange adopted as official name</w:t>
      </w:r>
    </w:p>
    <w:p>
      <w:pPr>
        <w:pStyle w:val="ListBullet"/>
      </w:pPr>
      <w:r>
        <w:t>2008: Merger of SWX Group, SIS Group, and Telekurs Group to form SIX Group AG, creating a vertically integrated financial market infrastructure</w:t>
      </w:r>
    </w:p>
    <w:p>
      <w:pPr>
        <w:pStyle w:val="ListBullet"/>
      </w:pPr>
      <w:r>
        <w:t>2009: SIX Swiss Exchange name adopted</w:t>
      </w:r>
    </w:p>
    <w:p>
      <w:pPr>
        <w:pStyle w:val="ListBullet"/>
      </w:pPr>
      <w:r>
        <w:t>2012: Migration to X-stream INET trading platform (SWXess) from Nasdaq OMX</w:t>
      </w:r>
    </w:p>
    <w:p>
      <w:pPr>
        <w:pStyle w:val="ListBullet"/>
      </w:pPr>
      <w:r>
        <w:t>2018: SwissAtMid non-displayed liquidity pool launched</w:t>
      </w:r>
    </w:p>
    <w:p>
      <w:pPr>
        <w:pStyle w:val="ListBullet"/>
      </w:pPr>
      <w:r>
        <w:t>2019: SIX Digital Exchange (SDX) receives FINMA license; EU equivalence recognition for Swiss exchanges revoked; Swiss Federal Council enacts protective measures</w:t>
      </w:r>
    </w:p>
    <w:p>
      <w:pPr>
        <w:pStyle w:val="ListBullet"/>
      </w:pPr>
      <w:r>
        <w:t>2020: SIX completes acquisition of BME (Spanish stock exchange operator) for EUR 2.6 billion</w:t>
      </w:r>
    </w:p>
    <w:p>
      <w:pPr>
        <w:pStyle w:val="ListBullet"/>
      </w:pPr>
      <w:r>
        <w:t>2021: Sparks SME equity segment launched (October 1); SDX begins live operations</w:t>
      </w:r>
    </w:p>
    <w:p>
      <w:pPr>
        <w:pStyle w:val="ListBullet"/>
      </w:pPr>
      <w:r>
        <w:t>2025: SIX acquires Aquis Exchange (July 1); EU equivalence protective measures lifted (May 1); SMI reaches all-time high of 13,288.7 (December); full year equity turnover CHF 874.8 billion (+10.5%)</w:t>
      </w:r>
    </w:p>
    <w:p>
      <w:pPr>
        <w:pStyle w:val="ListBullet"/>
      </w:pPr>
      <w:r>
        <w:t>2026: Equinox platform migration announced (equity go-live targeted H1 2027); SIX x-clear and BME Clearing consolidation into single CCP announced</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 Market (Regulatory Standard / International Reporting Standard)**</w:t>
            </w:r>
          </w:p>
        </w:tc>
        <w:tc>
          <w:tcPr>
            <w:tcW w:type="dxa" w:w="2880"/>
          </w:tcPr>
          <w:p>
            <w:pPr/>
            <w:r>
              <w:rPr>
                <w:sz w:val="18"/>
              </w:rPr>
              <w:t>Flagship segment for established companies; home to SMI, SPI constituents</w:t>
            </w:r>
          </w:p>
        </w:tc>
        <w:tc>
          <w:tcPr>
            <w:tcW w:type="dxa" w:w="2880"/>
          </w:tcPr>
          <w:p>
            <w:pPr/>
            <w:r>
              <w:rPr>
                <w:sz w:val="18"/>
              </w:rPr>
              <w:t>Minimum equity capital CHF 25 million (raised from CHF 2.5M in Oct 2021); 3-year track record; minimum 20% free float; recognized accounting standard (IFRS, Swiss GAAP FER, or US GAAP); prospectus approved by SIX review body</w:t>
            </w:r>
          </w:p>
        </w:tc>
      </w:tr>
      <w:tr>
        <w:tc>
          <w:tcPr>
            <w:tcW w:type="dxa" w:w="2880"/>
          </w:tcPr>
          <w:p>
            <w:pPr/>
            <w:r>
              <w:rPr>
                <w:sz w:val="18"/>
              </w:rPr>
              <w:t>**Sparks (SME Segment)**</w:t>
            </w:r>
          </w:p>
        </w:tc>
        <w:tc>
          <w:tcPr>
            <w:tcW w:type="dxa" w:w="2880"/>
          </w:tcPr>
          <w:p>
            <w:pPr/>
            <w:r>
              <w:rPr>
                <w:sz w:val="18"/>
              </w:rPr>
              <w:t>Dedicated segment for small and medium-sized enterprises, launched October 2021</w:t>
            </w:r>
          </w:p>
        </w:tc>
        <w:tc>
          <w:tcPr>
            <w:tcW w:type="dxa" w:w="2880"/>
          </w:tcPr>
          <w:p>
            <w:pPr/>
            <w:r>
              <w:rPr>
                <w:sz w:val="18"/>
              </w:rPr>
              <w:t>Market cap &lt; CHF 500 million; 2-year track record (vs. 3 years for main market); &gt; 50 shareholders; reduced free float requirements; recognized accounting standard; prospectus required</w:t>
            </w:r>
          </w:p>
        </w:tc>
      </w:tr>
      <w:tr>
        <w:tc>
          <w:tcPr>
            <w:tcW w:type="dxa" w:w="2880"/>
          </w:tcPr>
          <w:p>
            <w:pPr/>
            <w:r>
              <w:rPr>
                <w:sz w:val="18"/>
              </w:rPr>
              <w:t>**ETF Segment**</w:t>
            </w:r>
          </w:p>
        </w:tc>
        <w:tc>
          <w:tcPr>
            <w:tcW w:type="dxa" w:w="2880"/>
          </w:tcPr>
          <w:p>
            <w:pPr/>
            <w:r>
              <w:rPr>
                <w:sz w:val="18"/>
              </w:rPr>
              <w:t>Exchange-traded funds, one of Europe's leading ETF markets</w:t>
            </w:r>
          </w:p>
        </w:tc>
        <w:tc>
          <w:tcPr>
            <w:tcW w:type="dxa" w:w="2880"/>
          </w:tcPr>
          <w:p>
            <w:pPr/>
            <w:r>
              <w:rPr>
                <w:sz w:val="18"/>
              </w:rPr>
              <w:t>Fund must comply with applicable regulations; authorized representative required; listing of shares in fund</w:t>
            </w:r>
          </w:p>
        </w:tc>
      </w:tr>
      <w:tr>
        <w:tc>
          <w:tcPr>
            <w:tcW w:type="dxa" w:w="2880"/>
          </w:tcPr>
          <w:p>
            <w:pPr/>
            <w:r>
              <w:rPr>
                <w:sz w:val="18"/>
              </w:rPr>
              <w:t>**ETP / Structured Products**</w:t>
            </w:r>
          </w:p>
        </w:tc>
        <w:tc>
          <w:tcPr>
            <w:tcW w:type="dxa" w:w="2880"/>
          </w:tcPr>
          <w:p>
            <w:pPr/>
            <w:r>
              <w:rPr>
                <w:sz w:val="18"/>
              </w:rPr>
              <w:t>Exchange-traded products and structured products; largest structured products market globally</w:t>
            </w:r>
          </w:p>
        </w:tc>
        <w:tc>
          <w:tcPr>
            <w:tcW w:type="dxa" w:w="2880"/>
          </w:tcPr>
          <w:p>
            <w:pPr/>
            <w:r>
              <w:rPr>
                <w:sz w:val="18"/>
              </w:rPr>
              <w:t>Issuer credit quality requirements; product documentation; market maker obligations</w:t>
            </w:r>
          </w:p>
        </w:tc>
      </w:tr>
      <w:tr>
        <w:tc>
          <w:tcPr>
            <w:tcW w:type="dxa" w:w="2880"/>
          </w:tcPr>
          <w:p>
            <w:pPr/>
            <w:r>
              <w:rPr>
                <w:sz w:val="18"/>
              </w:rPr>
              <w:t>**Bonds**</w:t>
            </w:r>
          </w:p>
        </w:tc>
        <w:tc>
          <w:tcPr>
            <w:tcW w:type="dxa" w:w="2880"/>
          </w:tcPr>
          <w:p>
            <w:pPr/>
            <w:r>
              <w:rPr>
                <w:sz w:val="18"/>
              </w:rPr>
              <w:t>Swiss franc and non-CHF denominated bonds</w:t>
            </w:r>
          </w:p>
        </w:tc>
        <w:tc>
          <w:tcPr>
            <w:tcW w:type="dxa" w:w="2880"/>
          </w:tcPr>
          <w:p>
            <w:pPr/>
            <w:r>
              <w:rPr>
                <w:sz w:val="18"/>
              </w:rPr>
              <w:t>Issuer requirements; prospectus/listing documentation</w:t>
            </w:r>
          </w:p>
        </w:tc>
      </w:tr>
      <w:tr>
        <w:tc>
          <w:tcPr>
            <w:tcW w:type="dxa" w:w="2880"/>
          </w:tcPr>
          <w:p>
            <w:pPr/>
            <w:r>
              <w:rPr>
                <w:sz w:val="18"/>
              </w:rPr>
              <w:t>**Sponsored Funds**</w:t>
            </w:r>
          </w:p>
        </w:tc>
        <w:tc>
          <w:tcPr>
            <w:tcW w:type="dxa" w:w="2880"/>
          </w:tcPr>
          <w:p>
            <w:pPr/>
            <w:r>
              <w:rPr>
                <w:sz w:val="18"/>
              </w:rPr>
              <w:t>Investment funds with market maker support</w:t>
            </w:r>
          </w:p>
        </w:tc>
        <w:tc>
          <w:tcPr>
            <w:tcW w:type="dxa" w:w="2880"/>
          </w:tcPr>
          <w:p>
            <w:pPr/>
            <w:r>
              <w:rPr>
                <w:sz w:val="18"/>
              </w:rPr>
              <w:t>Similar to ETF requirements with designated market maker</w:t>
            </w:r>
          </w:p>
        </w:tc>
      </w:tr>
    </w:tbl>
    <w:p/>
    <w:p>
      <w:pPr>
        <w:pStyle w:val="Heading3"/>
      </w:pPr>
      <w:r>
        <w:t>Key Indices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Index</w:t>
            </w:r>
          </w:p>
        </w:tc>
        <w:tc>
          <w:tcPr>
            <w:tcW w:type="dxa" w:w="4320"/>
          </w:tcPr>
          <w:p>
            <w:pPr/>
            <w:r>
              <w:rPr>
                <w:b/>
                <w:sz w:val="18"/>
              </w:rPr>
              <w:t>Description</w:t>
            </w:r>
          </w:p>
        </w:tc>
      </w:tr>
      <w:tr>
        <w:tc>
          <w:tcPr>
            <w:tcW w:type="dxa" w:w="4320"/>
          </w:tcPr>
          <w:p>
            <w:pPr/>
            <w:r>
              <w:rPr>
                <w:sz w:val="18"/>
              </w:rPr>
              <w:t>**SMI (Swiss Market Index)**</w:t>
            </w:r>
          </w:p>
        </w:tc>
        <w:tc>
          <w:tcPr>
            <w:tcW w:type="dxa" w:w="4320"/>
          </w:tcPr>
          <w:p>
            <w:pPr/>
            <w:r>
              <w:rPr>
                <w:sz w:val="18"/>
              </w:rPr>
              <w:t>20 largest and most liquid Swiss equities (blue chips); ~80% of Swiss equity market cap; price-weighted with free-float adjustment</w:t>
            </w:r>
          </w:p>
        </w:tc>
      </w:tr>
      <w:tr>
        <w:tc>
          <w:tcPr>
            <w:tcW w:type="dxa" w:w="4320"/>
          </w:tcPr>
          <w:p>
            <w:pPr/>
            <w:r>
              <w:rPr>
                <w:sz w:val="18"/>
              </w:rPr>
              <w:t>**SPI (Swiss Performance Index)**</w:t>
            </w:r>
          </w:p>
        </w:tc>
        <w:tc>
          <w:tcPr>
            <w:tcW w:type="dxa" w:w="4320"/>
          </w:tcPr>
          <w:p>
            <w:pPr/>
            <w:r>
              <w:rPr>
                <w:sz w:val="18"/>
              </w:rPr>
              <w:t>Broad market index covering virtually all SIX-listed Swiss equities (~200+ constituents); total return index</w:t>
            </w:r>
          </w:p>
        </w:tc>
      </w:tr>
      <w:tr>
        <w:tc>
          <w:tcPr>
            <w:tcW w:type="dxa" w:w="4320"/>
          </w:tcPr>
          <w:p>
            <w:pPr/>
            <w:r>
              <w:rPr>
                <w:sz w:val="18"/>
              </w:rPr>
              <w:t>**SLI (Swiss Leader Index)**</w:t>
            </w:r>
          </w:p>
        </w:tc>
        <w:tc>
          <w:tcPr>
            <w:tcW w:type="dxa" w:w="4320"/>
          </w:tcPr>
          <w:p>
            <w:pPr/>
            <w:r>
              <w:rPr>
                <w:sz w:val="18"/>
              </w:rPr>
              <w:t>30 most liquid Swiss equities; individual stock weight capped at 9%</w:t>
            </w:r>
          </w:p>
        </w:tc>
      </w:tr>
      <w:tr>
        <w:tc>
          <w:tcPr>
            <w:tcW w:type="dxa" w:w="4320"/>
          </w:tcPr>
          <w:p>
            <w:pPr/>
            <w:r>
              <w:rPr>
                <w:sz w:val="18"/>
              </w:rPr>
              <w:t>**SMIM (SMI Mid)**</w:t>
            </w:r>
          </w:p>
        </w:tc>
        <w:tc>
          <w:tcPr>
            <w:tcW w:type="dxa" w:w="4320"/>
          </w:tcPr>
          <w:p>
            <w:pPr/>
            <w:r>
              <w:rPr>
                <w:sz w:val="18"/>
              </w:rPr>
              <w:t>30 largest mid-cap stocks not in the SMI</w:t>
            </w:r>
          </w:p>
        </w:tc>
      </w:tr>
      <w:tr>
        <w:tc>
          <w:tcPr>
            <w:tcW w:type="dxa" w:w="4320"/>
          </w:tcPr>
          <w:p>
            <w:pPr/>
            <w:r>
              <w:rPr>
                <w:sz w:val="18"/>
              </w:rPr>
              <w:t>**SPI Extra**</w:t>
            </w:r>
          </w:p>
        </w:tc>
        <w:tc>
          <w:tcPr>
            <w:tcW w:type="dxa" w:w="4320"/>
          </w:tcPr>
          <w:p>
            <w:pPr/>
            <w:r>
              <w:rPr>
                <w:sz w:val="18"/>
              </w:rPr>
              <w:t>SPI minus SMI constituents (mid/small caps)</w:t>
            </w:r>
          </w:p>
        </w:tc>
      </w:tr>
      <w:tr>
        <w:tc>
          <w:tcPr>
            <w:tcW w:type="dxa" w:w="4320"/>
          </w:tcPr>
          <w:p>
            <w:pPr/>
            <w:r>
              <w:rPr>
                <w:sz w:val="18"/>
              </w:rPr>
              <w:t>**SXI Swiss Real Estate**</w:t>
            </w:r>
          </w:p>
        </w:tc>
        <w:tc>
          <w:tcPr>
            <w:tcW w:type="dxa" w:w="4320"/>
          </w:tcPr>
          <w:p>
            <w:pPr/>
            <w:r>
              <w:rPr>
                <w:sz w:val="18"/>
              </w:rPr>
              <w:t>Real estate investment companies and funds</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(CET/CEST)</w:t>
            </w:r>
          </w:p>
        </w:tc>
        <w:tc>
          <w:tcPr>
            <w:tcW w:type="dxa" w:w="2160"/>
          </w:tcPr>
          <w:p>
            <w:pPr/>
            <w:r>
              <w:rPr>
                <w:b/>
                <w:sz w:val="18"/>
              </w:rPr>
              <w:t>UTC (Winter)</w:t>
            </w:r>
          </w:p>
        </w:tc>
        <w:tc>
          <w:tcPr>
            <w:tcW w:type="dxa" w:w="2160"/>
          </w:tcPr>
          <w:p>
            <w:pPr/>
            <w:r>
              <w:rPr>
                <w:b/>
                <w:sz w:val="18"/>
              </w:rPr>
              <w:t>Description</w:t>
            </w:r>
          </w:p>
        </w:tc>
      </w:tr>
      <w:tr>
        <w:tc>
          <w:tcPr>
            <w:tcW w:type="dxa" w:w="2160"/>
          </w:tcPr>
          <w:p>
            <w:pPr/>
            <w:r>
              <w:rPr>
                <w:sz w:val="18"/>
              </w:rPr>
              <w:t>Trading Day Open</w:t>
            </w:r>
          </w:p>
        </w:tc>
        <w:tc>
          <w:tcPr>
            <w:tcW w:type="dxa" w:w="2160"/>
          </w:tcPr>
          <w:p>
            <w:pPr/>
            <w:r>
              <w:rPr>
                <w:sz w:val="18"/>
              </w:rPr>
              <w:t>06:00</w:t>
            </w:r>
          </w:p>
        </w:tc>
        <w:tc>
          <w:tcPr>
            <w:tcW w:type="dxa" w:w="2160"/>
          </w:tcPr>
          <w:p>
            <w:pPr/>
            <w:r>
              <w:rPr>
                <w:sz w:val="18"/>
              </w:rPr>
              <w:t>05:00</w:t>
            </w:r>
          </w:p>
        </w:tc>
        <w:tc>
          <w:tcPr>
            <w:tcW w:type="dxa" w:w="2160"/>
          </w:tcPr>
          <w:p>
            <w:pPr/>
            <w:r>
              <w:rPr>
                <w:sz w:val="18"/>
              </w:rPr>
              <w:t>System open; pre-opening phase begins</w:t>
            </w:r>
          </w:p>
        </w:tc>
      </w:tr>
      <w:tr>
        <w:tc>
          <w:tcPr>
            <w:tcW w:type="dxa" w:w="2160"/>
          </w:tcPr>
          <w:p>
            <w:pPr/>
            <w:r>
              <w:rPr>
                <w:sz w:val="18"/>
              </w:rPr>
              <w:t>Pre-Opening</w:t>
            </w:r>
          </w:p>
        </w:tc>
        <w:tc>
          <w:tcPr>
            <w:tcW w:type="dxa" w:w="2160"/>
          </w:tcPr>
          <w:p>
            <w:pPr/>
            <w:r>
              <w:rPr>
                <w:sz w:val="18"/>
              </w:rPr>
              <w:t>06:00 - 09:00</w:t>
            </w:r>
          </w:p>
        </w:tc>
        <w:tc>
          <w:tcPr>
            <w:tcW w:type="dxa" w:w="2160"/>
          </w:tcPr>
          <w:p>
            <w:pPr/>
            <w:r>
              <w:rPr>
                <w:sz w:val="18"/>
              </w:rPr>
              <w:t>05:00 - 08:00</w:t>
            </w:r>
          </w:p>
        </w:tc>
        <w:tc>
          <w:tcPr>
            <w:tcW w:type="dxa" w:w="2160"/>
          </w:tcPr>
          <w:p>
            <w:pPr/>
            <w:r>
              <w:rPr>
                <w:sz w:val="18"/>
              </w:rPr>
              <w:t>Order entry, amendment, deletion; no matching; indicative prices displayed</w:t>
            </w:r>
          </w:p>
        </w:tc>
      </w:tr>
      <w:tr>
        <w:tc>
          <w:tcPr>
            <w:tcW w:type="dxa" w:w="2160"/>
          </w:tcPr>
          <w:p>
            <w:pPr/>
            <w:r>
              <w:rPr>
                <w:sz w:val="18"/>
              </w:rPr>
              <w:t>Opening Auction</w:t>
            </w:r>
          </w:p>
        </w:tc>
        <w:tc>
          <w:tcPr>
            <w:tcW w:type="dxa" w:w="2160"/>
          </w:tcPr>
          <w:p>
            <w:pPr/>
            <w:r>
              <w:rPr>
                <w:sz w:val="18"/>
              </w:rPr>
              <w:t>09:00</w:t>
            </w:r>
          </w:p>
        </w:tc>
        <w:tc>
          <w:tcPr>
            <w:tcW w:type="dxa" w:w="2160"/>
          </w:tcPr>
          <w:p>
            <w:pPr/>
            <w:r>
              <w:rPr>
                <w:sz w:val="18"/>
              </w:rPr>
              <w:t>08:00</w:t>
            </w:r>
          </w:p>
        </w:tc>
        <w:tc>
          <w:tcPr>
            <w:tcW w:type="dxa" w:w="2160"/>
          </w:tcPr>
          <w:p>
            <w:pPr/>
            <w:r>
              <w:rPr>
                <w:sz w:val="18"/>
              </w:rPr>
              <w:t>Call auction to determine opening price based on maximum executable volume; random end period to prevent manipulation</w:t>
            </w:r>
          </w:p>
        </w:tc>
      </w:tr>
      <w:tr>
        <w:tc>
          <w:tcPr>
            <w:tcW w:type="dxa" w:w="2160"/>
          </w:tcPr>
          <w:p>
            <w:pPr/>
            <w:r>
              <w:rPr>
                <w:sz w:val="18"/>
              </w:rPr>
              <w:t>Continuous Trading</w:t>
            </w:r>
          </w:p>
        </w:tc>
        <w:tc>
          <w:tcPr>
            <w:tcW w:type="dxa" w:w="2160"/>
          </w:tcPr>
          <w:p>
            <w:pPr/>
            <w:r>
              <w:rPr>
                <w:sz w:val="18"/>
              </w:rPr>
              <w:t>09:00 - 17:20</w:t>
            </w:r>
          </w:p>
        </w:tc>
        <w:tc>
          <w:tcPr>
            <w:tcW w:type="dxa" w:w="2160"/>
          </w:tcPr>
          <w:p>
            <w:pPr/>
            <w:r>
              <w:rPr>
                <w:sz w:val="18"/>
              </w:rPr>
              <w:t>08:00 - 16:20</w:t>
            </w:r>
          </w:p>
        </w:tc>
        <w:tc>
          <w:tcPr>
            <w:tcW w:type="dxa" w:w="2160"/>
          </w:tcPr>
          <w:p>
            <w:pPr/>
            <w:r>
              <w:rPr>
                <w:sz w:val="18"/>
              </w:rPr>
              <w:t>Order-driven continuous matching; price-time priority</w:t>
            </w:r>
          </w:p>
        </w:tc>
      </w:tr>
      <w:tr>
        <w:tc>
          <w:tcPr>
            <w:tcW w:type="dxa" w:w="2160"/>
          </w:tcPr>
          <w:p>
            <w:pPr/>
            <w:r>
              <w:rPr>
                <w:sz w:val="18"/>
              </w:rPr>
              <w:t>Closing Auction (Equities)</w:t>
            </w:r>
          </w:p>
        </w:tc>
        <w:tc>
          <w:tcPr>
            <w:tcW w:type="dxa" w:w="2160"/>
          </w:tcPr>
          <w:p>
            <w:pPr/>
            <w:r>
              <w:rPr>
                <w:sz w:val="18"/>
              </w:rPr>
              <w:t>17:20 - 17:30</w:t>
            </w:r>
          </w:p>
        </w:tc>
        <w:tc>
          <w:tcPr>
            <w:tcW w:type="dxa" w:w="2160"/>
          </w:tcPr>
          <w:p>
            <w:pPr/>
            <w:r>
              <w:rPr>
                <w:sz w:val="18"/>
              </w:rPr>
              <w:t>16:20 - 16:30</w:t>
            </w:r>
          </w:p>
        </w:tc>
        <w:tc>
          <w:tcPr>
            <w:tcW w:type="dxa" w:w="2160"/>
          </w:tcPr>
          <w:p>
            <w:pPr/>
            <w:r>
              <w:rPr>
                <w:sz w:val="18"/>
              </w:rPr>
              <w:t>Call auction for closing price determination for shares and investment funds</w:t>
            </w:r>
          </w:p>
        </w:tc>
      </w:tr>
      <w:tr>
        <w:tc>
          <w:tcPr>
            <w:tcW w:type="dxa" w:w="2160"/>
          </w:tcPr>
          <w:p>
            <w:pPr/>
            <w:r>
              <w:rPr>
                <w:sz w:val="18"/>
              </w:rPr>
              <w:t>Closing Auction (ETFs/ETPs)</w:t>
            </w:r>
          </w:p>
        </w:tc>
        <w:tc>
          <w:tcPr>
            <w:tcW w:type="dxa" w:w="2160"/>
          </w:tcPr>
          <w:p>
            <w:pPr/>
            <w:r>
              <w:rPr>
                <w:sz w:val="18"/>
              </w:rPr>
              <w:t>17:30 - 17:35</w:t>
            </w:r>
          </w:p>
        </w:tc>
        <w:tc>
          <w:tcPr>
            <w:tcW w:type="dxa" w:w="2160"/>
          </w:tcPr>
          <w:p>
            <w:pPr/>
            <w:r>
              <w:rPr>
                <w:sz w:val="18"/>
              </w:rPr>
              <w:t>16:30 - 16:35</w:t>
            </w:r>
          </w:p>
        </w:tc>
        <w:tc>
          <w:tcPr>
            <w:tcW w:type="dxa" w:w="2160"/>
          </w:tcPr>
          <w:p>
            <w:pPr/>
            <w:r>
              <w:rPr>
                <w:sz w:val="18"/>
              </w:rPr>
              <w:t>Separate closing auction for ETFs, ETPs, and sponsored funds</w:t>
            </w:r>
          </w:p>
        </w:tc>
      </w:tr>
      <w:tr>
        <w:tc>
          <w:tcPr>
            <w:tcW w:type="dxa" w:w="2160"/>
          </w:tcPr>
          <w:p>
            <w:pPr/>
            <w:r>
              <w:rPr>
                <w:sz w:val="18"/>
              </w:rPr>
              <w:t>Trading-At-Last</w:t>
            </w:r>
          </w:p>
        </w:tc>
        <w:tc>
          <w:tcPr>
            <w:tcW w:type="dxa" w:w="2160"/>
          </w:tcPr>
          <w:p>
            <w:pPr/>
            <w:r>
              <w:rPr>
                <w:sz w:val="18"/>
              </w:rPr>
              <w:t>After closing auction</w:t>
            </w:r>
          </w:p>
        </w:tc>
        <w:tc>
          <w:tcPr>
            <w:tcW w:type="dxa" w:w="2160"/>
          </w:tcPr>
          <w:p>
            <w:pPr/>
            <w:r>
              <w:rPr>
                <w:sz w:val="18"/>
              </w:rPr>
              <w:t>After closing auction</w:t>
            </w:r>
          </w:p>
        </w:tc>
        <w:tc>
          <w:tcPr>
            <w:tcW w:type="dxa" w:w="2160"/>
          </w:tcPr>
          <w:p>
            <w:pPr/>
            <w:r>
              <w:rPr>
                <w:sz w:val="18"/>
              </w:rPr>
              <w:t>Orders can execute at the established closing price</w:t>
            </w:r>
          </w:p>
        </w:tc>
      </w:tr>
      <w:tr>
        <w:tc>
          <w:tcPr>
            <w:tcW w:type="dxa" w:w="2160"/>
          </w:tcPr>
          <w:p>
            <w:pPr/>
            <w:r>
              <w:rPr>
                <w:sz w:val="18"/>
              </w:rPr>
              <w:t>Post-Trading</w:t>
            </w:r>
          </w:p>
        </w:tc>
        <w:tc>
          <w:tcPr>
            <w:tcW w:type="dxa" w:w="2160"/>
          </w:tcPr>
          <w:p>
            <w:pPr/>
            <w:r>
              <w:rPr>
                <w:sz w:val="18"/>
              </w:rPr>
              <w:t>Until 22:00</w:t>
            </w:r>
          </w:p>
        </w:tc>
        <w:tc>
          <w:tcPr>
            <w:tcW w:type="dxa" w:w="2160"/>
          </w:tcPr>
          <w:p>
            <w:pPr/>
            <w:r>
              <w:rPr>
                <w:sz w:val="18"/>
              </w:rPr>
              <w:t>Until 21:00</w:t>
            </w:r>
          </w:p>
        </w:tc>
        <w:tc>
          <w:tcPr>
            <w:tcW w:type="dxa" w:w="2160"/>
          </w:tcPr>
          <w:p>
            <w:pPr/>
            <w:r>
              <w:rPr>
                <w:sz w:val="18"/>
              </w:rPr>
              <w:t>Trade reporting and administrative functions</w:t>
            </w:r>
          </w:p>
        </w:tc>
      </w:tr>
      <w:tr>
        <w:tc>
          <w:tcPr>
            <w:tcW w:type="dxa" w:w="2160"/>
          </w:tcPr>
          <w:p>
            <w:pPr/>
            <w:r>
              <w:rPr>
                <w:sz w:val="18"/>
              </w:rPr>
              <w:t>**Sparks Sessions**</w:t>
            </w:r>
          </w:p>
        </w:tc>
        <w:tc>
          <w:tcPr>
            <w:tcW w:type="dxa" w:w="2160"/>
          </w:tcPr>
          <w:p>
            <w:pPr/>
            <w:r>
              <w:rPr>
                <w:sz w:val="18"/>
              </w:rPr>
            </w:r>
          </w:p>
        </w:tc>
        <w:tc>
          <w:tcPr>
            <w:tcW w:type="dxa" w:w="2160"/>
          </w:tcPr>
          <w:p>
            <w:pPr/>
            <w:r>
              <w:rPr>
                <w:sz w:val="18"/>
              </w:rPr>
            </w:r>
          </w:p>
        </w:tc>
        <w:tc>
          <w:tcPr>
            <w:tcW w:type="dxa" w:w="2160"/>
          </w:tcPr>
          <w:p>
            <w:pPr/>
            <w:r>
              <w:rPr>
                <w:sz w:val="18"/>
              </w:rPr>
            </w:r>
          </w:p>
        </w:tc>
      </w:tr>
      <w:tr>
        <w:tc>
          <w:tcPr>
            <w:tcW w:type="dxa" w:w="2160"/>
          </w:tcPr>
          <w:p>
            <w:pPr/>
            <w:r>
              <w:rPr>
                <w:sz w:val="18"/>
              </w:rPr>
              <w:t>Sparks Opening Auction</w:t>
            </w:r>
          </w:p>
        </w:tc>
        <w:tc>
          <w:tcPr>
            <w:tcW w:type="dxa" w:w="2160"/>
          </w:tcPr>
          <w:p>
            <w:pPr/>
            <w:r>
              <w:rPr>
                <w:sz w:val="18"/>
              </w:rPr>
              <w:t>15:00</w:t>
            </w:r>
          </w:p>
        </w:tc>
        <w:tc>
          <w:tcPr>
            <w:tcW w:type="dxa" w:w="2160"/>
          </w:tcPr>
          <w:p>
            <w:pPr/>
            <w:r>
              <w:rPr>
                <w:sz w:val="18"/>
              </w:rPr>
              <w:t>14:00</w:t>
            </w:r>
          </w:p>
        </w:tc>
        <w:tc>
          <w:tcPr>
            <w:tcW w:type="dxa" w:w="2160"/>
          </w:tcPr>
          <w:p>
            <w:pPr/>
            <w:r>
              <w:rPr>
                <w:sz w:val="18"/>
              </w:rPr>
              <w:t>Shortened trading window for SME segment</w:t>
            </w:r>
          </w:p>
        </w:tc>
      </w:tr>
      <w:tr>
        <w:tc>
          <w:tcPr>
            <w:tcW w:type="dxa" w:w="2160"/>
          </w:tcPr>
          <w:p>
            <w:pPr/>
            <w:r>
              <w:rPr>
                <w:sz w:val="18"/>
              </w:rPr>
              <w:t>Sparks Continuous Trading</w:t>
            </w:r>
          </w:p>
        </w:tc>
        <w:tc>
          <w:tcPr>
            <w:tcW w:type="dxa" w:w="2160"/>
          </w:tcPr>
          <w:p>
            <w:pPr/>
            <w:r>
              <w:rPr>
                <w:sz w:val="18"/>
              </w:rPr>
              <w:t>15:00 - 17:20</w:t>
            </w:r>
          </w:p>
        </w:tc>
        <w:tc>
          <w:tcPr>
            <w:tcW w:type="dxa" w:w="2160"/>
          </w:tcPr>
          <w:p>
            <w:pPr/>
            <w:r>
              <w:rPr>
                <w:sz w:val="18"/>
              </w:rPr>
              <w:t>14:00 - 16:20</w:t>
            </w:r>
          </w:p>
        </w:tc>
        <w:tc>
          <w:tcPr>
            <w:tcW w:type="dxa" w:w="2160"/>
          </w:tcPr>
          <w:p>
            <w:pPr/>
            <w:r>
              <w:rPr>
                <w:sz w:val="18"/>
              </w:rPr>
              <w:t>Bundled liquidity in shortened window</w:t>
            </w:r>
          </w:p>
        </w:tc>
      </w:tr>
      <w:tr>
        <w:tc>
          <w:tcPr>
            <w:tcW w:type="dxa" w:w="2160"/>
          </w:tcPr>
          <w:p>
            <w:pPr/>
            <w:r>
              <w:rPr>
                <w:sz w:val="18"/>
              </w:rPr>
              <w:t>Sparks Closing Auction</w:t>
            </w:r>
          </w:p>
        </w:tc>
        <w:tc>
          <w:tcPr>
            <w:tcW w:type="dxa" w:w="2160"/>
          </w:tcPr>
          <w:p>
            <w:pPr/>
            <w:r>
              <w:rPr>
                <w:sz w:val="18"/>
              </w:rPr>
              <w:t>17:20 - 17:40</w:t>
            </w:r>
          </w:p>
        </w:tc>
        <w:tc>
          <w:tcPr>
            <w:tcW w:type="dxa" w:w="2160"/>
          </w:tcPr>
          <w:p>
            <w:pPr/>
            <w:r>
              <w:rPr>
                <w:sz w:val="18"/>
              </w:rPr>
              <w:t>16:20 - 16:40</w:t>
            </w:r>
          </w:p>
        </w:tc>
        <w:tc>
          <w:tcPr>
            <w:tcW w:type="dxa" w:w="2160"/>
          </w:tcPr>
          <w:p>
            <w:pPr/>
            <w:r>
              <w:rPr>
                <w:sz w:val="18"/>
              </w:rPr>
              <w:t>Closing auction for Sparks securities</w:t>
            </w:r>
          </w:p>
        </w:tc>
      </w:tr>
    </w:tbl>
    <w:p/>
    <w:p>
      <w:r>
        <w:t>Note: Switzerland observes CEST (UTC+2) from late March to late October. Times shown are CET (UTC+1).</w:t>
      </w:r>
    </w:p>
    <w:p>
      <w:pPr>
        <w:pStyle w:val="Heading3"/>
      </w:pPr>
      <w:r>
        <w:t>2.3 Tick Sizes</w:t>
      </w:r>
    </w:p>
    <w:p>
      <w:r>
        <w:t>SIX Swiss Exchange follows the MiFID II tick size regime (despite Switzerland not being an EU member), aligning with European standards. Tick sizes depend on price level and liquidity band (average daily number of transactions).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 (CHF)</w:t>
            </w:r>
          </w:p>
        </w:tc>
        <w:tc>
          <w:tcPr>
            <w:tcW w:type="dxa" w:w="2160"/>
          </w:tcPr>
          <w:p>
            <w:pPr/>
            <w:r>
              <w:rPr>
                <w:b/>
                <w:sz w:val="18"/>
              </w:rPr>
              <w:t>High Liquidity (&gt;= 2000 ADNT)</w:t>
            </w:r>
          </w:p>
        </w:tc>
        <w:tc>
          <w:tcPr>
            <w:tcW w:type="dxa" w:w="2160"/>
          </w:tcPr>
          <w:p>
            <w:pPr/>
            <w:r>
              <w:rPr>
                <w:b/>
                <w:sz w:val="18"/>
              </w:rPr>
              <w:t>Medium Liquidity (500-1999 ADNT)</w:t>
            </w:r>
          </w:p>
        </w:tc>
        <w:tc>
          <w:tcPr>
            <w:tcW w:type="dxa" w:w="2160"/>
          </w:tcPr>
          <w:p>
            <w:pPr/>
            <w:r>
              <w:rPr>
                <w:b/>
                <w:sz w:val="18"/>
              </w:rPr>
              <w:t>Low Liquidity (&lt; 500 ADNT)</w:t>
            </w:r>
          </w:p>
        </w:tc>
      </w:tr>
      <w:tr>
        <w:tc>
          <w:tcPr>
            <w:tcW w:type="dxa" w:w="2160"/>
          </w:tcPr>
          <w:p>
            <w:pPr/>
            <w:r>
              <w:rPr>
                <w:sz w:val="18"/>
              </w:rPr>
              <w:t>0 - 0.4999</w:t>
            </w:r>
          </w:p>
        </w:tc>
        <w:tc>
          <w:tcPr>
            <w:tcW w:type="dxa" w:w="2160"/>
          </w:tcPr>
          <w:p>
            <w:pPr/>
            <w:r>
              <w:rPr>
                <w:sz w:val="18"/>
              </w:rPr>
              <w:t>0.0005</w:t>
            </w:r>
          </w:p>
        </w:tc>
        <w:tc>
          <w:tcPr>
            <w:tcW w:type="dxa" w:w="2160"/>
          </w:tcPr>
          <w:p>
            <w:pPr/>
            <w:r>
              <w:rPr>
                <w:sz w:val="18"/>
              </w:rPr>
              <w:t>0.001</w:t>
            </w:r>
          </w:p>
        </w:tc>
        <w:tc>
          <w:tcPr>
            <w:tcW w:type="dxa" w:w="2160"/>
          </w:tcPr>
          <w:p>
            <w:pPr/>
            <w:r>
              <w:rPr>
                <w:sz w:val="18"/>
              </w:rPr>
              <w:t>0.005</w:t>
            </w:r>
          </w:p>
        </w:tc>
      </w:tr>
      <w:tr>
        <w:tc>
          <w:tcPr>
            <w:tcW w:type="dxa" w:w="2160"/>
          </w:tcPr>
          <w:p>
            <w:pPr/>
            <w:r>
              <w:rPr>
                <w:sz w:val="18"/>
              </w:rPr>
              <w:t>0.5 - 0.9999</w:t>
            </w:r>
          </w:p>
        </w:tc>
        <w:tc>
          <w:tcPr>
            <w:tcW w:type="dxa" w:w="2160"/>
          </w:tcPr>
          <w:p>
            <w:pPr/>
            <w:r>
              <w:rPr>
                <w:sz w:val="18"/>
              </w:rPr>
              <w:t>0.001</w:t>
            </w:r>
          </w:p>
        </w:tc>
        <w:tc>
          <w:tcPr>
            <w:tcW w:type="dxa" w:w="2160"/>
          </w:tcPr>
          <w:p>
            <w:pPr/>
            <w:r>
              <w:rPr>
                <w:sz w:val="18"/>
              </w:rPr>
              <w:t>0.002</w:t>
            </w:r>
          </w:p>
        </w:tc>
        <w:tc>
          <w:tcPr>
            <w:tcW w:type="dxa" w:w="2160"/>
          </w:tcPr>
          <w:p>
            <w:pPr/>
            <w:r>
              <w:rPr>
                <w:sz w:val="18"/>
              </w:rPr>
              <w:t>0.01</w:t>
            </w:r>
          </w:p>
        </w:tc>
      </w:tr>
      <w:tr>
        <w:tc>
          <w:tcPr>
            <w:tcW w:type="dxa" w:w="2160"/>
          </w:tcPr>
          <w:p>
            <w:pPr/>
            <w:r>
              <w:rPr>
                <w:sz w:val="18"/>
              </w:rPr>
              <w:t>1 - 1.9999</w:t>
            </w:r>
          </w:p>
        </w:tc>
        <w:tc>
          <w:tcPr>
            <w:tcW w:type="dxa" w:w="2160"/>
          </w:tcPr>
          <w:p>
            <w:pPr/>
            <w:r>
              <w:rPr>
                <w:sz w:val="18"/>
              </w:rPr>
              <w:t>0.002</w:t>
            </w:r>
          </w:p>
        </w:tc>
        <w:tc>
          <w:tcPr>
            <w:tcW w:type="dxa" w:w="2160"/>
          </w:tcPr>
          <w:p>
            <w:pPr/>
            <w:r>
              <w:rPr>
                <w:sz w:val="18"/>
              </w:rPr>
              <w:t>0.005</w:t>
            </w:r>
          </w:p>
        </w:tc>
        <w:tc>
          <w:tcPr>
            <w:tcW w:type="dxa" w:w="2160"/>
          </w:tcPr>
          <w:p>
            <w:pPr/>
            <w:r>
              <w:rPr>
                <w:sz w:val="18"/>
              </w:rPr>
              <w:t>0.02</w:t>
            </w:r>
          </w:p>
        </w:tc>
      </w:tr>
      <w:tr>
        <w:tc>
          <w:tcPr>
            <w:tcW w:type="dxa" w:w="2160"/>
          </w:tcPr>
          <w:p>
            <w:pPr/>
            <w:r>
              <w:rPr>
                <w:sz w:val="18"/>
              </w:rPr>
              <w:t>2 - 4.9999</w:t>
            </w:r>
          </w:p>
        </w:tc>
        <w:tc>
          <w:tcPr>
            <w:tcW w:type="dxa" w:w="2160"/>
          </w:tcPr>
          <w:p>
            <w:pPr/>
            <w:r>
              <w:rPr>
                <w:sz w:val="18"/>
              </w:rPr>
              <w:t>0.005</w:t>
            </w:r>
          </w:p>
        </w:tc>
        <w:tc>
          <w:tcPr>
            <w:tcW w:type="dxa" w:w="2160"/>
          </w:tcPr>
          <w:p>
            <w:pPr/>
            <w:r>
              <w:rPr>
                <w:sz w:val="18"/>
              </w:rPr>
              <w:t>0.01</w:t>
            </w:r>
          </w:p>
        </w:tc>
        <w:tc>
          <w:tcPr>
            <w:tcW w:type="dxa" w:w="2160"/>
          </w:tcPr>
          <w:p>
            <w:pPr/>
            <w:r>
              <w:rPr>
                <w:sz w:val="18"/>
              </w:rPr>
              <w:t>0.05</w:t>
            </w:r>
          </w:p>
        </w:tc>
      </w:tr>
      <w:tr>
        <w:tc>
          <w:tcPr>
            <w:tcW w:type="dxa" w:w="2160"/>
          </w:tcPr>
          <w:p>
            <w:pPr/>
            <w:r>
              <w:rPr>
                <w:sz w:val="18"/>
              </w:rPr>
              <w:t>5 - 9.9999</w:t>
            </w:r>
          </w:p>
        </w:tc>
        <w:tc>
          <w:tcPr>
            <w:tcW w:type="dxa" w:w="2160"/>
          </w:tcPr>
          <w:p>
            <w:pPr/>
            <w:r>
              <w:rPr>
                <w:sz w:val="18"/>
              </w:rPr>
              <w:t>0.01</w:t>
            </w:r>
          </w:p>
        </w:tc>
        <w:tc>
          <w:tcPr>
            <w:tcW w:type="dxa" w:w="2160"/>
          </w:tcPr>
          <w:p>
            <w:pPr/>
            <w:r>
              <w:rPr>
                <w:sz w:val="18"/>
              </w:rPr>
              <w:t>0.02</w:t>
            </w:r>
          </w:p>
        </w:tc>
        <w:tc>
          <w:tcPr>
            <w:tcW w:type="dxa" w:w="2160"/>
          </w:tcPr>
          <w:p>
            <w:pPr/>
            <w:r>
              <w:rPr>
                <w:sz w:val="18"/>
              </w:rPr>
              <w:t>0.1</w:t>
            </w:r>
          </w:p>
        </w:tc>
      </w:tr>
      <w:tr>
        <w:tc>
          <w:tcPr>
            <w:tcW w:type="dxa" w:w="2160"/>
          </w:tcPr>
          <w:p>
            <w:pPr/>
            <w:r>
              <w:rPr>
                <w:sz w:val="18"/>
              </w:rPr>
              <w:t>10 - 49.9999</w:t>
            </w:r>
          </w:p>
        </w:tc>
        <w:tc>
          <w:tcPr>
            <w:tcW w:type="dxa" w:w="2160"/>
          </w:tcPr>
          <w:p>
            <w:pPr/>
            <w:r>
              <w:rPr>
                <w:sz w:val="18"/>
              </w:rPr>
              <w:t>0.02 - 0.05</w:t>
            </w:r>
          </w:p>
        </w:tc>
        <w:tc>
          <w:tcPr>
            <w:tcW w:type="dxa" w:w="2160"/>
          </w:tcPr>
          <w:p>
            <w:pPr/>
            <w:r>
              <w:rPr>
                <w:sz w:val="18"/>
              </w:rPr>
              <w:t>0.05 - 0.2</w:t>
            </w:r>
          </w:p>
        </w:tc>
        <w:tc>
          <w:tcPr>
            <w:tcW w:type="dxa" w:w="2160"/>
          </w:tcPr>
          <w:p>
            <w:pPr/>
            <w:r>
              <w:rPr>
                <w:sz w:val="18"/>
              </w:rPr>
              <w:t>0.2 - 0.5</w:t>
            </w:r>
          </w:p>
        </w:tc>
      </w:tr>
      <w:tr>
        <w:tc>
          <w:tcPr>
            <w:tcW w:type="dxa" w:w="2160"/>
          </w:tcPr>
          <w:p>
            <w:pPr/>
            <w:r>
              <w:rPr>
                <w:sz w:val="18"/>
              </w:rPr>
              <w:t>50 - 99.9999</w:t>
            </w:r>
          </w:p>
        </w:tc>
        <w:tc>
          <w:tcPr>
            <w:tcW w:type="dxa" w:w="2160"/>
          </w:tcPr>
          <w:p>
            <w:pPr/>
            <w:r>
              <w:rPr>
                <w:sz w:val="18"/>
              </w:rPr>
              <w:t>0.1</w:t>
            </w:r>
          </w:p>
        </w:tc>
        <w:tc>
          <w:tcPr>
            <w:tcW w:type="dxa" w:w="2160"/>
          </w:tcPr>
          <w:p>
            <w:pPr/>
            <w:r>
              <w:rPr>
                <w:sz w:val="18"/>
              </w:rPr>
              <w:t>0.5</w:t>
            </w:r>
          </w:p>
        </w:tc>
        <w:tc>
          <w:tcPr>
            <w:tcW w:type="dxa" w:w="2160"/>
          </w:tcPr>
          <w:p>
            <w:pPr/>
            <w:r>
              <w:rPr>
                <w:sz w:val="18"/>
              </w:rPr>
              <w:t>1.0</w:t>
            </w:r>
          </w:p>
        </w:tc>
      </w:tr>
    </w:tbl>
    <w:p/>
    <w:p>
      <w:r>
        <w:t>[Source: SIX Trading Parameters Guideline / MiFID II RTS 11 tick size table; representative values -- full table has 6 liquidity bands and 13 price ranges]</w:t>
      </w:r>
    </w:p>
    <w:p>
      <w:pPr>
        <w:pStyle w:val="Heading3"/>
      </w:pPr>
      <w:r>
        <w:t>2.4 Lot Sizes</w:t>
      </w:r>
    </w:p>
    <w:p>
      <w:pPr>
        <w:pStyle w:val="ListBullet"/>
      </w:pPr>
      <w:r>
        <w:t>Standard lot size: 1 share for most equities on the Central Limit Order Book (CLOB)</w:t>
      </w:r>
    </w:p>
    <w:p>
      <w:pPr>
        <w:pStyle w:val="ListBullet"/>
      </w:pPr>
      <w:r>
        <w:t>Round lot: 100 shares referenced in some contexts [unverified whether enforced as minimum]</w:t>
      </w:r>
    </w:p>
    <w:p>
      <w:pPr>
        <w:pStyle w:val="ListBullet"/>
      </w:pPr>
      <w:r>
        <w:t>Odd lot trading: Supported; no minimum quantity for order book trading</w:t>
      </w:r>
    </w:p>
    <w:p>
      <w:pPr>
        <w:pStyle w:val="ListBullet"/>
      </w:pPr>
      <w:r>
        <w:t>Block trade thresholds: Defined per instrument for off-book (Trade Reporting) purposes</w:t>
      </w:r>
    </w:p>
    <w:p>
      <w:pPr>
        <w:pStyle w:val="Heading3"/>
      </w:pPr>
      <w:r>
        <w:t>2.5 Market Maker / Liquidity Provider Programs</w:t>
      </w:r>
    </w:p>
    <w:p>
      <w:pPr>
        <w:pStyle w:val="ListBullet"/>
      </w:pPr>
      <w:r>
        <w:t>Market Makers: Required for ETFs, ETPs, structured products, sponsored funds, and bonds; must provide continuous two-sided quotes</w:t>
      </w:r>
    </w:p>
    <w:p>
      <w:pPr>
        <w:pStyle w:val="ListBullet"/>
      </w:pPr>
      <w:r>
        <w:t>Quote Trading Interface (QTI): Dedicated interface for market makers; each market maker receives 2 quotes per second (QPS) per instrument free of charge (1 QPS free for the first 50 instruments)</w:t>
      </w:r>
    </w:p>
    <w:p>
      <w:pPr>
        <w:pStyle w:val="ListBullet"/>
      </w:pPr>
      <w:r>
        <w:t>Liquidity Provider Programs: Incentive schemes with reduced fees for firms providing continuous liquidity in designated equity securities [unverified specific equity incentive tiers]</w:t>
      </w:r>
    </w:p>
    <w:p>
      <w:pPr>
        <w:pStyle w:val="ListBullet"/>
      </w:pPr>
      <w:r>
        <w:t>SwissAtMid Liquidity: Non-displayed midpoint pool enhances liquidity for blue chip and mid/small cap equities</w:t>
      </w:r>
    </w:p>
    <w:p>
      <w:r>
        <w:t>────────────────────────────────────────────────────────────</w:t>
      </w:r>
    </w:p>
    <w:p>
      <w:pPr>
        <w:pStyle w:val="Heading2"/>
      </w:pPr>
      <w:r>
        <w:t>3. Trading Mechanism</w:t>
      </w:r>
    </w:p>
    <w:p>
      <w:pPr>
        <w:pStyle w:val="Heading3"/>
      </w:pPr>
      <w:r>
        <w:t>3.1 Auction Mechanisms</w:t>
      </w:r>
    </w:p>
    <w:p>
      <w:pPr>
        <w:pStyle w:val="ListBullet"/>
      </w:pPr>
      <w:r>
        <w:t>Opening Auction: Begins at 09:00 CET following a pre-opening period (from 06:00). Orders accumulate and the matching algorithm determines the price at which the maximum volume can execute. A random end period (typically up to 2 minutes) prevents manipulation of the uncrossing moment</w:t>
      </w:r>
    </w:p>
    <w:p>
      <w:pPr>
        <w:pStyle w:val="ListBullet"/>
      </w:pPr>
      <w:r>
        <w:t>Closing Auction: At 17:20 CET for equities (17:30 for ETFs/ETPs), continuous trading halts and a closing auction call period begins. The closing price is determined by maximum executable volume principle. Followed by a random end period</w:t>
      </w:r>
    </w:p>
    <w:p>
      <w:pPr>
        <w:pStyle w:val="ListBullet"/>
      </w:pPr>
      <w:r>
        <w:t>Volatility Auction (Stop Trading): Triggered when a potential execution would breach Stop Trading Range thresholds. Continuous trading is suspended and a call auction is initiated for orderly price discovery. Duration is typically 5 minutes, followed by random end period</w:t>
      </w:r>
    </w:p>
    <w:p>
      <w:pPr>
        <w:pStyle w:val="ListBullet"/>
      </w:pPr>
      <w:r>
        <w:t>Trading-At-Last: After the closing auction uncrossing, a Trading-At-Last session allows additional volume to execute at the established closing price</w:t>
      </w:r>
    </w:p>
    <w:p>
      <w:pPr>
        <w:pStyle w:val="Heading3"/>
      </w:pPr>
      <w:r>
        <w:t>3.2 Continuous Trading</w:t>
      </w:r>
    </w:p>
    <w:p>
      <w:pPr>
        <w:pStyle w:val="ListBullet"/>
      </w:pPr>
      <w:r>
        <w:t>Order-Driven Market: Primary mechanism is a Central Limit Order Book (CLOB) with price-time priority</w:t>
      </w:r>
    </w:p>
    <w:p>
      <w:pPr>
        <w:pStyle w:val="ListBullet"/>
      </w:pPr>
      <w:r>
        <w:t>SwissAtMid (MPOB): Non-displayed Mid-Point Order Book operating in parallel with the CLOB; executions at midpoint of CLOB best bid/offer; size-time priority (not price-time); Large-in-Scale (LIS) and Reference Price Waiver orders eligible</w:t>
      </w:r>
    </w:p>
    <w:p>
      <w:pPr>
        <w:pStyle w:val="ListBullet"/>
      </w:pPr>
      <w:r>
        <w:t>Dual Order Book: For SwissAtMid-eligible securities, SIX maintains both the lit CLOB and the dark MPOB within the same On Book Matcher (OBM)</w:t>
      </w:r>
    </w:p>
    <w:p>
      <w:pPr>
        <w:pStyle w:val="ListBullet"/>
      </w:pPr>
      <w:r>
        <w:t>Limit Plus and Iceberg Plus: Special order types that simultaneously access both the lit CLOB and SwissAtMid, with dynamic price alignment</w:t>
      </w:r>
    </w:p>
    <w:p>
      <w:pPr>
        <w:pStyle w:val="Heading3"/>
      </w:pPr>
      <w:r>
        <w:t>3.3 Price Discovery</w:t>
      </w:r>
    </w:p>
    <w:p>
      <w:pPr>
        <w:pStyle w:val="ListBullet"/>
      </w:pPr>
      <w:r>
        <w:t>Price discovery occurs primarily through the opening and closing auctions and continuous order book interaction on the CLOB</w:t>
      </w:r>
    </w:p>
    <w:p>
      <w:pPr>
        <w:pStyle w:val="ListBullet"/>
      </w:pPr>
      <w:r>
        <w:t>The uncrossing algorithm maximizes executable volume, then minimizes surplus, then references the last traded price or prior auction price to determine the final auction price</w:t>
      </w:r>
    </w:p>
    <w:p>
      <w:pPr>
        <w:pStyle w:val="ListBullet"/>
      </w:pPr>
      <w:r>
        <w:t>All market orders must be executable at the opening auction price (if sufficient contra-side liquidity exists)</w:t>
      </w:r>
    </w:p>
    <w:p>
      <w:pPr>
        <w:pStyle w:val="ListBullet"/>
      </w:pPr>
      <w:r>
        <w:t>Reference prices for Stop Trading thresholds are derived from auction uncrossing prices and dynamically updated during continuous trading</w:t>
      </w:r>
    </w:p>
    <w:p>
      <w:pPr>
        <w:pStyle w:val="Heading3"/>
      </w:pPr>
      <w:r>
        <w:t>3.4 Order Priority</w:t>
      </w:r>
    </w:p>
    <w:p>
      <w:pPr>
        <w:pStyle w:val="ListBullet"/>
      </w:pPr>
      <w:r>
        <w:t>CLOB: Strict price-time priority; best price first, then earliest timestamp at same price</w:t>
      </w:r>
    </w:p>
    <w:p>
      <w:pPr>
        <w:pStyle w:val="ListBullet"/>
      </w:pPr>
      <w:r>
        <w:t>SwissAtMid (MPOB): Size-time priority; larger orders have priority at the midpoint price, then earliest timestamp</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Order to buy/sell at a specified price or better; rests on the book if not immediately matched</w:t>
            </w:r>
          </w:p>
        </w:tc>
      </w:tr>
      <w:tr>
        <w:tc>
          <w:tcPr>
            <w:tcW w:type="dxa" w:w="4320"/>
          </w:tcPr>
          <w:p>
            <w:pPr/>
            <w:r>
              <w:rPr>
                <w:sz w:val="18"/>
              </w:rPr>
              <w:t>Market Order</w:t>
            </w:r>
          </w:p>
        </w:tc>
        <w:tc>
          <w:tcPr>
            <w:tcW w:type="dxa" w:w="4320"/>
          </w:tcPr>
          <w:p>
            <w:pPr/>
            <w:r>
              <w:rPr>
                <w:sz w:val="18"/>
              </w:rPr>
              <w:t>Executes at the best available price; unmatched portion remains on the book as a market order (converted behavior depends on trading period)</w:t>
            </w:r>
          </w:p>
        </w:tc>
      </w:tr>
      <w:tr>
        <w:tc>
          <w:tcPr>
            <w:tcW w:type="dxa" w:w="4320"/>
          </w:tcPr>
          <w:p>
            <w:pPr/>
            <w:r>
              <w:rPr>
                <w:sz w:val="18"/>
              </w:rPr>
              <w:t>Market-to-Limit Order</w:t>
            </w:r>
          </w:p>
        </w:tc>
        <w:tc>
          <w:tcPr>
            <w:tcW w:type="dxa" w:w="4320"/>
          </w:tcPr>
          <w:p>
            <w:pPr/>
            <w:r>
              <w:rPr>
                <w:sz w:val="18"/>
              </w:rPr>
              <w:t>Executes at the best available price, then converts any remaining quantity to a limit order at the execution price [unverified]</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Only the visible peak quantity is displayed; hidden reserve replenishes automatically as the visible portion fills</w:t>
            </w:r>
          </w:p>
        </w:tc>
      </w:tr>
      <w:tr>
        <w:tc>
          <w:tcPr>
            <w:tcW w:type="dxa" w:w="4320"/>
          </w:tcPr>
          <w:p>
            <w:pPr/>
            <w:r>
              <w:rPr>
                <w:sz w:val="18"/>
              </w:rPr>
              <w:t>Limit Plus Order</w:t>
            </w:r>
          </w:p>
        </w:tc>
        <w:tc>
          <w:tcPr>
            <w:tcW w:type="dxa" w:w="4320"/>
          </w:tcPr>
          <w:p>
            <w:pPr/>
            <w:r>
              <w:rPr>
                <w:sz w:val="18"/>
              </w:rPr>
              <w:t>Simultaneously accesses the lit CLOB and SwissAtMid; arrives in the CLOB as a normal limit order pegged to the passive side of the book; dynamic price alignment</w:t>
            </w:r>
          </w:p>
        </w:tc>
      </w:tr>
      <w:tr>
        <w:tc>
          <w:tcPr>
            <w:tcW w:type="dxa" w:w="4320"/>
          </w:tcPr>
          <w:p>
            <w:pPr/>
            <w:r>
              <w:rPr>
                <w:sz w:val="18"/>
              </w:rPr>
              <w:t>Iceberg Plus Order</w:t>
            </w:r>
          </w:p>
        </w:tc>
        <w:tc>
          <w:tcPr>
            <w:tcW w:type="dxa" w:w="4320"/>
          </w:tcPr>
          <w:p>
            <w:pPr/>
            <w:r>
              <w:rPr>
                <w:sz w:val="18"/>
              </w:rPr>
              <w:t>Combines iceberg functionality with SwissAtMid access; hidden reserve and midpoint execution</w:t>
            </w:r>
          </w:p>
        </w:tc>
      </w:tr>
      <w:tr>
        <w:tc>
          <w:tcPr>
            <w:tcW w:type="dxa" w:w="4320"/>
          </w:tcPr>
          <w:p>
            <w:pPr/>
            <w:r>
              <w:rPr>
                <w:sz w:val="18"/>
              </w:rPr>
              <w:t>Stop Loss Order</w:t>
            </w:r>
          </w:p>
        </w:tc>
        <w:tc>
          <w:tcPr>
            <w:tcW w:type="dxa" w:w="4320"/>
          </w:tcPr>
          <w:p>
            <w:pPr/>
            <w:r>
              <w:rPr>
                <w:sz w:val="18"/>
              </w:rPr>
              <w:t>Triggered when market reaches a specified trigger price; enters the order book as a market order upon activation</w:t>
            </w:r>
          </w:p>
        </w:tc>
      </w:tr>
      <w:tr>
        <w:tc>
          <w:tcPr>
            <w:tcW w:type="dxa" w:w="4320"/>
          </w:tcPr>
          <w:p>
            <w:pPr/>
            <w:r>
              <w:rPr>
                <w:sz w:val="18"/>
              </w:rPr>
              <w:t>Stop Limit Order</w:t>
            </w:r>
          </w:p>
        </w:tc>
        <w:tc>
          <w:tcPr>
            <w:tcW w:type="dxa" w:w="4320"/>
          </w:tcPr>
          <w:p>
            <w:pPr/>
            <w:r>
              <w:rPr>
                <w:sz w:val="18"/>
              </w:rPr>
              <w:t>Triggered when market reaches a specified trigger price; enters the order book as a limit order upon activation</w:t>
            </w:r>
          </w:p>
        </w:tc>
      </w:tr>
      <w:tr>
        <w:tc>
          <w:tcPr>
            <w:tcW w:type="dxa" w:w="4320"/>
          </w:tcPr>
          <w:p>
            <w:pPr/>
            <w:r>
              <w:rPr>
                <w:sz w:val="18"/>
              </w:rPr>
              <w:t>Market-on-Close Order</w:t>
            </w:r>
          </w:p>
        </w:tc>
        <w:tc>
          <w:tcPr>
            <w:tcW w:type="dxa" w:w="4320"/>
          </w:tcPr>
          <w:p>
            <w:pPr/>
            <w:r>
              <w:rPr>
                <w:sz w:val="18"/>
              </w:rPr>
              <w:t>Eligible to participate in the closing auction only</w:t>
            </w:r>
          </w:p>
        </w:tc>
      </w:tr>
      <w:tr>
        <w:tc>
          <w:tcPr>
            <w:tcW w:type="dxa" w:w="4320"/>
          </w:tcPr>
          <w:p>
            <w:pPr/>
            <w:r>
              <w:rPr>
                <w:sz w:val="18"/>
              </w:rPr>
              <w:t>Midpoint Order (SwissAtMid)</w:t>
            </w:r>
          </w:p>
        </w:tc>
        <w:tc>
          <w:tcPr>
            <w:tcW w:type="dxa" w:w="4320"/>
          </w:tcPr>
          <w:p>
            <w:pPr/>
            <w:r>
              <w:rPr>
                <w:sz w:val="18"/>
              </w:rPr>
              <w:t>Executes at the midpoint of the CLOB best bid/offer in the non-displayed MPOB</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Good for Day (GFD)</w:t>
            </w:r>
          </w:p>
        </w:tc>
        <w:tc>
          <w:tcPr>
            <w:tcW w:type="dxa" w:w="4320"/>
          </w:tcPr>
          <w:p>
            <w:pPr/>
            <w:r>
              <w:rPr>
                <w:sz w:val="18"/>
              </w:rPr>
              <w:t>Order valid for the current trading day only; cancelled at end of trading; can be entered, amended, or deleted during all trading periods except post-trading</w:t>
            </w:r>
          </w:p>
        </w:tc>
      </w:tr>
      <w:tr>
        <w:tc>
          <w:tcPr>
            <w:tcW w:type="dxa" w:w="4320"/>
          </w:tcPr>
          <w:p>
            <w:pPr/>
            <w:r>
              <w:rPr>
                <w:sz w:val="18"/>
              </w:rPr>
              <w:t>Good till Cancelled (GTC)</w:t>
            </w:r>
          </w:p>
        </w:tc>
        <w:tc>
          <w:tcPr>
            <w:tcW w:type="dxa" w:w="4320"/>
          </w:tcPr>
          <w:p>
            <w:pPr/>
            <w:r>
              <w:rPr>
                <w:sz w:val="18"/>
              </w:rPr>
              <w:t>Order remains active until executed or explicitly cancelled (maximum duration set by exchange)</w:t>
            </w:r>
          </w:p>
        </w:tc>
      </w:tr>
      <w:tr>
        <w:tc>
          <w:tcPr>
            <w:tcW w:type="dxa" w:w="4320"/>
          </w:tcPr>
          <w:p>
            <w:pPr/>
            <w:r>
              <w:rPr>
                <w:sz w:val="18"/>
              </w:rPr>
              <w:t>Good till Date (GTD)</w:t>
            </w:r>
          </w:p>
        </w:tc>
        <w:tc>
          <w:tcPr>
            <w:tcW w:type="dxa" w:w="4320"/>
          </w:tcPr>
          <w:p>
            <w:pPr/>
            <w:r>
              <w:rPr>
                <w:sz w:val="18"/>
              </w:rPr>
              <w:t>Order valid until a specified expiry date</w:t>
            </w:r>
          </w:p>
        </w:tc>
      </w:tr>
      <w:tr>
        <w:tc>
          <w:tcPr>
            <w:tcW w:type="dxa" w:w="4320"/>
          </w:tcPr>
          <w:p>
            <w:pPr/>
            <w:r>
              <w:rPr>
                <w:sz w:val="18"/>
              </w:rPr>
              <w:t>Immediate or Cancel (IOC)</w:t>
            </w:r>
          </w:p>
        </w:tc>
        <w:tc>
          <w:tcPr>
            <w:tcW w:type="dxa" w:w="4320"/>
          </w:tcPr>
          <w:p>
            <w:pPr/>
            <w:r>
              <w:rPr>
                <w:sz w:val="18"/>
              </w:rPr>
              <w:t>Execute as much as possible immediately; any remaining quantity is cancelled</w:t>
            </w:r>
          </w:p>
        </w:tc>
      </w:tr>
      <w:tr>
        <w:tc>
          <w:tcPr>
            <w:tcW w:type="dxa" w:w="4320"/>
          </w:tcPr>
          <w:p>
            <w:pPr/>
            <w:r>
              <w:rPr>
                <w:sz w:val="18"/>
              </w:rPr>
              <w:t>Fill or Kill (FOK)</w:t>
            </w:r>
          </w:p>
        </w:tc>
        <w:tc>
          <w:tcPr>
            <w:tcW w:type="dxa" w:w="4320"/>
          </w:tcPr>
          <w:p>
            <w:pPr/>
            <w:r>
              <w:rPr>
                <w:sz w:val="18"/>
              </w:rPr>
              <w:t>Must be executed in full immediately or the entire order is cancelled</w:t>
            </w:r>
          </w:p>
        </w:tc>
      </w:tr>
      <w:tr>
        <w:tc>
          <w:tcPr>
            <w:tcW w:type="dxa" w:w="4320"/>
          </w:tcPr>
          <w:p>
            <w:pPr/>
            <w:r>
              <w:rPr>
                <w:sz w:val="18"/>
              </w:rPr>
              <w:t>At the Open (ATO)</w:t>
            </w:r>
          </w:p>
        </w:tc>
        <w:tc>
          <w:tcPr>
            <w:tcW w:type="dxa" w:w="4320"/>
          </w:tcPr>
          <w:p>
            <w:pPr/>
            <w:r>
              <w:rPr>
                <w:sz w:val="18"/>
              </w:rPr>
              <w:t>Valid only during the opening auction</w:t>
            </w:r>
          </w:p>
        </w:tc>
      </w:tr>
      <w:tr>
        <w:tc>
          <w:tcPr>
            <w:tcW w:type="dxa" w:w="4320"/>
          </w:tcPr>
          <w:p>
            <w:pPr/>
            <w:r>
              <w:rPr>
                <w:sz w:val="18"/>
              </w:rPr>
              <w:t>At the Close (ATC)</w:t>
            </w:r>
          </w:p>
        </w:tc>
        <w:tc>
          <w:tcPr>
            <w:tcW w:type="dxa" w:w="4320"/>
          </w:tcPr>
          <w:p>
            <w:pPr/>
            <w:r>
              <w:rPr>
                <w:sz w:val="18"/>
              </w:rPr>
              <w:t>Valid only during the closing auction</w:t>
            </w:r>
          </w:p>
        </w:tc>
      </w:tr>
    </w:tbl>
    <w:p/>
    <w:p>
      <w:pPr>
        <w:pStyle w:val="Heading3"/>
      </w:pPr>
      <w:r>
        <w:t>4.4 Order Modification / Cancellation</w:t>
      </w:r>
    </w:p>
    <w:p>
      <w:pPr>
        <w:pStyle w:val="ListBullet"/>
      </w:pPr>
      <w:r>
        <w:t>Orders can be amended (price, quantity) or cancelled during all trading periods except post-trading</w:t>
      </w:r>
    </w:p>
    <w:p>
      <w:pPr>
        <w:pStyle w:val="ListBullet"/>
      </w:pPr>
      <w:r>
        <w:t>Price amendments that improve priority result in a new timestamp (loss of time priority)</w:t>
      </w:r>
    </w:p>
    <w:p>
      <w:pPr>
        <w:pStyle w:val="ListBullet"/>
      </w:pPr>
      <w:r>
        <w:t>Quantity reduction does not affect time priority</w:t>
      </w:r>
    </w:p>
    <w:p>
      <w:pPr>
        <w:pStyle w:val="ListBullet"/>
      </w:pPr>
      <w:r>
        <w:t>During auction call periods, orders can be entered, amended, and cancelled but no matching occurs</w:t>
      </w:r>
    </w:p>
    <w:p>
      <w:pPr>
        <w:pStyle w:val="ListBullet"/>
      </w:pPr>
      <w:r>
        <w:t>Mass cancellation functionality available through trading interface</w:t>
      </w:r>
    </w:p>
    <w:p>
      <w:pPr>
        <w:pStyle w:val="ListBullet"/>
      </w:pPr>
      <w:r>
        <w:t>Stop Loss and Stop Limit orders can be entered, modified, or cancelled at any time during the trading day</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SWXess (based on X-stream INET)</w:t>
            </w:r>
          </w:p>
        </w:tc>
      </w:tr>
      <w:tr>
        <w:tc>
          <w:tcPr>
            <w:tcW w:type="dxa" w:w="4320"/>
          </w:tcPr>
          <w:p>
            <w:pPr/>
            <w:r>
              <w:rPr>
                <w:sz w:val="18"/>
              </w:rPr>
              <w:t>Vendor / In-house</w:t>
            </w:r>
          </w:p>
        </w:tc>
        <w:tc>
          <w:tcPr>
            <w:tcW w:type="dxa" w:w="4320"/>
          </w:tcPr>
          <w:p>
            <w:pPr/>
            <w:r>
              <w:rPr>
                <w:sz w:val="18"/>
              </w:rPr>
              <w:t>Licensed from Nasdaq (formerly NASDAQ OMX); X-stream INET technology</w:t>
            </w:r>
          </w:p>
        </w:tc>
      </w:tr>
      <w:tr>
        <w:tc>
          <w:tcPr>
            <w:tcW w:type="dxa" w:w="4320"/>
          </w:tcPr>
          <w:p>
            <w:pPr/>
            <w:r>
              <w:rPr>
                <w:sz w:val="18"/>
              </w:rPr>
              <w:t>Architecture</w:t>
            </w:r>
          </w:p>
        </w:tc>
        <w:tc>
          <w:tcPr>
            <w:tcW w:type="dxa" w:w="4320"/>
          </w:tcPr>
          <w:p>
            <w:pPr/>
            <w:r>
              <w:rPr>
                <w:sz w:val="18"/>
              </w:rPr>
              <w:t>Distributed, component-based architecture; loosely coupled, self-contained modules; event-driven matching</w:t>
            </w:r>
          </w:p>
        </w:tc>
      </w:tr>
      <w:tr>
        <w:tc>
          <w:tcPr>
            <w:tcW w:type="dxa" w:w="4320"/>
          </w:tcPr>
          <w:p>
            <w:pPr/>
            <w:r>
              <w:rPr>
                <w:sz w:val="18"/>
              </w:rPr>
              <w:t>Matching Engine</w:t>
            </w:r>
          </w:p>
        </w:tc>
        <w:tc>
          <w:tcPr>
            <w:tcW w:type="dxa" w:w="4320"/>
          </w:tcPr>
          <w:p>
            <w:pPr/>
            <w:r>
              <w:rPr>
                <w:sz w:val="18"/>
              </w:rPr>
              <w:t>Central On Book Matcher (OBM) with price-time priority (CLOB) and size-time priority (MPOB/SwissAtMid); separate partitions for equities and non-equities</w:t>
            </w:r>
          </w:p>
        </w:tc>
      </w:tr>
      <w:tr>
        <w:tc>
          <w:tcPr>
            <w:tcW w:type="dxa" w:w="4320"/>
          </w:tcPr>
          <w:p>
            <w:pPr/>
            <w:r>
              <w:rPr>
                <w:sz w:val="18"/>
              </w:rPr>
              <w:t>Round-trip Latency</w:t>
            </w:r>
          </w:p>
        </w:tc>
        <w:tc>
          <w:tcPr>
            <w:tcW w:type="dxa" w:w="4320"/>
          </w:tcPr>
          <w:p>
            <w:pPr/>
            <w:r>
              <w:rPr>
                <w:sz w:val="18"/>
              </w:rPr>
              <w:t>~10.6 microseconds average (co-location, as measured by SIX)</w:t>
            </w:r>
          </w:p>
        </w:tc>
      </w:tr>
      <w:tr>
        <w:tc>
          <w:tcPr>
            <w:tcW w:type="dxa" w:w="4320"/>
          </w:tcPr>
          <w:p>
            <w:pPr/>
            <w:r>
              <w:rPr>
                <w:sz w:val="18"/>
              </w:rPr>
              <w:t>Order Processing Capacity</w:t>
            </w:r>
          </w:p>
        </w:tc>
        <w:tc>
          <w:tcPr>
            <w:tcW w:type="dxa" w:w="4320"/>
          </w:tcPr>
          <w:p>
            <w:pPr/>
            <w:r>
              <w:rPr>
                <w:sz w:val="18"/>
              </w:rPr>
              <w:t>High throughput with significant capacity reserves; designed for peak volatility scenarios</w:t>
            </w:r>
          </w:p>
        </w:tc>
      </w:tr>
      <w:tr>
        <w:tc>
          <w:tcPr>
            <w:tcW w:type="dxa" w:w="4320"/>
          </w:tcPr>
          <w:p>
            <w:pPr/>
            <w:r>
              <w:rPr>
                <w:sz w:val="18"/>
              </w:rPr>
              <w:t>Messages Per Second</w:t>
            </w:r>
          </w:p>
        </w:tc>
        <w:tc>
          <w:tcPr>
            <w:tcW w:type="dxa" w:w="4320"/>
          </w:tcPr>
          <w:p>
            <w:pPr/>
            <w:r>
              <w:rPr>
                <w:sz w:val="18"/>
              </w:rPr>
              <w:t>Not publicly disclosed; capacity described as having "outstanding capacity reserves" [unverified]</w:t>
            </w:r>
          </w:p>
        </w:tc>
      </w:tr>
      <w:tr>
        <w:tc>
          <w:tcPr>
            <w:tcW w:type="dxa" w:w="4320"/>
          </w:tcPr>
          <w:p>
            <w:pPr/>
            <w:r>
              <w:rPr>
                <w:sz w:val="18"/>
              </w:rPr>
              <w:t>Launch Year</w:t>
            </w:r>
          </w:p>
        </w:tc>
        <w:tc>
          <w:tcPr>
            <w:tcW w:type="dxa" w:w="4320"/>
          </w:tcPr>
          <w:p>
            <w:pPr/>
            <w:r>
              <w:rPr>
                <w:sz w:val="18"/>
              </w:rPr>
              <w:t>2012 (X-stream INET migration); SWXess name adopted at that time</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Pre-1995</w:t>
            </w:r>
          </w:p>
        </w:tc>
        <w:tc>
          <w:tcPr>
            <w:tcW w:type="dxa" w:w="2880"/>
          </w:tcPr>
          <w:p>
            <w:pPr/>
            <w:r>
              <w:rPr>
                <w:sz w:val="18"/>
              </w:rPr>
              <w:t>Floor trading / Ring trading</w:t>
            </w:r>
          </w:p>
        </w:tc>
        <w:tc>
          <w:tcPr>
            <w:tcW w:type="dxa" w:w="2880"/>
          </w:tcPr>
          <w:p>
            <w:pPr/>
            <w:r>
              <w:rPr>
                <w:sz w:val="18"/>
              </w:rPr>
              <w:t>Physical trading floors in Zurich, Geneva, Basel</w:t>
            </w:r>
          </w:p>
        </w:tc>
      </w:tr>
      <w:tr>
        <w:tc>
          <w:tcPr>
            <w:tcW w:type="dxa" w:w="2880"/>
          </w:tcPr>
          <w:p>
            <w:pPr/>
            <w:r>
              <w:rPr>
                <w:sz w:val="18"/>
              </w:rPr>
              <w:t>1995-2001</w:t>
            </w:r>
          </w:p>
        </w:tc>
        <w:tc>
          <w:tcPr>
            <w:tcW w:type="dxa" w:w="2880"/>
          </w:tcPr>
          <w:p>
            <w:pPr/>
            <w:r>
              <w:rPr>
                <w:sz w:val="18"/>
              </w:rPr>
              <w:t>EBS (Elektronische Borse Schweiz)</w:t>
            </w:r>
          </w:p>
        </w:tc>
        <w:tc>
          <w:tcPr>
            <w:tcW w:type="dxa" w:w="2880"/>
          </w:tcPr>
          <w:p>
            <w:pPr/>
            <w:r>
              <w:rPr>
                <w:sz w:val="18"/>
              </w:rPr>
              <w:t>First fully automated electronic trading system in the world; integrated trading, clearing, settlement</w:t>
            </w:r>
          </w:p>
        </w:tc>
      </w:tr>
      <w:tr>
        <w:tc>
          <w:tcPr>
            <w:tcW w:type="dxa" w:w="2880"/>
          </w:tcPr>
          <w:p>
            <w:pPr/>
            <w:r>
              <w:rPr>
                <w:sz w:val="18"/>
              </w:rPr>
              <w:t>2001-2012</w:t>
            </w:r>
          </w:p>
        </w:tc>
        <w:tc>
          <w:tcPr>
            <w:tcW w:type="dxa" w:w="2880"/>
          </w:tcPr>
          <w:p>
            <w:pPr/>
            <w:r>
              <w:rPr>
                <w:sz w:val="18"/>
              </w:rPr>
              <w:t>SWX Trading Platform</w:t>
            </w:r>
          </w:p>
        </w:tc>
        <w:tc>
          <w:tcPr>
            <w:tcW w:type="dxa" w:w="2880"/>
          </w:tcPr>
          <w:p>
            <w:pPr/>
            <w:r>
              <w:rPr>
                <w:sz w:val="18"/>
              </w:rPr>
              <w:t>Proprietary system; various upgrades</w:t>
            </w:r>
          </w:p>
        </w:tc>
      </w:tr>
      <w:tr>
        <w:tc>
          <w:tcPr>
            <w:tcW w:type="dxa" w:w="2880"/>
          </w:tcPr>
          <w:p>
            <w:pPr/>
            <w:r>
              <w:rPr>
                <w:sz w:val="18"/>
              </w:rPr>
              <w:t>2012-present</w:t>
            </w:r>
          </w:p>
        </w:tc>
        <w:tc>
          <w:tcPr>
            <w:tcW w:type="dxa" w:w="2880"/>
          </w:tcPr>
          <w:p>
            <w:pPr/>
            <w:r>
              <w:rPr>
                <w:sz w:val="18"/>
              </w:rPr>
              <w:t>SWXess (X-stream INET)</w:t>
            </w:r>
          </w:p>
        </w:tc>
        <w:tc>
          <w:tcPr>
            <w:tcW w:type="dxa" w:w="2880"/>
          </w:tcPr>
          <w:p>
            <w:pPr/>
            <w:r>
              <w:rPr>
                <w:sz w:val="18"/>
              </w:rPr>
              <w:t>Licensed from Nasdaq; sub-11 microsecond latency; SIX was the first exchange globally to deploy X-stream INET</w:t>
            </w:r>
          </w:p>
        </w:tc>
      </w:tr>
      <w:tr>
        <w:tc>
          <w:tcPr>
            <w:tcW w:type="dxa" w:w="2880"/>
          </w:tcPr>
          <w:p>
            <w:pPr/>
            <w:r>
              <w:rPr>
                <w:sz w:val="18"/>
              </w:rPr>
              <w:t>2027 (planned)</w:t>
            </w:r>
          </w:p>
        </w:tc>
        <w:tc>
          <w:tcPr>
            <w:tcW w:type="dxa" w:w="2880"/>
          </w:tcPr>
          <w:p>
            <w:pPr/>
            <w:r>
              <w:rPr>
                <w:sz w:val="18"/>
              </w:rPr>
              <w:t>Equinox (Aquis Equinox)</w:t>
            </w:r>
          </w:p>
        </w:tc>
        <w:tc>
          <w:tcPr>
            <w:tcW w:type="dxa" w:w="2880"/>
          </w:tcPr>
          <w:p>
            <w:pPr/>
            <w:r>
              <w:rPr>
                <w:sz w:val="18"/>
              </w:rPr>
              <w:t>Next-generation platform; equity migration planned H1 2027; fixed income/structured products 2028; derivatives to follow</w:t>
            </w:r>
          </w:p>
        </w:tc>
      </w:tr>
    </w:tbl>
    <w:p/>
    <w:p>
      <w:pPr>
        <w:pStyle w:val="Heading3"/>
      </w:pPr>
      <w:r>
        <w:t>Technology Stack</w:t>
      </w:r>
    </w:p>
    <w:p>
      <w:pPr>
        <w:pStyle w:val="ListBullet"/>
      </w:pPr>
      <w:r>
        <w:t>Matching Engine: X-stream INET (Nasdaq technology); C/C++ based</w:t>
      </w:r>
    </w:p>
    <w:p>
      <w:pPr>
        <w:pStyle w:val="ListBullet"/>
      </w:pPr>
      <w:r>
        <w:t>Network Protocol: TCP/IP for trading gateways; UDP/IP multicast for market data</w:t>
      </w:r>
    </w:p>
    <w:p>
      <w:pPr>
        <w:pStyle w:val="ListBullet"/>
      </w:pPr>
      <w:r>
        <w:t>Trading Interfaces: OUCH (binary, lowest latency), FIX 4.4 (STI -- Standard Trading Interface), QTI (Quote Trading Interface for market makers)</w:t>
      </w:r>
    </w:p>
    <w:p>
      <w:pPr>
        <w:pStyle w:val="ListBullet"/>
      </w:pPr>
      <w:r>
        <w:t>Market Data: ITCH Market Data Interface (IMI) for ultra-low latency; SIX MDDX for broader distribution</w:t>
      </w:r>
    </w:p>
    <w:p>
      <w:pPr>
        <w:pStyle w:val="ListBullet"/>
      </w:pPr>
      <w:r>
        <w:t>Hardware: Hosted in Equinix data center in Zurich</w:t>
      </w:r>
    </w:p>
    <w:p>
      <w:pPr>
        <w:pStyle w:val="ListBullet"/>
      </w:pPr>
      <w:r>
        <w:t>Microwave Network: SIX operates its own international ultra-low latency microwave network -- the first regulated exchange in Europe to do so; connects Zurich to key European financial centers</w:t>
      </w:r>
    </w:p>
    <w:p>
      <w:pPr>
        <w:pStyle w:val="Heading3"/>
      </w:pPr>
      <w:r>
        <w:t>Disaster Recovery / Business Continuity</w:t>
      </w:r>
    </w:p>
    <w:p>
      <w:pPr>
        <w:pStyle w:val="ListBullet"/>
      </w:pPr>
      <w:r>
        <w:t>Primary data center in Zurich (Equinix)</w:t>
      </w:r>
    </w:p>
    <w:p>
      <w:pPr>
        <w:pStyle w:val="ListBullet"/>
      </w:pPr>
      <w:r>
        <w:t>Secondary/disaster recovery site with failover capability [specific location not publicly disclosed]</w:t>
      </w:r>
    </w:p>
    <w:p>
      <w:pPr>
        <w:pStyle w:val="ListBullet"/>
      </w:pPr>
      <w:r>
        <w:t>Dual redundant market data feeds</w:t>
      </w:r>
    </w:p>
    <w:p>
      <w:pPr>
        <w:pStyle w:val="ListBullet"/>
      </w:pPr>
      <w:r>
        <w:t>Business continuity plans tested regularly as required by FINMA regulations</w:t>
      </w:r>
    </w:p>
    <w:p>
      <w:pPr>
        <w:pStyle w:val="ListBullet"/>
      </w:pPr>
      <w:r>
        <w:t>Notable incident: July 31, 2024 -- trading halted due to technical issues; services subsequently restored [source: Bloomberg]</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**ITCH Market Data Interface (IMI)**</w:t>
            </w:r>
          </w:p>
        </w:tc>
        <w:tc>
          <w:tcPr>
            <w:tcW w:type="dxa" w:w="2880"/>
          </w:tcPr>
          <w:p>
            <w:pPr/>
            <w:r>
              <w:rPr>
                <w:sz w:val="18"/>
              </w:rPr>
              <w:t>Binary protocol providing order-by-order full depth market data; highest speed, lowest latency</w:t>
            </w:r>
          </w:p>
        </w:tc>
        <w:tc>
          <w:tcPr>
            <w:tcW w:type="dxa" w:w="2880"/>
          </w:tcPr>
          <w:p>
            <w:pPr/>
            <w:r>
              <w:rPr>
                <w:sz w:val="18"/>
              </w:rPr>
              <w:t>Ultra-low latency market data for algorithmic and high-frequency trading; available for both equities OBM and non-equities OBM</w:t>
            </w:r>
          </w:p>
        </w:tc>
      </w:tr>
      <w:tr>
        <w:tc>
          <w:tcPr>
            <w:tcW w:type="dxa" w:w="2880"/>
          </w:tcPr>
          <w:p>
            <w:pPr/>
            <w:r>
              <w:rPr>
                <w:sz w:val="18"/>
              </w:rPr>
              <w:t>**SIX MDDX**</w:t>
            </w:r>
          </w:p>
        </w:tc>
        <w:tc>
          <w:tcPr>
            <w:tcW w:type="dxa" w:w="2880"/>
          </w:tcPr>
          <w:p>
            <w:pPr/>
            <w:r>
              <w:rPr>
                <w:sz w:val="18"/>
              </w:rPr>
              <w:t>SIX's proprietary market data distribution service; consolidated real-time data</w:t>
            </w:r>
          </w:p>
        </w:tc>
        <w:tc>
          <w:tcPr>
            <w:tcW w:type="dxa" w:w="2880"/>
          </w:tcPr>
          <w:p>
            <w:pPr/>
            <w:r>
              <w:rPr>
                <w:sz w:val="18"/>
              </w:rPr>
              <w:t>Broader market data distribution to data vendors, trading firms, and institutional clients</w:t>
            </w:r>
          </w:p>
        </w:tc>
      </w:tr>
      <w:tr>
        <w:tc>
          <w:tcPr>
            <w:tcW w:type="dxa" w:w="2880"/>
          </w:tcPr>
          <w:p>
            <w:pPr/>
            <w:r>
              <w:rPr>
                <w:sz w:val="18"/>
              </w:rPr>
              <w:t>**FIX Market Data**</w:t>
            </w:r>
          </w:p>
        </w:tc>
        <w:tc>
          <w:tcPr>
            <w:tcW w:type="dxa" w:w="2880"/>
          </w:tcPr>
          <w:p>
            <w:pPr/>
            <w:r>
              <w:rPr>
                <w:sz w:val="18"/>
              </w:rPr>
              <w:t>Market data via FIX protocol (within STI)</w:t>
            </w:r>
          </w:p>
        </w:tc>
        <w:tc>
          <w:tcPr>
            <w:tcW w:type="dxa" w:w="2880"/>
          </w:tcPr>
          <w:p>
            <w:pPr/>
            <w:r>
              <w:rPr>
                <w:sz w:val="18"/>
              </w:rPr>
              <w:t>Firms preferring standardized FIX connectivity for trading and data</w:t>
            </w:r>
          </w:p>
        </w:tc>
      </w:tr>
      <w:tr>
        <w:tc>
          <w:tcPr>
            <w:tcW w:type="dxa" w:w="2880"/>
          </w:tcPr>
          <w:p>
            <w:pPr/>
            <w:r>
              <w:rPr>
                <w:sz w:val="18"/>
              </w:rPr>
              <w:t>**Exfeed**</w:t>
            </w:r>
          </w:p>
        </w:tc>
        <w:tc>
          <w:tcPr>
            <w:tcW w:type="dxa" w:w="2880"/>
          </w:tcPr>
          <w:p>
            <w:pPr/>
            <w:r>
              <w:rPr>
                <w:sz w:val="18"/>
              </w:rPr>
              <w:t>Real-time data feed service from SIX</w:t>
            </w:r>
          </w:p>
        </w:tc>
        <w:tc>
          <w:tcPr>
            <w:tcW w:type="dxa" w:w="2880"/>
          </w:tcPr>
          <w:p>
            <w:pPr/>
            <w:r>
              <w:rPr>
                <w:sz w:val="18"/>
              </w:rPr>
              <w:t>Commercial data distribution to end users, data vendors, and financial institutions globally</w:t>
            </w:r>
          </w:p>
        </w:tc>
      </w:tr>
    </w:tbl>
    <w:p/>
    <w:p>
      <w:pPr>
        <w:pStyle w:val="Heading3"/>
      </w:pPr>
      <w:r>
        <w:t>6.2 Data Levels</w:t>
      </w:r>
    </w:p>
    <w:p>
      <w:pPr>
        <w:pStyle w:val="ListBullet"/>
      </w:pPr>
      <w:r>
        <w:t>Level 1: Best bid/offer (BBO), last trade price, volume; available real-time or delayed (typically 15-minute delay for non-subscribers)</w:t>
      </w:r>
    </w:p>
    <w:p>
      <w:pPr>
        <w:pStyle w:val="ListBullet"/>
      </w:pPr>
      <w:r>
        <w:t>Level 2 / Full Depth: Full order book depth via ITCH IMI; order-by-order granularity for all visible price levels</w:t>
      </w:r>
    </w:p>
    <w:p>
      <w:pPr>
        <w:pStyle w:val="ListBullet"/>
      </w:pPr>
      <w:r>
        <w:t>SwissAtMid Data: Non-displayed order book; trade prints published post-execution but no pre-trade transparency (dark pool by design)</w:t>
      </w:r>
    </w:p>
    <w:p>
      <w:pPr>
        <w:pStyle w:val="Heading3"/>
      </w:pPr>
      <w:r>
        <w:t>6.3 Distribution Infrastructure</w:t>
      </w:r>
    </w:p>
    <w:p>
      <w:pPr>
        <w:pStyle w:val="ListBullet"/>
      </w:pPr>
      <w:r>
        <w:t>Market data disseminated via UDP multicast for ITCH IMI (lowest latency)</w:t>
      </w:r>
    </w:p>
    <w:p>
      <w:pPr>
        <w:pStyle w:val="ListBullet"/>
      </w:pPr>
      <w:r>
        <w:t>SIX MDDX distributed through co-location, proximity services, and access points</w:t>
      </w:r>
    </w:p>
    <w:p>
      <w:pPr>
        <w:pStyle w:val="ListBullet"/>
      </w:pPr>
      <w:r>
        <w:t>Co-location in Zurich Equinix data center provides lowest-latency access to both trading and market data</w:t>
      </w:r>
    </w:p>
    <w:p>
      <w:pPr>
        <w:pStyle w:val="ListBullet"/>
      </w:pPr>
      <w:r>
        <w:t>Microwave connectivity available for ultra-low latency data transmission to European financial centers (London, Frankfurt)</w:t>
      </w:r>
    </w:p>
    <w:p>
      <w:pPr>
        <w:pStyle w:val="ListBullet"/>
      </w:pPr>
      <w:r>
        <w:t>Third-party data vendors (Refinitiv/LSEG, Bloomberg, ICE) redistribute SIX market data globally</w:t>
      </w:r>
    </w:p>
    <w:p>
      <w:pPr>
        <w:pStyle w:val="Heading3"/>
      </w:pPr>
      <w:r>
        <w:t>6.4 Historical Data</w:t>
      </w:r>
    </w:p>
    <w:p>
      <w:pPr>
        <w:pStyle w:val="ListBullet"/>
      </w:pPr>
      <w:r>
        <w:t>Historical tick data available through SIX Financial Information</w:t>
      </w:r>
    </w:p>
    <w:p>
      <w:pPr>
        <w:pStyle w:val="ListBullet"/>
      </w:pPr>
      <w:r>
        <w:t>End-of-day data, corporate actions, and reference data accessible via SIX data products</w:t>
      </w:r>
    </w:p>
    <w:p>
      <w:pPr>
        <w:pStyle w:val="ListBullet"/>
      </w:pPr>
      <w:r>
        <w:t>Business Intelligence &amp; Statistics service offers tailor-made data analyses at CHF 250/hour</w:t>
      </w:r>
    </w:p>
    <w:p>
      <w:pPr>
        <w:pStyle w:val="ListBullet"/>
      </w:pPr>
      <w:r>
        <w:t>Volume and turnover statistics published monthly on SIX website</w:t>
      </w:r>
    </w:p>
    <w:p>
      <w:pPr>
        <w:pStyle w:val="ListBullet"/>
      </w:pPr>
      <w:r>
        <w:t>Academic and research data access available</w:t>
      </w:r>
    </w:p>
    <w:p>
      <w:r>
        <w:t>────────────────────────────────────────────────────────────</w:t>
      </w:r>
    </w:p>
    <w:p>
      <w:pPr>
        <w:pStyle w:val="Heading2"/>
      </w:pPr>
      <w:r>
        <w:t>7. Connectivity &amp; Access</w:t>
      </w:r>
    </w:p>
    <w:p>
      <w:pPr>
        <w:pStyle w:val="Heading3"/>
      </w:pPr>
      <w:r>
        <w:t>7.1 Membership / Participation</w:t>
      </w:r>
    </w:p>
    <w:p>
      <w:pPr>
        <w:pStyle w:val="ListBullet"/>
      </w:pPr>
      <w:r>
        <w:t>Trading Participants: Must be authorized financial institutions (banks, securities dealers) licensed by FINMA or a recognized equivalent foreign regulator</w:t>
      </w:r>
    </w:p>
    <w:p>
      <w:pPr>
        <w:pStyle w:val="ListBullet"/>
      </w:pPr>
      <w:r>
        <w:t>Onboarding: Institutions can start trading within approximately four weeks through SIX's onboarding process</w:t>
      </w:r>
    </w:p>
    <w:p>
      <w:pPr>
        <w:pStyle w:val="ListBullet"/>
      </w:pPr>
      <w:r>
        <w:t>Trader Registration: All persons carrying out trading activities must be registered; must pass SIX Exchange Trader Exam to obtain a trader license</w:t>
      </w:r>
    </w:p>
    <w:p>
      <w:pPr>
        <w:pStyle w:val="ListBullet"/>
      </w:pPr>
      <w:r>
        <w:t>Sponsored Access: Permitted; sponsoring participant responsible for the sponsored user's activity; monthly fee of CHF 1,000 per sponsored user</w:t>
      </w:r>
    </w:p>
    <w:p>
      <w:pPr>
        <w:pStyle w:val="ListBullet"/>
      </w:pPr>
      <w:r>
        <w:t>Remote Membership: Available to foreign-domiciled institutions subject to equivalent home-country regulation</w:t>
      </w:r>
    </w:p>
    <w:p>
      <w:pPr>
        <w:pStyle w:val="ListBullet"/>
      </w:pPr>
      <w:r>
        <w:t>Number of Participants: ~140 trading participants from ~20 countries [unverified]</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**Co-Location**</w:t>
            </w:r>
          </w:p>
        </w:tc>
        <w:tc>
          <w:tcPr>
            <w:tcW w:type="dxa" w:w="4320"/>
          </w:tcPr>
          <w:p>
            <w:pPr/>
            <w:r>
              <w:rPr>
                <w:sz w:val="18"/>
              </w:rPr>
              <w:t>Direct fiber connection in Zurich Equinix data center; fastest access (~10.6 us latency); 10 Gbps bandwidth</w:t>
            </w:r>
          </w:p>
        </w:tc>
      </w:tr>
      <w:tr>
        <w:tc>
          <w:tcPr>
            <w:tcW w:type="dxa" w:w="4320"/>
          </w:tcPr>
          <w:p>
            <w:pPr/>
            <w:r>
              <w:rPr>
                <w:sz w:val="18"/>
              </w:rPr>
              <w:t>**Microwave**</w:t>
            </w:r>
          </w:p>
        </w:tc>
        <w:tc>
          <w:tcPr>
            <w:tcW w:type="dxa" w:w="4320"/>
          </w:tcPr>
          <w:p>
            <w:pPr/>
            <w:r>
              <w:rPr>
                <w:sz w:val="18"/>
              </w:rPr>
              <w:t>SIX-owned ultra-low latency microwave network connecting Zurich to London and Frankfurt; faster than fiber for long-distance</w:t>
            </w:r>
          </w:p>
        </w:tc>
      </w:tr>
      <w:tr>
        <w:tc>
          <w:tcPr>
            <w:tcW w:type="dxa" w:w="4320"/>
          </w:tcPr>
          <w:p>
            <w:pPr/>
            <w:r>
              <w:rPr>
                <w:sz w:val="18"/>
              </w:rPr>
              <w:t>**Proximity / Access Point**</w:t>
            </w:r>
          </w:p>
        </w:tc>
        <w:tc>
          <w:tcPr>
            <w:tcW w:type="dxa" w:w="4320"/>
          </w:tcPr>
          <w:p>
            <w:pPr/>
            <w:r>
              <w:rPr>
                <w:sz w:val="18"/>
              </w:rPr>
              <w:t>Hosted connectivity at designated proximity sites outside the primary data center</w:t>
            </w:r>
          </w:p>
        </w:tc>
      </w:tr>
      <w:tr>
        <w:tc>
          <w:tcPr>
            <w:tcW w:type="dxa" w:w="4320"/>
          </w:tcPr>
          <w:p>
            <w:pPr/>
            <w:r>
              <w:rPr>
                <w:sz w:val="18"/>
              </w:rPr>
              <w:t>**Leased Line / WAN**</w:t>
            </w:r>
          </w:p>
        </w:tc>
        <w:tc>
          <w:tcPr>
            <w:tcW w:type="dxa" w:w="4320"/>
          </w:tcPr>
          <w:p>
            <w:pPr/>
            <w:r>
              <w:rPr>
                <w:sz w:val="18"/>
              </w:rPr>
              <w:t>Dedicated network connections for participants not co-located</w:t>
            </w:r>
          </w:p>
        </w:tc>
      </w:tr>
      <w:tr>
        <w:tc>
          <w:tcPr>
            <w:tcW w:type="dxa" w:w="4320"/>
          </w:tcPr>
          <w:p>
            <w:pPr/>
            <w:r>
              <w:rPr>
                <w:sz w:val="18"/>
              </w:rPr>
              <w:t>**Deutsche Borse N7 Connectivity**</w:t>
            </w:r>
          </w:p>
        </w:tc>
        <w:tc>
          <w:tcPr>
            <w:tcW w:type="dxa" w:w="4320"/>
          </w:tcPr>
          <w:p>
            <w:pPr/>
            <w:r>
              <w:rPr>
                <w:sz w:val="18"/>
              </w:rPr>
              <w:t>SIX Swiss Exchange connectivity available through Deutsche Borse's network infrastructure for participants already connected to Xetra [source: deutsche-boerse.com]</w:t>
            </w:r>
          </w:p>
        </w:tc>
      </w:tr>
    </w:tbl>
    <w:p/>
    <w:p>
      <w:pPr>
        <w:pStyle w:val="Heading3"/>
      </w:pPr>
      <w:r>
        <w:t>7.3 Co-location / Proximity Services</w:t>
      </w:r>
    </w:p>
    <w:p>
      <w:pPr>
        <w:pStyle w:val="ListBullet"/>
      </w:pPr>
      <w:r>
        <w:t>Primary Data Center: Equinix data center, Zurich, Switzerland</w:t>
      </w:r>
    </w:p>
    <w:p>
      <w:pPr>
        <w:pStyle w:val="ListBullet"/>
      </w:pPr>
      <w:r>
        <w:t>Co-Location: Direct cross-connect to SWXess on-book matchers for both equities and non-equities</w:t>
      </w:r>
    </w:p>
    <w:p>
      <w:pPr>
        <w:pStyle w:val="ListBullet"/>
      </w:pPr>
      <w:r>
        <w:t>Bandwidth: 10 Gbps connections available</w:t>
      </w:r>
    </w:p>
    <w:p>
      <w:pPr>
        <w:pStyle w:val="ListBullet"/>
      </w:pPr>
      <w:r>
        <w:t>Latency: Average round-trip latency of 10.6 microseconds from co-location</w:t>
      </w:r>
    </w:p>
    <w:p>
      <w:pPr>
        <w:pStyle w:val="ListBullet"/>
      </w:pPr>
      <w:r>
        <w:t>Microwave: Proprietary microwave network -- first regulated European exchange to own and operate such infrastructure; provides lower end-to-end latency than fiber between Zurich and London/Frankfurt because microwave signals travel at the speed of light through air on a more direct path</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**OUCH Trading Interface (OTI)**</w:t>
            </w:r>
          </w:p>
        </w:tc>
        <w:tc>
          <w:tcPr>
            <w:tcW w:type="dxa" w:w="4320"/>
          </w:tcPr>
          <w:p>
            <w:pPr/>
            <w:r>
              <w:rPr>
                <w:sz w:val="18"/>
              </w:rPr>
              <w:t>Binary protocol for price takers, proprietary traders, and sponsored users; lowest latency; industry-standard OUCH protocol</w:t>
            </w:r>
          </w:p>
        </w:tc>
      </w:tr>
      <w:tr>
        <w:tc>
          <w:tcPr>
            <w:tcW w:type="dxa" w:w="4320"/>
          </w:tcPr>
          <w:p>
            <w:pPr/>
            <w:r>
              <w:rPr>
                <w:sz w:val="18"/>
              </w:rPr>
              <w:t>**Standard Trading Interface (STI)**</w:t>
            </w:r>
          </w:p>
        </w:tc>
        <w:tc>
          <w:tcPr>
            <w:tcW w:type="dxa" w:w="4320"/>
          </w:tcPr>
          <w:p>
            <w:pPr/>
            <w:r>
              <w:rPr>
                <w:sz w:val="18"/>
              </w:rPr>
              <w:t>FIX 4.4 protocol; basic trading and reporting capability; not designed for high-speed/high-volume trading</w:t>
            </w:r>
          </w:p>
        </w:tc>
      </w:tr>
      <w:tr>
        <w:tc>
          <w:tcPr>
            <w:tcW w:type="dxa" w:w="4320"/>
          </w:tcPr>
          <w:p>
            <w:pPr/>
            <w:r>
              <w:rPr>
                <w:sz w:val="18"/>
              </w:rPr>
              <w:t>**Quote Trading Interface (QTI)**</w:t>
            </w:r>
          </w:p>
        </w:tc>
        <w:tc>
          <w:tcPr>
            <w:tcW w:type="dxa" w:w="4320"/>
          </w:tcPr>
          <w:p>
            <w:pPr/>
            <w:r>
              <w:rPr>
                <w:sz w:val="18"/>
              </w:rPr>
              <w:t>Dedicated interface for market makers and liquidity providers; quote entry, amendment, cancellation</w:t>
            </w:r>
          </w:p>
        </w:tc>
      </w:tr>
      <w:tr>
        <w:tc>
          <w:tcPr>
            <w:tcW w:type="dxa" w:w="4320"/>
          </w:tcPr>
          <w:p>
            <w:pPr/>
            <w:r>
              <w:rPr>
                <w:sz w:val="18"/>
              </w:rPr>
              <w:t>**ITCH Market Data Interface (IMI)**</w:t>
            </w:r>
          </w:p>
        </w:tc>
        <w:tc>
          <w:tcPr>
            <w:tcW w:type="dxa" w:w="4320"/>
          </w:tcPr>
          <w:p>
            <w:pPr/>
            <w:r>
              <w:rPr>
                <w:sz w:val="18"/>
              </w:rPr>
              <w:t>Binary market data protocol; highest speed; order-by-order depth</w:t>
            </w:r>
          </w:p>
        </w:tc>
      </w:tr>
      <w:tr>
        <w:tc>
          <w:tcPr>
            <w:tcW w:type="dxa" w:w="4320"/>
          </w:tcPr>
          <w:p>
            <w:pPr/>
            <w:r>
              <w:rPr>
                <w:sz w:val="18"/>
              </w:rPr>
              <w:t>**FIX Drop Copy**</w:t>
            </w:r>
          </w:p>
        </w:tc>
        <w:tc>
          <w:tcPr>
            <w:tcW w:type="dxa" w:w="4320"/>
          </w:tcPr>
          <w:p>
            <w:pPr/>
            <w:r>
              <w:rPr>
                <w:sz w:val="18"/>
              </w:rPr>
              <w:t>FIX-based real-time copy of executions and order updates; used by sponsoring participants for monitoring sponsored user order flow</w:t>
            </w:r>
          </w:p>
        </w:tc>
      </w:tr>
    </w:tbl>
    <w:p/>
    <w:p>
      <w:pPr>
        <w:pStyle w:val="Heading3"/>
      </w:pPr>
      <w:r>
        <w:t>7.5 Certification / Testing</w:t>
      </w:r>
    </w:p>
    <w:p>
      <w:pPr>
        <w:pStyle w:val="ListBullet"/>
      </w:pPr>
      <w:r>
        <w:t>Conformance Testing: Required before production access; validates correct message handling, order management, and error handling for each interface (OTI, STI, QTI)</w:t>
      </w:r>
    </w:p>
    <w:p>
      <w:pPr>
        <w:pStyle w:val="ListBullet"/>
      </w:pPr>
      <w:r>
        <w:t>Test Environment: SIX provides test/simulation environments replicating production functionality</w:t>
      </w:r>
    </w:p>
    <w:p>
      <w:pPr>
        <w:pStyle w:val="ListBullet"/>
      </w:pPr>
      <w:r>
        <w:t>Trader Exam: Mandatory SIX Exchange Trader Exam covering trading rules, order types, market structure; separate exams for traders and reporting agents</w:t>
      </w:r>
    </w:p>
    <w:p>
      <w:pPr>
        <w:pStyle w:val="ListBullet"/>
      </w:pPr>
      <w:r>
        <w:t>Release Testing: Participants notified in advance of SWXess maintenance releases (e.g., SMR15) with testing windows provided</w:t>
      </w:r>
    </w:p>
    <w:p>
      <w:r>
        <w:t>────────────────────────────────────────────────────────────</w:t>
      </w:r>
    </w:p>
    <w:p>
      <w:pPr>
        <w:pStyle w:val="Heading2"/>
      </w:pPr>
      <w:r>
        <w:t>8. Risk Controls &amp; Circuit Breakers</w:t>
      </w:r>
    </w:p>
    <w:p>
      <w:pPr>
        <w:pStyle w:val="Heading3"/>
      </w:pPr>
      <w:r>
        <w:t>8.1 Price Limits</w:t>
      </w:r>
    </w:p>
    <w:p>
      <w:pPr>
        <w:pStyle w:val="ListBullet"/>
      </w:pPr>
      <w:r>
        <w:t>SIX Swiss Exchange does not impose fixed daily price limits (no hard up/down limit)</w:t>
      </w:r>
    </w:p>
    <w:p>
      <w:pPr>
        <w:pStyle w:val="ListBullet"/>
      </w:pPr>
      <w:r>
        <w:t>Uses dynamic Stop Trading Ranges to detect abnormal price movements</w:t>
      </w:r>
    </w:p>
    <w:p>
      <w:pPr>
        <w:pStyle w:val="ListBullet"/>
      </w:pPr>
      <w:r>
        <w:t>Stop Trading parameters are defined per instrument and reviewed periodically by SIX Exchange Regulation</w:t>
      </w:r>
    </w:p>
    <w:p>
      <w:pPr>
        <w:pStyle w:val="Heading3"/>
      </w:pPr>
      <w:r>
        <w:t>8.2 Circuit Breakers (Stop Trading)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Trigger</w:t>
            </w:r>
          </w:p>
        </w:tc>
        <w:tc>
          <w:tcPr>
            <w:tcW w:type="dxa" w:w="2880"/>
          </w:tcPr>
          <w:p>
            <w:pPr/>
            <w:r>
              <w:rPr>
                <w:b/>
                <w:sz w:val="18"/>
              </w:rPr>
              <w:t>Response</w:t>
            </w:r>
          </w:p>
        </w:tc>
      </w:tr>
      <w:tr>
        <w:tc>
          <w:tcPr>
            <w:tcW w:type="dxa" w:w="2880"/>
          </w:tcPr>
          <w:p>
            <w:pPr/>
            <w:r>
              <w:rPr>
                <w:sz w:val="18"/>
              </w:rPr>
              <w:t>**Stop Trading (Avalanche)**</w:t>
            </w:r>
          </w:p>
        </w:tc>
        <w:tc>
          <w:tcPr>
            <w:tcW w:type="dxa" w:w="2880"/>
          </w:tcPr>
          <w:p>
            <w:pPr/>
            <w:r>
              <w:rPr>
                <w:sz w:val="18"/>
              </w:rPr>
              <w:t>If the potential follow-up price deviates by more than the Stop Trading Range from the reference price within a predefined Avalanche Time period (typically 10 seconds)</w:t>
            </w:r>
          </w:p>
        </w:tc>
        <w:tc>
          <w:tcPr>
            <w:tcW w:type="dxa" w:w="2880"/>
          </w:tcPr>
          <w:p>
            <w:pPr/>
            <w:r>
              <w:rPr>
                <w:sz w:val="18"/>
              </w:rPr>
              <w:t>Continuous trading automatically suspended; instrument enters a 5-minute volatility auction (call period), followed by random end period</w:t>
            </w:r>
          </w:p>
        </w:tc>
      </w:tr>
      <w:tr>
        <w:tc>
          <w:tcPr>
            <w:tcW w:type="dxa" w:w="2880"/>
          </w:tcPr>
          <w:p>
            <w:pPr/>
            <w:r>
              <w:rPr>
                <w:sz w:val="18"/>
              </w:rPr>
              <w:t>**Stop Trading "No Quote"**</w:t>
            </w:r>
          </w:p>
        </w:tc>
        <w:tc>
          <w:tcPr>
            <w:tcW w:type="dxa" w:w="2880"/>
          </w:tcPr>
          <w:p>
            <w:pPr/>
            <w:r>
              <w:rPr>
                <w:sz w:val="18"/>
              </w:rPr>
              <w:t>If no quotes exist in the order book for a predefined period even though executable orders exist on both sides</w:t>
            </w:r>
          </w:p>
        </w:tc>
        <w:tc>
          <w:tcPr>
            <w:tcW w:type="dxa" w:w="2880"/>
          </w:tcPr>
          <w:p>
            <w:pPr/>
            <w:r>
              <w:rPr>
                <w:sz w:val="18"/>
              </w:rPr>
              <w:t>Stop Trading condition imposed for a predefined Stop Time Duration</w:t>
            </w:r>
          </w:p>
        </w:tc>
      </w:tr>
      <w:tr>
        <w:tc>
          <w:tcPr>
            <w:tcW w:type="dxa" w:w="2880"/>
          </w:tcPr>
          <w:p>
            <w:pPr/>
            <w:r>
              <w:rPr>
                <w:sz w:val="18"/>
              </w:rPr>
              <w:t>**Opening/Closing Auction Extension**</w:t>
            </w:r>
          </w:p>
        </w:tc>
        <w:tc>
          <w:tcPr>
            <w:tcW w:type="dxa" w:w="2880"/>
          </w:tcPr>
          <w:p>
            <w:pPr/>
            <w:r>
              <w:rPr>
                <w:sz w:val="18"/>
              </w:rPr>
              <w:t>If the indicative uncrossing price of an auction would breach Stop Trading thresholds</w:t>
            </w:r>
          </w:p>
        </w:tc>
        <w:tc>
          <w:tcPr>
            <w:tcW w:type="dxa" w:w="2880"/>
          </w:tcPr>
          <w:p>
            <w:pPr/>
            <w:r>
              <w:rPr>
                <w:sz w:val="18"/>
              </w:rPr>
              <w:t>Auction call period is extended</w:t>
            </w:r>
          </w:p>
        </w:tc>
      </w:tr>
    </w:tbl>
    <w:p/>
    <w:p>
      <w:r>
        <w:t>Specific Stop Trading Range percentages vary by instrument and liquidity class. Typical ranges for SMI blue chips are narrower than for small caps [specific percentages set in Trading Parameters Guideline, updated periodically by SER].</w:t>
      </w:r>
    </w:p>
    <w:p>
      <w:pPr>
        <w:pStyle w:val="Heading3"/>
      </w:pPr>
      <w:r>
        <w:t>8.3 Pre-trade Risk Controls</w:t>
      </w:r>
    </w:p>
    <w:p>
      <w:pPr>
        <w:pStyle w:val="ListBullet"/>
      </w:pPr>
      <w:r>
        <w:t>Maximum Order Value / Quantity: Configurable per firm/gateway; orders exceeding threshold are rejected</w:t>
      </w:r>
    </w:p>
    <w:p>
      <w:pPr>
        <w:pStyle w:val="ListBullet"/>
      </w:pPr>
      <w:r>
        <w:t>Price Reasonability Checks: Orders with prices significantly deviating from the current market may be rejected or flagged</w:t>
      </w:r>
    </w:p>
    <w:p>
      <w:pPr>
        <w:pStyle w:val="ListBullet"/>
      </w:pPr>
      <w:r>
        <w:t>Message Throttling: Rate limits on order submissions per second to prevent system overload</w:t>
      </w:r>
    </w:p>
    <w:p>
      <w:pPr>
        <w:pStyle w:val="ListBullet"/>
      </w:pPr>
      <w:r>
        <w:t>Sponsored Access Controls: Sponsoring participants must monitor and control sponsored user order flow in real time via FIX Drop Copy; pre-trade risk limits enforced</w:t>
      </w:r>
    </w:p>
    <w:p>
      <w:pPr>
        <w:pStyle w:val="ListBullet"/>
      </w:pPr>
      <w:r>
        <w:t>Self-Trade Prevention: Mechanisms to prevent a participant from trading against its own orders [unverified]</w:t>
      </w:r>
    </w:p>
    <w:p>
      <w:pPr>
        <w:pStyle w:val="Heading3"/>
      </w:pPr>
      <w:r>
        <w:t>8.4 Kill Switch</w:t>
      </w:r>
    </w:p>
    <w:p>
      <w:pPr>
        <w:pStyle w:val="ListBullet"/>
      </w:pPr>
      <w:r>
        <w:t>Trading participants and SIX market operations can cancel all outstanding orders for a participant in emergency situations</w:t>
      </w:r>
    </w:p>
    <w:p>
      <w:pPr>
        <w:pStyle w:val="ListBullet"/>
      </w:pPr>
      <w:r>
        <w:t>Sponsoring participants have the ability to disable sponsored user access</w:t>
      </w:r>
    </w:p>
    <w:p>
      <w:pPr>
        <w:pStyle w:val="ListBullet"/>
      </w:pPr>
      <w:r>
        <w:t>SIX market operations can intervene in extraordinary circumstances to halt trading in individual instruments or the entire market</w:t>
      </w:r>
    </w:p>
    <w:p>
      <w:r>
        <w:t>────────────────────────────────────────────────────────────</w:t>
      </w:r>
    </w:p>
    <w:p>
      <w:pPr>
        <w:pStyle w:val="Heading2"/>
      </w:pPr>
      <w:r>
        <w:t>9. Regulatory Framework</w:t>
      </w:r>
    </w:p>
    <w:p>
      <w:pPr>
        <w:pStyle w:val="Heading3"/>
      </w:pPr>
      <w:r>
        <w:t>9.1 Supervising Authority</w:t>
      </w:r>
    </w:p>
    <w:p>
      <w:pPr>
        <w:pStyle w:val="ListBullet"/>
      </w:pPr>
      <w:r>
        <w:t>FINMA (Swiss Financial Market Supervisory Authority): Primary regulator; authorizes SIX Swiss Exchange as a stock exchange under the Financial Market Infrastructure Act (FMIA)</w:t>
      </w:r>
    </w:p>
    <w:p>
      <w:pPr>
        <w:pStyle w:val="ListBullet"/>
      </w:pPr>
      <w:r>
        <w:t>SIX Exchange Regulation AG (SER): Independent self-regulatory body established by SIX; responsible for listing rules, trading rules, real-time market surveillance, and enforcement; operates at arm's length from SIX's commercial operations</w:t>
      </w:r>
    </w:p>
    <w:p>
      <w:pPr>
        <w:pStyle w:val="ListBullet"/>
      </w:pPr>
      <w:r>
        <w:t>Swiss National Bank (SNB): Oversight of systemically important financial market infrastructure</w:t>
      </w:r>
    </w:p>
    <w:p>
      <w:pPr>
        <w:pStyle w:val="Heading3"/>
      </w:pPr>
      <w:r>
        <w:t>9.2 Key Regulations</w:t>
      </w:r>
    </w:p>
    <w:p>
      <w:pPr>
        <w:pStyle w:val="ListBullet"/>
      </w:pPr>
      <w:r>
        <w:t>Financial Market Infrastructure Act (FMIA / FinfraG): Primary legislation governing financial market infrastructure in Switzerland; enacted 2016; covers exchanges, trading venues, CCPs, CSDs</w:t>
      </w:r>
    </w:p>
    <w:p>
      <w:pPr>
        <w:pStyle w:val="ListBullet"/>
      </w:pPr>
      <w:r>
        <w:t>Financial Institutions Act (FinIA): Governs licensing of financial intermediaries</w:t>
      </w:r>
    </w:p>
    <w:p>
      <w:pPr>
        <w:pStyle w:val="ListBullet"/>
      </w:pPr>
      <w:r>
        <w:t>Stock Exchange Act (BEHG): Historical legislation (largely superseded by FMIA) on stock exchange and securities trading</w:t>
      </w:r>
    </w:p>
    <w:p>
      <w:pPr>
        <w:pStyle w:val="ListBullet"/>
      </w:pPr>
      <w:r>
        <w:t>Swiss Code of Obligations: Corporate law requirements for listed companies</w:t>
      </w:r>
    </w:p>
    <w:p>
      <w:pPr>
        <w:pStyle w:val="ListBullet"/>
      </w:pPr>
      <w:r>
        <w:t>SIX Listing Rules: Detailed admission, maintenance, and disclosure requirements for listed issuers</w:t>
      </w:r>
    </w:p>
    <w:p>
      <w:pPr>
        <w:pStyle w:val="ListBullet"/>
      </w:pPr>
      <w:r>
        <w:t>SIX Trading Rules: Rules governing on-exchange trading, order management, trade reporting</w:t>
      </w:r>
    </w:p>
    <w:p>
      <w:pPr>
        <w:pStyle w:val="ListBullet"/>
      </w:pPr>
      <w:r>
        <w:t>Anti-Money Laundering Act (AMLA): Applicable to exchange participants</w:t>
      </w:r>
    </w:p>
    <w:p>
      <w:pPr>
        <w:pStyle w:val="ListBullet"/>
      </w:pPr>
      <w:r>
        <w:t>MiFID II Alignment: Although Switzerland is not an EU member, SIX voluntarily adopts many MiFID II provisions (e.g., tick size regime, pre/post-trade transparency standards) to maintain competitiveness and facilitate cross-border access</w:t>
      </w:r>
    </w:p>
    <w:p>
      <w:pPr>
        <w:pStyle w:val="Heading3"/>
      </w:pPr>
      <w:r>
        <w:t>9.3 Market Surveillance</w:t>
      </w:r>
    </w:p>
    <w:p>
      <w:pPr>
        <w:pStyle w:val="ListBullet"/>
      </w:pPr>
      <w:r>
        <w:t>SIX Exchange Regulation (SER): Conducts real-time market surveillance of all trading activity on SIX Swiss Exchange for suspicious patterns, potential market abuse, insider trading, and rule violations</w:t>
      </w:r>
    </w:p>
    <w:p>
      <w:pPr>
        <w:pStyle w:val="ListBullet"/>
      </w:pPr>
      <w:r>
        <w:t>Surveillance Technology: Automated alert systems monitoring trading patterns, price anomalies, and unusual volume</w:t>
      </w:r>
    </w:p>
    <w:p>
      <w:pPr>
        <w:pStyle w:val="ListBullet"/>
      </w:pPr>
      <w:r>
        <w:t>Enforcement: SER can impose sanctions including fines, trading suspensions, and referrals to FINMA or criminal authorities</w:t>
      </w:r>
    </w:p>
    <w:p>
      <w:pPr>
        <w:pStyle w:val="ListBullet"/>
      </w:pPr>
      <w:r>
        <w:t>FINMA Oversight: FINMA conducts its own supervision and can investigate market abuse under FMIA</w:t>
      </w:r>
    </w:p>
    <w:p>
      <w:pPr>
        <w:pStyle w:val="Heading3"/>
      </w:pPr>
      <w:r>
        <w:t>9.4 Reporting Requirements</w:t>
      </w:r>
    </w:p>
    <w:p>
      <w:pPr>
        <w:pStyle w:val="ListBullet"/>
      </w:pPr>
      <w:r>
        <w:t>Ad-hoc Disclosure: Listed issuers must immediately disclose price-sensitive information (similar to EU MAR requirements)</w:t>
      </w:r>
    </w:p>
    <w:p>
      <w:pPr>
        <w:pStyle w:val="ListBullet"/>
      </w:pPr>
      <w:r>
        <w:t>Major Shareholding Notifications: Disclosure required when crossing 3%, 5%, 10%, 15%, 20%, 25%, 33 1/3%, 50%, and 66 2/3% thresholds of voting rights</w:t>
      </w:r>
    </w:p>
    <w:p>
      <w:pPr>
        <w:pStyle w:val="ListBullet"/>
      </w:pPr>
      <w:r>
        <w:t>Management Transactions: Board members and senior management must disclose transactions in the company's securities</w:t>
      </w:r>
    </w:p>
    <w:p>
      <w:pPr>
        <w:pStyle w:val="ListBullet"/>
      </w:pPr>
      <w:r>
        <w:t>Financial Reporting: Annual report (audited) and semi-annual interim report required; must use IFRS, US GAAP, or Swiss GAAP FER (depending on listing standard)</w:t>
      </w:r>
    </w:p>
    <w:p>
      <w:pPr>
        <w:pStyle w:val="ListBullet"/>
      </w:pPr>
      <w:r>
        <w:t>Corporate Governance Reporting: Annual corporate governance report required per SIX Directive on Corporate Governance</w:t>
      </w:r>
    </w:p>
    <w:p>
      <w:pPr>
        <w:pStyle w:val="ListBullet"/>
      </w:pPr>
      <w:r>
        <w:t>Transaction Reporting: Trading participants report transactions to SIX; SIX forwards relevant data to FINMA</w:t>
      </w:r>
    </w:p>
    <w:p>
      <w:pPr>
        <w:pStyle w:val="Heading3"/>
      </w:pPr>
      <w:r>
        <w:t>9.5 Cross-border Arrangements</w:t>
      </w:r>
    </w:p>
    <w:p>
      <w:pPr>
        <w:pStyle w:val="Heading4"/>
      </w:pPr>
      <w:r>
        <w:t>EU Equivalence -- A Significant Issue</w:t>
      </w:r>
    </w:p>
    <w:p>
      <w:pPr>
        <w:pStyle w:val="ListBullet"/>
      </w:pPr>
      <w:r>
        <w:t>2017: EU Commission initially granted equivalence to Swiss stock exchanges (allowing EU firms to trade Swiss stocks on SIX)</w:t>
      </w:r>
    </w:p>
    <w:p>
      <w:pPr>
        <w:pStyle w:val="ListBullet"/>
      </w:pPr>
      <w:r>
        <w:t>2018: EU extended equivalence only for 1 year, linking it to broader EU-Swiss institutional framework negotiations</w:t>
      </w:r>
    </w:p>
    <w:p>
      <w:pPr>
        <w:pStyle w:val="ListBullet"/>
      </w:pPr>
      <w:r>
        <w:t>June 2019: EU equivalence recognition expired / was not renewed; EU firms prohibited from trading Swiss shares on EU venues</w:t>
      </w:r>
    </w:p>
    <w:p>
      <w:pPr>
        <w:pStyle w:val="ListBullet"/>
      </w:pPr>
      <w:r>
        <w:t>June 2019: Swiss Federal Council enacted protective countermeasure -- prohibited trading of Swiss-ISIN equity securities on recognized foreign trading venues (effectively forcing all Swiss stock trading back to SIX)</w:t>
      </w:r>
    </w:p>
    <w:p>
      <w:pPr>
        <w:pStyle w:val="ListBullet"/>
      </w:pPr>
      <w:r>
        <w:t>May 2025: Swiss Federal Council lifted protective measures following a pragmatic resolution; the EU narrowed the scope of the share trading obligation to EEA-ISIN instruments, meaning Swiss-ISIN (CH-prefix) shares are no longer within scope of Article 23 MiFIR</w:t>
      </w:r>
    </w:p>
    <w:p>
      <w:pPr>
        <w:pStyle w:val="ListBullet"/>
      </w:pPr>
      <w:r>
        <w:t>January 2026: UK-Switzerland Berne Financial Services Agreement (BFSA) implemented mutual recognition of trading venue regulations, enabling cross-border market integration</w:t>
      </w:r>
    </w:p>
    <w:p>
      <w:pPr>
        <w:pStyle w:val="Heading4"/>
      </w:pPr>
      <w:r>
        <w:t>Other Cross-border Arrangements</w:t>
      </w:r>
    </w:p>
    <w:p>
      <w:pPr>
        <w:pStyle w:val="ListBullet"/>
      </w:pPr>
      <w:r>
        <w:t>Bilateral regulatory cooperation agreements with multiple jurisdictions</w:t>
      </w:r>
    </w:p>
    <w:p>
      <w:pPr>
        <w:pStyle w:val="ListBullet"/>
      </w:pPr>
      <w:r>
        <w:t>IOSCO MMOU signatory</w:t>
      </w:r>
    </w:p>
    <w:p>
      <w:pPr>
        <w:pStyle w:val="ListBullet"/>
      </w:pPr>
      <w:r>
        <w:t>Foreign participants can access SIX through remote membership if home-country regulation is recognized as equivalent by FINMA</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Transaction Fee (Equities)</w:t>
            </w:r>
          </w:p>
        </w:tc>
        <w:tc>
          <w:tcPr>
            <w:tcW w:type="dxa" w:w="2880"/>
          </w:tcPr>
          <w:p>
            <w:pPr/>
            <w:r>
              <w:rPr>
                <w:sz w:val="18"/>
              </w:rPr>
              <w:t>Ad valorem (value-based); tiered based on participant's total trading turnover</w:t>
            </w:r>
          </w:p>
        </w:tc>
        <w:tc>
          <w:tcPr>
            <w:tcW w:type="dxa" w:w="2880"/>
          </w:tcPr>
          <w:p>
            <w:pPr/>
            <w:r>
              <w:rPr>
                <w:sz w:val="18"/>
              </w:rPr>
              <w:t>Variable; depends on participant's annual trading volume tier; decreasing marginal rate for higher volumes [specific bps rates not publicly confirmed in general disclosure]</w:t>
            </w:r>
          </w:p>
        </w:tc>
      </w:tr>
      <w:tr>
        <w:tc>
          <w:tcPr>
            <w:tcW w:type="dxa" w:w="2880"/>
          </w:tcPr>
          <w:p>
            <w:pPr/>
            <w:r>
              <w:rPr>
                <w:sz w:val="18"/>
              </w:rPr>
              <w:t>Sponsored Access Fee</w:t>
            </w:r>
          </w:p>
        </w:tc>
        <w:tc>
          <w:tcPr>
            <w:tcW w:type="dxa" w:w="2880"/>
          </w:tcPr>
          <w:p>
            <w:pPr/>
            <w:r>
              <w:rPr>
                <w:sz w:val="18"/>
              </w:rPr>
              <w:t>Monthly per sponsored user</w:t>
            </w:r>
          </w:p>
        </w:tc>
        <w:tc>
          <w:tcPr>
            <w:tcW w:type="dxa" w:w="2880"/>
          </w:tcPr>
          <w:p>
            <w:pPr/>
            <w:r>
              <w:rPr>
                <w:sz w:val="18"/>
              </w:rPr>
              <w:t>CHF 1,000 per month per sponsored user</w:t>
            </w:r>
          </w:p>
        </w:tc>
      </w:tr>
      <w:tr>
        <w:tc>
          <w:tcPr>
            <w:tcW w:type="dxa" w:w="2880"/>
          </w:tcPr>
          <w:p>
            <w:pPr/>
            <w:r>
              <w:rPr>
                <w:sz w:val="18"/>
              </w:rPr>
              <w:t>Trade Reporting Fee</w:t>
            </w:r>
          </w:p>
        </w:tc>
        <w:tc>
          <w:tcPr>
            <w:tcW w:type="dxa" w:w="2880"/>
          </w:tcPr>
          <w:p>
            <w:pPr/>
            <w:r>
              <w:rPr>
                <w:sz w:val="18"/>
              </w:rPr>
              <w:t>Per reported off-book trade</w:t>
            </w:r>
          </w:p>
        </w:tc>
        <w:tc>
          <w:tcPr>
            <w:tcW w:type="dxa" w:w="2880"/>
          </w:tcPr>
          <w:p>
            <w:pPr/>
            <w:r>
              <w:rPr>
                <w:sz w:val="18"/>
              </w:rPr>
              <w:t>Fee charged for reception and processing of trade reports [specific amount in List of Charges]</w:t>
            </w:r>
          </w:p>
        </w:tc>
      </w:tr>
      <w:tr>
        <w:tc>
          <w:tcPr>
            <w:tcW w:type="dxa" w:w="2880"/>
          </w:tcPr>
          <w:p>
            <w:pPr/>
            <w:r>
              <w:rPr>
                <w:sz w:val="18"/>
              </w:rPr>
              <w:t>Market Maker Quotes (QTI)</w:t>
            </w:r>
          </w:p>
        </w:tc>
        <w:tc>
          <w:tcPr>
            <w:tcW w:type="dxa" w:w="2880"/>
          </w:tcPr>
          <w:p>
            <w:pPr/>
            <w:r>
              <w:rPr>
                <w:sz w:val="18"/>
              </w:rPr>
              <w:t>Per instrument</w:t>
            </w:r>
          </w:p>
        </w:tc>
        <w:tc>
          <w:tcPr>
            <w:tcW w:type="dxa" w:w="2880"/>
          </w:tcPr>
          <w:p>
            <w:pPr/>
            <w:r>
              <w:rPr>
                <w:sz w:val="18"/>
              </w:rPr>
              <w:t>2 QPS per instrument free; additional QPS subject to fees</w:t>
            </w:r>
          </w:p>
        </w:tc>
      </w:tr>
    </w:tbl>
    <w:p/>
    <w:p>
      <w:pPr>
        <w:pStyle w:val="Heading3"/>
      </w:pPr>
      <w:r>
        <w:t>10.2 Listing Fees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Fee Type</w:t>
            </w:r>
          </w:p>
        </w:tc>
        <w:tc>
          <w:tcPr>
            <w:tcW w:type="dxa" w:w="4320"/>
          </w:tcPr>
          <w:p>
            <w:pPr/>
            <w:r>
              <w:rPr>
                <w:b/>
                <w:sz w:val="18"/>
              </w:rPr>
              <w:t>Amount</w:t>
            </w:r>
          </w:p>
        </w:tc>
      </w:tr>
      <w:tr>
        <w:tc>
          <w:tcPr>
            <w:tcW w:type="dxa" w:w="4320"/>
          </w:tcPr>
          <w:p>
            <w:pPr/>
            <w:r>
              <w:rPr>
                <w:sz w:val="18"/>
              </w:rPr>
              <w:t>Listing Application Processing</w:t>
            </w:r>
          </w:p>
        </w:tc>
        <w:tc>
          <w:tcPr>
            <w:tcW w:type="dxa" w:w="4320"/>
          </w:tcPr>
          <w:p>
            <w:pPr/>
            <w:r>
              <w:rPr>
                <w:sz w:val="18"/>
              </w:rPr>
              <w:t>CHF 3,000 basic charge</w:t>
            </w:r>
          </w:p>
        </w:tc>
      </w:tr>
      <w:tr>
        <w:tc>
          <w:tcPr>
            <w:tcW w:type="dxa" w:w="4320"/>
          </w:tcPr>
          <w:p>
            <w:pPr/>
            <w:r>
              <w:rPr>
                <w:sz w:val="18"/>
              </w:rPr>
              <w:t>New Equity Listing (variable)</w:t>
            </w:r>
          </w:p>
        </w:tc>
        <w:tc>
          <w:tcPr>
            <w:tcW w:type="dxa" w:w="4320"/>
          </w:tcPr>
          <w:p>
            <w:pPr/>
            <w:r>
              <w:rPr>
                <w:sz w:val="18"/>
              </w:rPr>
              <w:t>CHF 10 per CHF 1 million of market capitalization, max CHF 80,000</w:t>
            </w:r>
          </w:p>
        </w:tc>
      </w:tr>
      <w:tr>
        <w:tc>
          <w:tcPr>
            <w:tcW w:type="dxa" w:w="4320"/>
          </w:tcPr>
          <w:p>
            <w:pPr/>
            <w:r>
              <w:rPr>
                <w:sz w:val="18"/>
              </w:rPr>
              <w:t>First-Time Issuer Surcharge</w:t>
            </w:r>
          </w:p>
        </w:tc>
        <w:tc>
          <w:tcPr>
            <w:tcW w:type="dxa" w:w="4320"/>
          </w:tcPr>
          <w:p>
            <w:pPr/>
            <w:r>
              <w:rPr>
                <w:sz w:val="18"/>
              </w:rPr>
              <w:t>CHF 10,000 (one-time, if no prior securities listed)</w:t>
            </w:r>
          </w:p>
        </w:tc>
      </w:tr>
      <w:tr>
        <w:tc>
          <w:tcPr>
            <w:tcW w:type="dxa" w:w="4320"/>
          </w:tcPr>
          <w:p>
            <w:pPr/>
            <w:r>
              <w:rPr>
                <w:sz w:val="18"/>
              </w:rPr>
              <w:t>Prospectus Review</w:t>
            </w:r>
          </w:p>
        </w:tc>
        <w:tc>
          <w:tcPr>
            <w:tcW w:type="dxa" w:w="4320"/>
          </w:tcPr>
          <w:p>
            <w:pPr/>
            <w:r>
              <w:rPr>
                <w:sz w:val="18"/>
              </w:rPr>
              <w:t>CHF 5,000 (by SIX review body)</w:t>
            </w:r>
          </w:p>
        </w:tc>
      </w:tr>
      <w:tr>
        <w:tc>
          <w:tcPr>
            <w:tcW w:type="dxa" w:w="4320"/>
          </w:tcPr>
          <w:p>
            <w:pPr/>
            <w:r>
              <w:rPr>
                <w:sz w:val="18"/>
              </w:rPr>
              <w:t>Annual Maintenance Fee</w:t>
            </w:r>
          </w:p>
        </w:tc>
        <w:tc>
          <w:tcPr>
            <w:tcW w:type="dxa" w:w="4320"/>
          </w:tcPr>
          <w:p>
            <w:pPr/>
            <w:r>
              <w:rPr>
                <w:sz w:val="18"/>
              </w:rPr>
              <w:t>CHF 6,000 flat + CHF 10 per CHF 1 million market cap, max CHF 50,000</w:t>
            </w:r>
          </w:p>
        </w:tc>
      </w:tr>
      <w:tr>
        <w:tc>
          <w:tcPr>
            <w:tcW w:type="dxa" w:w="4320"/>
          </w:tcPr>
          <w:p>
            <w:pPr/>
            <w:r>
              <w:rPr>
                <w:sz w:val="18"/>
              </w:rPr>
              <w:t>Bond Listing Fee (2022-2026)</w:t>
            </w:r>
          </w:p>
        </w:tc>
        <w:tc>
          <w:tcPr>
            <w:tcW w:type="dxa" w:w="4320"/>
          </w:tcPr>
          <w:p>
            <w:pPr/>
            <w:r>
              <w:rPr>
                <w:sz w:val="18"/>
              </w:rPr>
              <w:t>7 centimes per CHF 1,000 nominal value, cap CHF 50,000 per issue</w:t>
            </w:r>
          </w:p>
        </w:tc>
      </w:tr>
      <w:tr>
        <w:tc>
          <w:tcPr>
            <w:tcW w:type="dxa" w:w="4320"/>
          </w:tcPr>
          <w:p>
            <w:pPr/>
            <w:r>
              <w:rPr>
                <w:sz w:val="18"/>
              </w:rPr>
              <w:t>Bond Listing Fee (maturity &lt;= 12 months)</w:t>
            </w:r>
          </w:p>
        </w:tc>
        <w:tc>
          <w:tcPr>
            <w:tcW w:type="dxa" w:w="4320"/>
          </w:tcPr>
          <w:p>
            <w:pPr/>
            <w:r>
              <w:rPr>
                <w:sz w:val="18"/>
              </w:rPr>
              <w:t>5 centimes per CHF 1,000 nominal value, cap CHF 3,000 per issue</w:t>
            </w:r>
          </w:p>
        </w:tc>
      </w:tr>
      <w:tr>
        <w:tc>
          <w:tcPr>
            <w:tcW w:type="dxa" w:w="4320"/>
          </w:tcPr>
          <w:p>
            <w:pPr/>
            <w:r>
              <w:rPr>
                <w:sz w:val="18"/>
              </w:rPr>
              <w:t>Example: IPO at CHF 100M market cap</w:t>
            </w:r>
          </w:p>
        </w:tc>
        <w:tc>
          <w:tcPr>
            <w:tcW w:type="dxa" w:w="4320"/>
          </w:tcPr>
          <w:p>
            <w:pPr/>
            <w:r>
              <w:rPr>
                <w:sz w:val="18"/>
              </w:rPr>
              <w:t>~CHF 19,000 total initial fees</w:t>
            </w:r>
          </w:p>
        </w:tc>
      </w:tr>
    </w:tbl>
    <w:p/>
    <w:p>
      <w:pPr>
        <w:pStyle w:val="Heading3"/>
      </w:pPr>
      <w:r>
        <w:t>10.3 Other Fees</w:t>
      </w:r>
    </w:p>
    <w:p>
      <w:pPr>
        <w:pStyle w:val="ListBullet"/>
      </w:pPr>
      <w:r>
        <w:t>Connectivity Fees: Charges for co-location, cross-connects, network access</w:t>
      </w:r>
    </w:p>
    <w:p>
      <w:pPr>
        <w:pStyle w:val="ListBullet"/>
      </w:pPr>
      <w:r>
        <w:t>Market Data Fees: Per-user and enterprise licensing for Exfeed real-time data, ITCH IMI, historical data</w:t>
      </w:r>
    </w:p>
    <w:p>
      <w:pPr>
        <w:pStyle w:val="ListBullet"/>
      </w:pPr>
      <w:r>
        <w:t>Data Analytics: Custom data analysis at CHF 250/hour</w:t>
      </w:r>
    </w:p>
    <w:p>
      <w:pPr>
        <w:pStyle w:val="ListBullet"/>
      </w:pPr>
      <w:r>
        <w:t>Annual Participation Fee: Charged to trading participants; waived for first 12 months for new participants</w:t>
      </w:r>
    </w:p>
    <w:p>
      <w:pPr>
        <w:pStyle w:val="ListBullet"/>
      </w:pPr>
      <w:r>
        <w:t>Access Fee: Additional charge for direct access to the exchange system</w:t>
      </w:r>
    </w:p>
    <w:p>
      <w:pPr>
        <w:pStyle w:val="Heading3"/>
      </w:pPr>
      <w:r>
        <w:t>10.4 SIX Group Revenue (2025)</w:t>
      </w:r>
    </w:p>
    <w:p>
      <w:pPr>
        <w:pStyle w:val="ListBullet"/>
      </w:pPr>
      <w:r>
        <w:t>SIX Group Net Operating Income: CHF 1,496.5 million (+4.7% YoY; +5.4% at constant FX)</w:t>
      </w:r>
    </w:p>
    <w:p>
      <w:pPr>
        <w:pStyle w:val="ListBullet"/>
      </w:pPr>
      <w:r>
        <w:t>EBITDA (excl. transformation costs): CHF 542.3 million (+22.2%)</w:t>
      </w:r>
    </w:p>
    <w:p>
      <w:pPr>
        <w:pStyle w:val="ListBullet"/>
      </w:pPr>
      <w:r>
        <w:t>Adjusted Group Net Result: CHF 247.2 million (+20.9%)</w:t>
      </w:r>
    </w:p>
    <w:p>
      <w:pPr>
        <w:pStyle w:val="ListBullet"/>
      </w:pPr>
      <w:r>
        <w:t>Revenue driven by: trading volumes, market data/real-time data services, indices, clearing and settlement, banking services (debit processing)</w:t>
      </w:r>
    </w:p>
    <w:p>
      <w:pPr>
        <w:pStyle w:val="ListBullet"/>
      </w:pPr>
      <w:r>
        <w:t>Reported net result impacted by CHF 560.9 million write-down on Worldline stake, leading to negative reported Group net result of CHF -313.7 million</w:t>
      </w:r>
    </w:p>
    <w:p>
      <w:r>
        <w:t>────────────────────────────────────────────────────────────</w:t>
      </w:r>
    </w:p>
    <w:p>
      <w:pPr>
        <w:pStyle w:val="Heading2"/>
      </w:pPr>
      <w:r>
        <w:t>11. Recent Developments</w:t>
      </w:r>
    </w:p>
    <w:p>
      <w:pPr>
        <w:pStyle w:val="Heading3"/>
      </w:pPr>
      <w:r>
        <w:t>System Upgrades (Last 5 Years)</w:t>
      </w:r>
    </w:p>
    <w:p>
      <w:pPr>
        <w:pStyle w:val="ListBullet"/>
      </w:pPr>
      <w:r>
        <w:t>2021: SWXess platform stability and capacity enhancements; Sparks segment infrastructure deployed</w:t>
      </w:r>
    </w:p>
    <w:p>
      <w:pPr>
        <w:pStyle w:val="ListBullet"/>
      </w:pPr>
      <w:r>
        <w:t>2022-2023: Ongoing latency optimization and throughput upgrades on X-stream INET platform</w:t>
      </w:r>
    </w:p>
    <w:p>
      <w:pPr>
        <w:pStyle w:val="ListBullet"/>
      </w:pPr>
      <w:r>
        <w:t>2024: Continued system improvements; July 31, 2024 technical outage required trading halt and service restoration [source: Bloomberg]</w:t>
      </w:r>
    </w:p>
    <w:p>
      <w:pPr>
        <w:pStyle w:val="ListBullet"/>
      </w:pPr>
      <w:r>
        <w:t>2025: SIX acquires Aquis Exchange (July 1); announces selection of Aquis Equinox matching engine as the core of new harmonized trading platform across all SIX trading venues (Swiss Exchange, BME, Aquis)</w:t>
      </w:r>
    </w:p>
    <w:p>
      <w:pPr>
        <w:pStyle w:val="ListBullet"/>
      </w:pPr>
      <w:r>
        <w:t>2025: Partnership with viaNexus announced to enhance market data distribution alongside the Equinox platform migration</w:t>
      </w:r>
    </w:p>
    <w:p>
      <w:pPr>
        <w:pStyle w:val="ListBullet"/>
      </w:pPr>
      <w:r>
        <w:t>2026 (announced): Equinox platform migration -- Phase 1a targets equity instruments migration to Equinox Production Environment in H1 2027; fixed income and structured products in 2028; derivatives to follow. "One Plug, Multiple Trading Venues" concept allows participants to access all SIX exchanges through one standardized connection</w:t>
      </w:r>
    </w:p>
    <w:p>
      <w:pPr>
        <w:pStyle w:val="ListBullet"/>
      </w:pPr>
      <w:r>
        <w:t>2025: Extended trading hours launched for structured products (08:00 - 21:45 CET, effective December 2025)</w:t>
      </w:r>
    </w:p>
    <w:p>
      <w:pPr>
        <w:pStyle w:val="Heading3"/>
      </w:pPr>
      <w:r>
        <w:t>New Products / Segments</w:t>
      </w:r>
    </w:p>
    <w:p>
      <w:pPr>
        <w:pStyle w:val="ListBullet"/>
      </w:pPr>
      <w:r>
        <w:t>SwissAtMid Enhancement: Ongoing development of non-displayed midpoint pool; Limit Plus and Iceberg Plus order types providing simultaneous lit/dark access</w:t>
      </w:r>
    </w:p>
    <w:p>
      <w:pPr>
        <w:pStyle w:val="ListBullet"/>
      </w:pPr>
      <w:r>
        <w:t>Sparks (SME Segment): Launched October 2021; shortened trading hours (15:00-17:40) to concentrate liquidity; biotech and technology SMEs among early adopters (e.g., XLIFE Sciences)</w:t>
      </w:r>
    </w:p>
    <w:p>
      <w:pPr>
        <w:pStyle w:val="ListBullet"/>
      </w:pPr>
      <w:r>
        <w:t>Structured Products: Record 169,099 new products listed in 2025 (+52.6% YoY); world's largest structured products market</w:t>
      </w:r>
    </w:p>
    <w:p>
      <w:pPr>
        <w:pStyle w:val="ListBullet"/>
      </w:pPr>
      <w:r>
        <w:t>Extended Trading Hours: New segment for structured products with trading until 21:45 CET (launched December 2025)</w:t>
      </w:r>
    </w:p>
    <w:p>
      <w:pPr>
        <w:pStyle w:val="ListBullet"/>
      </w:pPr>
      <w:r>
        <w:t>Separate Trading Line for Foreign-Listed Equities: Introduced March 2, 2026, with associated fee adjustments</w:t>
      </w:r>
    </w:p>
    <w:p>
      <w:pPr>
        <w:pStyle w:val="Heading3"/>
      </w:pPr>
      <w:r>
        <w:t>SIX Digital Exchange (SDX) -- Digital Assets</w:t>
      </w:r>
    </w:p>
    <w:p>
      <w:pPr>
        <w:pStyle w:val="ListBullet"/>
      </w:pPr>
      <w:r>
        <w:t>FINMA Licensed: SDX is the world's first fully regulated financial market infrastructure for digital assets, licensed as both a stock exchange and central securities depository (CSD) on distributed ledger technology (DLT)</w:t>
      </w:r>
    </w:p>
    <w:p>
      <w:pPr>
        <w:pStyle w:val="ListBullet"/>
      </w:pPr>
      <w:r>
        <w:t>Tokenized Securities: SDX enables issuance, trading, settlement, and custody of digital bonds and other tokenized securities; from a legal standpoint, digital bonds are equivalent to traditional bonds -- "digital" refers to the DLT-based main registry</w:t>
      </w:r>
    </w:p>
    <w:p>
      <w:pPr>
        <w:pStyle w:val="ListBullet"/>
      </w:pPr>
      <w:r>
        <w:t>Trading Consolidation: From June 1, 2025, digital bonds issued on SDX trade solely on SIX Swiss Exchange, leveraging the operational link between SIX SIS and SDX CSD; SDX continues to handle issuance, custody, settlement, and asset servicing</w:t>
      </w:r>
    </w:p>
    <w:p>
      <w:pPr>
        <w:pStyle w:val="ListBullet"/>
      </w:pPr>
      <w:r>
        <w:t>Institutional Partnerships: Citi and SDX partnership announced (2025) to unlock access to tokenized private market assets for global issuers and investors</w:t>
      </w:r>
    </w:p>
    <w:p>
      <w:pPr>
        <w:pStyle w:val="ListBullet"/>
      </w:pPr>
      <w:r>
        <w:t>Issuance Volume: SDX facilitated tokenized bond issuance exceeding CHF 400 million in notional value in 2024 [unverified]; average daily trading volumes ~CHF 2-5 million in 2025 [unverified]</w:t>
      </w:r>
    </w:p>
    <w:p>
      <w:pPr>
        <w:pStyle w:val="ListBullet"/>
      </w:pPr>
      <w:r>
        <w:t>Project Helvetia III: Swiss National Bank (SNB) successfully completed wholesale central bank digital currency (wCBDC) pilot for tokenized securities settlement on SDX; SNB announced continuation of the Helvetia Pilot for settlement in Swiss franc digital central bank money</w:t>
      </w:r>
    </w:p>
    <w:p>
      <w:pPr>
        <w:pStyle w:val="Heading3"/>
      </w:pPr>
      <w:r>
        <w:t>Regulatory Changes</w:t>
      </w:r>
    </w:p>
    <w:p>
      <w:pPr>
        <w:pStyle w:val="ListBullet"/>
      </w:pPr>
      <w:r>
        <w:t>EU Equivalence Resolution (2025): Swiss Federal Council lifted protective measures on May 1, 2025; EU narrowed share trading obligation scope, excluding Swiss-ISIN securities from Article 23 MiFIR constraints</w:t>
      </w:r>
    </w:p>
    <w:p>
      <w:pPr>
        <w:pStyle w:val="ListBullet"/>
      </w:pPr>
      <w:r>
        <w:t>UK-Switzerland BFSA (2026): Berne Financial Services Agreement implemented January 1, 2026, establishing mutual recognition of trading venue regulations between UK and Switzerland</w:t>
      </w:r>
    </w:p>
    <w:p>
      <w:pPr>
        <w:pStyle w:val="ListBullet"/>
      </w:pPr>
      <w:r>
        <w:t>Sparks Listing Rule Changes (2021): Main market minimum equity capital raised from CHF 2.5 million to CHF 25 million; Sparks segment created with reduced requirements for SMEs</w:t>
      </w:r>
    </w:p>
    <w:p>
      <w:pPr>
        <w:pStyle w:val="ListBullet"/>
      </w:pPr>
      <w:r>
        <w:t>Separate Trading Line Directive (2026): New provisions for equity securities listed abroad, effective March 2, 2026</w:t>
      </w:r>
    </w:p>
    <w:p>
      <w:pPr>
        <w:pStyle w:val="ListBullet"/>
      </w:pPr>
      <w:r>
        <w:t>Trading Parameters Update (2026): Updated Trading Parameters Guideline effective April 1, 2026</w:t>
      </w:r>
    </w:p>
    <w:p>
      <w:pPr>
        <w:pStyle w:val="Heading3"/>
      </w:pPr>
      <w:r>
        <w:t>Strategic Initiatives</w:t>
      </w:r>
    </w:p>
    <w:p>
      <w:pPr>
        <w:pStyle w:val="ListBullet"/>
      </w:pPr>
      <w:r>
        <w:t>Aquis Acquisition and Equinox Platform: SIX's acquisition of Aquis Exchange (2025) and selection of Aquis Equinox technology positions SIX as a pan-European exchange operator with a unified, ultra-low latency, 24/7-capable matching engine</w:t>
      </w:r>
    </w:p>
    <w:p>
      <w:pPr>
        <w:pStyle w:val="ListBullet"/>
      </w:pPr>
      <w:r>
        <w:t>CCP Consolidation: SIX announced plans (December 2025) to integrate SIX x-clear and BME Clearing into one international, multi-asset CCP, creating a scaled, open, and competitive clearing alternative in Europe</w:t>
      </w:r>
    </w:p>
    <w:p>
      <w:pPr>
        <w:pStyle w:val="ListBullet"/>
      </w:pPr>
      <w:r>
        <w:t>Vertically Integrated Model: SIX Group continues to operate the full Swiss Value Chain -- trading (SIX Swiss Exchange), clearing (SIX x-clear), settlement and custody (SIX SIS) -- providing end-to-end integration unique among European exchanges</w:t>
      </w:r>
    </w:p>
    <w:p>
      <w:pPr>
        <w:pStyle w:val="ListBullet"/>
      </w:pPr>
      <w:r>
        <w:t>Digital Assets Leadership: SDX positions Switzerland as a global leader in regulated digital asset infrastructure; wCBDC integration via Project Helvetia represents cutting-edge central bank collaboration</w:t>
      </w:r>
    </w:p>
    <w:p>
      <w:pPr>
        <w:pStyle w:val="ListBullet"/>
      </w:pPr>
      <w:r>
        <w:t>BME Exchange Integration: Continued integration of Spanish exchange operations following 2020 acquisition; harmonized platform planned under Equinox</w:t>
      </w:r>
    </w:p>
    <w:p>
      <w:pPr>
        <w:pStyle w:val="ListBullet"/>
      </w:pPr>
      <w:r>
        <w:t>IPO Activity: 20 successful listings across Switzerland and Spain in 2025; SMI reached all-time highs (13,288.7 in December 2025), up 14.4% for the year</w:t>
      </w:r>
    </w:p>
    <w:p>
      <w:pPr>
        <w:pStyle w:val="ListBullet"/>
      </w:pPr>
      <w:r>
        <w:t>SIX Group Financial Strength: Net operating income CHF 1,496.5 million in 2025; EBITDA margin improvement driven by scale and operating leverage</w:t>
      </w:r>
    </w:p>
    <w:p>
      <w:r>
        <w:t>────────────────────────────────────────────────────────────</w:t>
      </w:r>
    </w:p>
    <w:p>
      <w:pPr>
        <w:pStyle w:val="Heading2"/>
      </w:pPr>
      <w:r>
        <w:t>Sources</w:t>
      </w:r>
    </w:p>
    <w:p>
      <w:r>
        <w:t>[Source: SIX Group Official Website, "six-group.com -- The Swiss Stock Exchange", accessed 2026-04-06]</w:t>
      </w:r>
    </w:p>
    <w:p>
      <w:r>
        <w:t>[Source: SIX Group, "SIX Exchanges Figures: December and Full Year 2025", media release 2026-01-05, accessed 2026-04-06]</w:t>
      </w:r>
    </w:p>
    <w:p>
      <w:r>
        <w:t>[Source: SIX Group, "SIX Reports Strong Operating Results for 2025", media release 2026-03-24, accessed 2026-04-06]</w:t>
      </w:r>
    </w:p>
    <w:p>
      <w:r>
        <w:t>[Source: SIX Group, "Trading Platform -- SWXess", six-group.com/trading/trading-platform, accessed 2026-04-06]</w:t>
      </w:r>
    </w:p>
    <w:p>
      <w:r>
        <w:t>[Source: SIX Group, "Connectivity", six-group.com/trading/trading-platform/connectivity, accessed 2026-04-06]</w:t>
      </w:r>
    </w:p>
    <w:p>
      <w:r>
        <w:t>[Source: SIX Group, "Comprehensive Choice of Interfaces", six-group.com/trading/trading-platform/interfaces, accessed 2026-04-06]</w:t>
      </w:r>
    </w:p>
    <w:p>
      <w:r>
        <w:t>[Source: SIX Group, "Microwave Technology", six-group.com/trading/trading-platform/microwave, accessed 2026-04-06]</w:t>
      </w:r>
    </w:p>
    <w:p>
      <w:r>
        <w:t>[Source: SIX Group, "Trading Hours", six-group.com/trading/trading-provisions/trading-hours, accessed 2026-04-06]</w:t>
      </w:r>
    </w:p>
    <w:p>
      <w:r>
        <w:t>[Source: SIX Group, "Orders and Quotes", six-group.com/trading/trading-provisions/orders-and-quotes, accessed 2026-04-06]</w:t>
      </w:r>
    </w:p>
    <w:p>
      <w:r>
        <w:t>[Source: SIX Group, "On-order-book Trading", six-group.com/trading/trading-provisions/on-order-book-trading, accessed 2026-04-06]</w:t>
      </w:r>
    </w:p>
    <w:p>
      <w:r>
        <w:t>[Source: SIX Group, "SwissAtMid: non-displayed pool of liquidity", six-group.com/trading/markets/swissatmid, accessed 2026-04-06]</w:t>
      </w:r>
    </w:p>
    <w:p>
      <w:r>
        <w:t>[Source: SIX Group, "Exchange membership: Swiss Stock Exchange", six-group.com/trading/participation, accessed 2026-04-06]</w:t>
      </w:r>
    </w:p>
    <w:p>
      <w:r>
        <w:t>[Source: SIX Group, "Equities on the Swiss stock exchange", six-group.com/trading/markets/equities, accessed 2026-04-06]</w:t>
      </w:r>
    </w:p>
    <w:p>
      <w:r>
        <w:t>[Source: SIX Group, "Sparks for SMEs and its benefits", six-group.com/site/grow-your-business/raise-capital/sparks, accessed 2026-04-06]</w:t>
      </w:r>
    </w:p>
    <w:p>
      <w:r>
        <w:t>[Source: SIX Group, "Listing with The Swiss Stock Exchange", six-group.com/listing, accessed 2026-04-06]</w:t>
      </w:r>
    </w:p>
    <w:p>
      <w:r>
        <w:t>[Source: SIX Group, "Exfeed: the real-time data feed from SIX", six-group.com/market-data/data-services, accessed 2026-04-06]</w:t>
      </w:r>
    </w:p>
    <w:p>
      <w:r>
        <w:t>[Source: SIX Group, "SIX Launches Extended Trading Hours for Structured Products", media release 2025-12-01, accessed 2026-04-06]</w:t>
      </w:r>
    </w:p>
    <w:p>
      <w:r>
        <w:t>[Source: SIX Group, "SIX to Integrate SIX x-clear and BME Clearing into One International and Multi-Asset CCP", media release 2025-12-04, accessed 2026-04-06]</w:t>
      </w:r>
    </w:p>
    <w:p>
      <w:r>
        <w:t>[Source: SIX Group, "X-stream INET Performance Measurement Details" (PDF), accessed 2026-04-06]</w:t>
      </w:r>
    </w:p>
    <w:p>
      <w:r>
        <w:t>[Source: SIX Group, "Trading Guide" (PDF), six-group.com, accessed 2026-04-06]</w:t>
      </w:r>
    </w:p>
    <w:p>
      <w:r>
        <w:t>[Source: SER, "Trading Parameters Guideline" (PDF), ser-ag.com, dated 2026-02-05, effective 2026-04-01, accessed 2026-04-06]</w:t>
      </w:r>
    </w:p>
    <w:p>
      <w:r>
        <w:t>[Source: SER, "List of Charges under the Trading Rules SIX Swiss Exchange AG" (PDF), ser-ag.com, accessed 2026-04-06]</w:t>
      </w:r>
    </w:p>
    <w:p>
      <w:r>
        <w:t>[Source: SDX, "The World's Leading Exchange for Digital Assets", sdx.com, accessed 2026-04-06]</w:t>
      </w:r>
    </w:p>
    <w:p>
      <w:r>
        <w:t>[Source: SDX, "SDX announces the consolidation of trading for digital assets into SIX Swiss Exchange", sdx.com/news, accessed 2026-04-06]</w:t>
      </w:r>
    </w:p>
    <w:p>
      <w:r>
        <w:t>[Source: SDX, "Project Helvetia III Successfully Completed", sdx.com/news, accessed 2026-04-06]</w:t>
      </w:r>
    </w:p>
    <w:p>
      <w:r>
        <w:t>[Source: Citi, "Citi and SDX Join Forces to Unlock Access to Tokenized Private Market Assets", citigroup.com, 2025, accessed 2026-04-06]</w:t>
      </w:r>
    </w:p>
    <w:p>
      <w:r>
        <w:t>[Source: Mondovisione, "SIX To Harmonize Trading Platforms Across Its Trading Venues, With Aquis Technologies Selected As Technology Provider", 2025-10-29, accessed 2026-04-06]</w:t>
      </w:r>
    </w:p>
    <w:p>
      <w:r>
        <w:t>[Source: Baker McKenzie, "SIX Swiss Exchange -- Cross-Border Listings Guide", resourcehub.bakermckenzie.com, accessed 2026-04-06]</w:t>
      </w:r>
    </w:p>
    <w:p>
      <w:r>
        <w:t>[Source: Lenz &amp; Staehelin, "Swiss-EU dual listings: Switzerland lifts protective measures", lenzstaehelin.com, 2025, accessed 2026-04-06]</w:t>
      </w:r>
    </w:p>
    <w:p>
      <w:r>
        <w:t>[Source: Loyens &amp; Loeff, "(Non-)Equivalence of Swiss Stock Exchanges and Countermeasures", loyensloeff.com, accessed 2026-04-06]</w:t>
      </w:r>
    </w:p>
    <w:p>
      <w:r>
        <w:t>[Source: VISCHER, "Sparks: New Equity Segment for SMEs at the SIX Swiss Exchange", vischer.com, accessed 2026-04-06]</w:t>
      </w:r>
    </w:p>
    <w:p>
      <w:r>
        <w:t>[Source: CapLaw, "Sparks -- The new SIX equity segment for SMEs", caplaw.ch, 2021, accessed 2026-04-06]</w:t>
      </w:r>
    </w:p>
    <w:p>
      <w:r>
        <w:t>[Source: Chambers and Partners, "Banking Regulation 2026 -- Switzerland", practiceguides.chambers.com, accessed 2026-04-06]</w:t>
      </w:r>
    </w:p>
    <w:p>
      <w:r>
        <w:t>[Source: Wikipedia, "SIX Swiss Exchange", en.wikipedia.org, accessed 2026-04-06]</w:t>
      </w:r>
    </w:p>
    <w:p>
      <w:r>
        <w:t>[Source: Wikipedia, "SIX Group", en.wikipedia.org, accessed 2026-04-06]</w:t>
      </w:r>
    </w:p>
    <w:p>
      <w:r>
        <w:t>[Source: CEIC Data, "Switzerland Market Capitalization", ceicdata.com, accessed 2026-04-06]</w:t>
      </w:r>
    </w:p>
    <w:p>
      <w:r>
        <w:t>[Source: Bloomberg, "SIX Swiss Stock Exchange Set to Resume Some Trading After Disruption", 2024-07-31, accessed 2026-04-06]</w:t>
      </w:r>
    </w:p>
    <w:p>
      <w:r>
        <w:t>[Source: Nasdaq IR, "SIX Swiss Exchange Successfully Upgrades to INET-Based Trading Platform From NASDAQ OMX", ir.nasdaq.com,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