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Saudi Exchange (Tadawul)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Saudi Exchange (formerly Saudi Stock Exchange, Tadawul)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Tadawul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https://www.saudiexchange.sa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2007 (formal incorporation as joint stock company; electronic trading since 2001; informal stock trading since 1954)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Saudi Arabia / Riyadh (King Fahd Road)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Publicly listed on its own exchange (ticker: 1111) since December 2021; PIF retains 70%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Saudi Tadawul Group Holding Company (listed December 8, 2021 at SAR 105/share; market cap SAR 12.6B at IPO)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Capital Market Authority (CMA), established 2003 under the Capital Market Law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~SAR 10+ trillion (~USD 2.7 trillion) as of early 2026; largest exchange in the Middle East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~390+ companies (Main Market ~230+ and Nomu ~80+), plus ETFs, REITs, sukuk/bonds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SAR 4.59 billion (USD 1.22 billion) for February 2026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[unverified â specific share volume data not confirmed for 2026]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1954: Informal share trading begins in Saudi Arabia</w:t>
      </w:r>
    </w:p>
    <w:p>
      <w:pPr>
        <w:pStyle w:val="ListBullet"/>
      </w:pPr>
      <w:r>
        <w:t>1984: Saudi Arabian Monetary Agency (SAMA) begins regulating the stock market; Saudi Share Registration Company (SSRC) established</w:t>
      </w:r>
    </w:p>
    <w:p>
      <w:pPr>
        <w:pStyle w:val="ListBullet"/>
      </w:pPr>
      <w:r>
        <w:t>2001: Launch of Tadawul electronic trading, clearing, and settlement system (October 16), replacing manual processes</w:t>
      </w:r>
    </w:p>
    <w:p>
      <w:pPr>
        <w:pStyle w:val="ListBullet"/>
      </w:pPr>
      <w:r>
        <w:t>2003: Capital Market Authority (CMA) established under the Capital Market Law (Royal Decree No. M/30)</w:t>
      </w:r>
    </w:p>
    <w:p>
      <w:pPr>
        <w:pStyle w:val="ListBullet"/>
      </w:pPr>
      <w:r>
        <w:t>2007: Saudi Exchange (Tadawul) formally incorporated as a joint stock company on March 19, authorized as the sole securities exchange in Saudi Arabia</w:t>
      </w:r>
    </w:p>
    <w:p>
      <w:pPr>
        <w:pStyle w:val="ListBullet"/>
      </w:pPr>
      <w:r>
        <w:t>2008: Tadawul begins using Nasdaq OMX's SAXESS trading platform</w:t>
      </w:r>
    </w:p>
    <w:p>
      <w:pPr>
        <w:pStyle w:val="ListBullet"/>
      </w:pPr>
      <w:r>
        <w:t>2015: Qualified Foreign Investor (QFI) program launched, opening direct market access to institutional foreign investors for the first time; Saudi Tadawul Group IPO strategy initiated</w:t>
      </w:r>
    </w:p>
    <w:p>
      <w:pPr>
        <w:pStyle w:val="ListBullet"/>
      </w:pPr>
      <w:r>
        <w:t>2015: X-Stream INET trading platform launched (September 13), replacing SAXESS â first in the Middle East to adopt Nasdaq's fastest trading engine</w:t>
      </w:r>
    </w:p>
    <w:p>
      <w:pPr>
        <w:pStyle w:val="ListBullet"/>
      </w:pPr>
      <w:r>
        <w:t>2017: Nomu â Parallel Market launched (February 26) for SME listings with lighter requirements</w:t>
      </w:r>
    </w:p>
    <w:p>
      <w:pPr>
        <w:pStyle w:val="ListBullet"/>
      </w:pPr>
      <w:r>
        <w:t>2018: QFI eligibility thresholds lowered; per-investor ownership cap raised from 5% to 10%</w:t>
      </w:r>
    </w:p>
    <w:p>
      <w:pPr>
        <w:pStyle w:val="ListBullet"/>
      </w:pPr>
      <w:r>
        <w:t>2019: Saudi Aramco IPO (December 11) â raised USD 25.6 billion, the world's largest IPO; Aramco reached ~USD 1.88 trillion market cap on debut, becoming the world's most valuable listed company</w:t>
      </w:r>
    </w:p>
    <w:p>
      <w:pPr>
        <w:pStyle w:val="ListBullet"/>
      </w:pPr>
      <w:r>
        <w:t>2019: MSCI Emerging Market and FTSE Russell EM index inclusion completed (phased from May-August for MSCI, March-December for FTSE Russell), catalyzing major foreign capital inflows</w:t>
      </w:r>
    </w:p>
    <w:p>
      <w:pPr>
        <w:pStyle w:val="ListBullet"/>
      </w:pPr>
      <w:r>
        <w:t>2020: Closing Auction and Trade-at-Last session introduced; settlement cycle changed to T+2; trading hours updated</w:t>
      </w:r>
    </w:p>
    <w:p>
      <w:pPr>
        <w:pStyle w:val="ListBullet"/>
      </w:pPr>
      <w:r>
        <w:t>2020: Volatility interruption mechanism introduced for newly listed securities (Main Market) and all Nomu securities</w:t>
      </w:r>
    </w:p>
    <w:p>
      <w:pPr>
        <w:pStyle w:val="ListBullet"/>
      </w:pPr>
      <w:r>
        <w:t>2021: Saudi Tadawul Group restructured into holding company with four subsidiaries and listed on its own exchange (December 8); IPO 121x oversubscribed by institutions</w:t>
      </w:r>
    </w:p>
    <w:p>
      <w:pPr>
        <w:pStyle w:val="ListBullet"/>
      </w:pPr>
      <w:r>
        <w:t>2023: Derivatives market developments including SF30 Futures Index; GCC Exchanges Committee (chaired by Tadawul) introduced 29 Unified ESG Metrics</w:t>
      </w:r>
    </w:p>
    <w:p>
      <w:pPr>
        <w:pStyle w:val="ListBullet"/>
      </w:pPr>
      <w:r>
        <w:t>2025: Record IPO activity â 38 company listings (13 on TASI, 24 on Nomu, plus 1 ETF); tick size reform effective June 29</w:t>
      </w:r>
    </w:p>
    <w:p>
      <w:pPr>
        <w:pStyle w:val="ListBullet"/>
      </w:pPr>
      <w:r>
        <w:t>2026: QFI regime abolished; market opened to all categories of foreign investors with barrier-free direct access from February 1, 2026</w:t>
      </w:r>
    </w:p>
    <w:p>
      <w:pPr>
        <w:pStyle w:val="Heading3"/>
      </w:pPr>
      <w:r>
        <w:t>Strategic Significance â Vision 2030</w:t>
      </w:r>
    </w:p>
    <w:p>
      <w:r>
        <w:t>Saudi Exchange is a cornerstone of Saudi Vision 2030 and the Financial Sector Development Program (FSDP). Key alignment areas include:</w:t>
      </w:r>
    </w:p>
    <w:p>
      <w:pPr>
        <w:pStyle w:val="ListBullet"/>
      </w:pPr>
      <w:r>
        <w:t>Diversification from oil: The Aramco IPO was designed to raise capital for non-oil economic diversification</w:t>
      </w:r>
    </w:p>
    <w:p>
      <w:pPr>
        <w:pStyle w:val="ListBullet"/>
      </w:pPr>
      <w:r>
        <w:t>Capital market deepening: New products (derivatives, sukuk, REITs, ETFs), market segments (Nomu), and progressive foreign investor liberalization</w:t>
      </w:r>
    </w:p>
    <w:p>
      <w:pPr>
        <w:pStyle w:val="ListBullet"/>
      </w:pPr>
      <w:r>
        <w:t>Global index inclusion: MSCI and FTSE Russell EM inclusion (2019) created a virtuous cycle of visibility, foreign flows, and institutional development</w:t>
      </w:r>
    </w:p>
    <w:p>
      <w:pPr>
        <w:pStyle w:val="ListBullet"/>
      </w:pPr>
      <w:r>
        <w:t>Private sector growth: Nomu parallel market supports SME access to capital, aligning with Vision 2030's goal of increasing SME contribution to GDP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Market (TASI)**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market for large and mid-cap companies; home to blue-chip names including Saudi Aramco, SABIC, Al Rajhi Bank; tracked by the Tadawul All Share Index (TASI)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market cap SAR 300 million; 3-year operating track record; 30% minimum free float (or 20% if market cap &gt; SAR 2 billion); CMA-approved prospectus; profitability and corporate governance requirements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**Nomu â Parallel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Growth market for SMEs with lighter listing requirements; accessible only to qualified investors (institutional and high-net-worth individuals)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market cap SAR 10 million; minimum 20% free float; no profitability track record required; must appoint a financial advisor; 1-year operating track record</w:t>
            </w:r>
          </w:p>
        </w:tc>
      </w:tr>
    </w:tbl>
    <w:p/>
    <w:p>
      <w:r>
        <w:t>Additional Segments:</w:t>
      </w:r>
    </w:p>
    <w:p>
      <w:pPr>
        <w:pStyle w:val="ListBullet"/>
      </w:pPr>
      <w:r>
        <w:t>Sukuk and Bonds Market: Trading of fixed-income instruments including government sukuk and corporate bonds</w:t>
      </w:r>
    </w:p>
    <w:p>
      <w:pPr>
        <w:pStyle w:val="ListBullet"/>
      </w:pPr>
      <w:r>
        <w:t>ETFs and Mutual Funds: Listed exchange-traded funds and closed-ended investment funds</w:t>
      </w:r>
    </w:p>
    <w:p>
      <w:pPr>
        <w:pStyle w:val="ListBullet"/>
      </w:pPr>
      <w:r>
        <w:t>REITs: Listed Real Estate Investment Trusts (introduced 2016)</w:t>
      </w:r>
    </w:p>
    <w:p>
      <w:pPr>
        <w:pStyle w:val="Heading3"/>
      </w:pPr>
      <w:r>
        <w:t>2.2 Trading Sessions</w:t>
      </w:r>
    </w:p>
    <w:p>
      <w:r>
        <w:t>Note: Saudi Arabia uses Arabia Standard Time (AST, UTC+3) year-round (no daylight saving time). The trading week is Sunday to Thursday (Friday and Saturday are the weekend).</w:t>
      </w:r>
    </w:p>
    <w:p>
      <w:r>
        <w:t>Normal Trading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(AST)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09:30 - 10:00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can be entered, amended, cancelled; no matching; indicative prices displayed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Opening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10:00:00 - 10:00:30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07:00:00 - 07:00:30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Random uncross within 30-second window determines opening price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07:00 - 12:00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order matching by price-time priority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Pre-Close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15:00 - 15:10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12:00 - 12:10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Closing auction order accumulation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Auction Uncross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15:10:00 - 15:10:30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12:10:00 - 12:10:30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Random uncross within 30-second window determines closing price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Trade-at-Last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15:10 - 15:20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12:10 - 12:20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Trading permitted only at the closing auction price</w:t>
            </w:r>
          </w:p>
        </w:tc>
      </w:tr>
    </w:tbl>
    <w:p/>
    <w:p>
      <w:pPr>
        <w:pStyle w:val="ListBullet"/>
      </w:pPr>
      <w:r>
        <w:t>Total Continuous Trading: 5 hours per day (10:00-15:00 AST)</w:t>
      </w:r>
    </w:p>
    <w:p>
      <w:pPr>
        <w:pStyle w:val="ListBullet"/>
      </w:pPr>
      <w:r>
        <w:t>No lunch break (unlike many Asian exchanges)</w:t>
      </w:r>
    </w:p>
    <w:p>
      <w:pPr>
        <w:pStyle w:val="ListBullet"/>
      </w:pPr>
      <w:r>
        <w:t>Randomized open/close: Both opening and closing auction uncross times are randomized within a 30-second window to enhance market integrity</w:t>
      </w:r>
    </w:p>
    <w:p>
      <w:pPr>
        <w:pStyle w:val="Heading3"/>
      </w:pPr>
      <w:r>
        <w:t>2.3 Tick Sizes</w:t>
      </w:r>
    </w:p>
    <w:p>
      <w:r>
        <w:t>Equity Tick Size Bands (effective June 29, 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 (SAR)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 (SAR)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Below 25.00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25.00 - 49.98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50.00 - 99.95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100.00 - 249.90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250.00 - 499.75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500.00 and above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0.50</w:t>
            </w:r>
          </w:p>
        </w:tc>
      </w:tr>
    </w:tbl>
    <w:p/>
    <w:p>
      <w:r>
        <w:t>The June 2025 reform lowered the minimum tick for sub-SAR 25 securities from SAR 0.02 to SAR 0.01, and introduced new bands for higher-priced securities. The reform applies to both Main Market and Nomu, excluding debt instruments.</w:t>
      </w:r>
    </w:p>
    <w:p>
      <w:r>
        <w:t>Source: Saudi Exchange announcement, June 26, 2025; Sahm Capital</w:t>
      </w:r>
    </w:p>
    <w:p>
      <w:pPr>
        <w:pStyle w:val="Heading3"/>
      </w:pPr>
      <w:r>
        <w:t>2.4 Lot Sizes</w:t>
      </w:r>
    </w:p>
    <w:p>
      <w:pPr>
        <w:pStyle w:val="ListBullet"/>
      </w:pPr>
      <w:r>
        <w:t>Standard lot: 1 share (minimum tradeable quantity is 1 share) [unverified â some sources indicate odd lot trading availability; confirm with official rules]</w:t>
      </w:r>
    </w:p>
    <w:p>
      <w:pPr>
        <w:pStyle w:val="ListBullet"/>
      </w:pPr>
      <w:r>
        <w:t>Odd lot trading: Available</w:t>
      </w:r>
    </w:p>
    <w:p>
      <w:pPr>
        <w:pStyle w:val="Heading3"/>
      </w:pPr>
      <w:r>
        <w:t>2.5 Market Maker / Liquidity Provider Programs</w:t>
      </w:r>
    </w:p>
    <w:p>
      <w:pPr>
        <w:pStyle w:val="ListBullet"/>
      </w:pPr>
      <w:r>
        <w:t>Saudi Exchange operates a market-making framework to enhance liquidity for listed securities</w:t>
      </w:r>
    </w:p>
    <w:p>
      <w:pPr>
        <w:pStyle w:val="ListBullet"/>
      </w:pPr>
      <w:r>
        <w:t>Market makers are licensed by CMA and provide continuous two-sided quotes</w:t>
      </w:r>
    </w:p>
    <w:p>
      <w:pPr>
        <w:pStyle w:val="ListBullet"/>
      </w:pPr>
      <w:r>
        <w:t>Coverage includes equities, ETFs, and derivatives [unverified â detailed programme terms not confirmed]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Auction: During the Pre-Open phase (09:30-10:00 AST), orders accumulate without matching. The system displays indicative opening prices. At 10:00, a randomized uncross occurs within a 30-second window (10:00:00-10:00:30), determining the opening price via a single-price auction that maximizes executable volume.</w:t>
      </w:r>
    </w:p>
    <w:p>
      <w:pPr>
        <w:pStyle w:val="ListBullet"/>
      </w:pPr>
      <w:r>
        <w:t>Closing Auction: The Pre-Close phase begins at 15:00 AST. Orders accumulate for 10 minutes. At 15:10, a randomized uncross within 30 seconds determines the closing price. This closing price is the official price used for index calculations, NAV computations, and settlement.</w:t>
      </w:r>
    </w:p>
    <w:p>
      <w:pPr>
        <w:pStyle w:val="ListBullet"/>
      </w:pPr>
      <w:r>
        <w:t>Trade-at-Last: After the closing auction uncross (15:10-15:20 AST), participants may execute orders only at the closing auction price. This session provides additional liquidity at the established closing price.</w:t>
      </w:r>
    </w:p>
    <w:p>
      <w:pPr>
        <w:pStyle w:val="ListBullet"/>
      </w:pPr>
      <w:r>
        <w:t>Volatility Auction (Interruption): When a security price reaches the +/-10% static price limit, continuous trading halts and a 5-minute call auction is initiated. The auction price becomes the new reference price, after which continuous trading resumes.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Type: Order-driven market</w:t>
      </w:r>
    </w:p>
    <w:p>
      <w:pPr>
        <w:pStyle w:val="ListBullet"/>
      </w:pPr>
      <w:r>
        <w:t>Priority: Price-time priority (best price first, then earliest entry time at the same price)</w:t>
      </w:r>
    </w:p>
    <w:p>
      <w:pPr>
        <w:pStyle w:val="ListBullet"/>
      </w:pPr>
      <w:r>
        <w:t>Session: 10:00 - 15:00 AST (5 hours)</w:t>
      </w:r>
    </w:p>
    <w:p>
      <w:pPr>
        <w:pStyle w:val="ListBullet"/>
      </w:pPr>
      <w:r>
        <w:t>Matching: Continuous automatic matching via the X-Stream INET engine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price: Determined by single-price auction algorithm maximizing tradable volume at the uncross</w:t>
      </w:r>
    </w:p>
    <w:p>
      <w:pPr>
        <w:pStyle w:val="ListBullet"/>
      </w:pPr>
      <w:r>
        <w:t>Closing price: Determined by closing auction uncross; if no closing auction trade occurs, the last traded price during continuous trading is used [unverified]</w:t>
      </w:r>
    </w:p>
    <w:p>
      <w:pPr>
        <w:pStyle w:val="ListBullet"/>
      </w:pPr>
      <w:r>
        <w:t>Reference price: Previous session's closing auction price; serves as the baseline for daily price limits</w:t>
      </w:r>
    </w:p>
    <w:p>
      <w:pPr>
        <w:pStyle w:val="ListBullet"/>
      </w:pPr>
      <w:r>
        <w:t>Randomized uncross: Both open and close uncross times are randomized within 30 seconds to prevent manipulation and enhance price integrity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Buy or sell at a specified price or better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immediately at the best available price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a pre-set price level is reached [unverified â availability may be broker-dependent]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Auction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only in opening or closing auctions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current trading session only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Immediate or Cancel â fill what is possible, cancel remainder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Fill or Kill â execute in full or cancel entirely</w:t>
            </w:r>
          </w:p>
        </w:tc>
      </w:tr>
    </w:tbl>
    <w:p/>
    <w:p>
      <w:r>
        <w:t>Note: Detailed order type specifications and full TIF options should be confirmed from official Tadawul Trading and Membership Procedures.</w:t>
      </w:r>
    </w:p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can be modified or cancelled during Pre-Open and Continuous Trading sessions</w:t>
      </w:r>
    </w:p>
    <w:p>
      <w:pPr>
        <w:pStyle w:val="ListBullet"/>
      </w:pPr>
      <w:r>
        <w:t>Modifications that change price or increase quantity lose time priority</w:t>
      </w:r>
    </w:p>
    <w:p>
      <w:pPr>
        <w:pStyle w:val="ListBullet"/>
      </w:pPr>
      <w:r>
        <w:t>During Non-Cancel (uncross) periods, cancellations are not permitted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X-Stream INET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Technology (licensed from Nasdaq, Inc.)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Multi-asset trading platform supporting equities, sukuk, bonds, ETFs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X-Stream INET â multi-matching engine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Under 40 microseconds (at launch in 2015)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40,000 orders per second sustained throughput (at launch)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[unverified â current capacity likely higher than 2015 specs]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2015 (went live September 13, 2015)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Pre-2001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Manual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Paper-based, broker-mediated transactions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2001-2008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Tadawul Electronic 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electronic trading, clearing, and settlement system; launched October 16, 2001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2008-2015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SAXESS (Nasdaq OMX)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OMX trading platform; upgraded Tadawul's capacity significantly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2015-present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X-Stream INET (Nasdaq)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World's fastest multi-asset trading engine at the time; first in Middle East; 40K orders/sec, &lt;40 microsecond latency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Nasdaq X-Stream INET platform for order matching and execution</w:t>
      </w:r>
    </w:p>
    <w:p>
      <w:pPr>
        <w:pStyle w:val="ListBullet"/>
      </w:pPr>
      <w:r>
        <w:t>Nasdaq post-trade technology for clearing and settlement (via Muqassa, the CCP subsidiary)</w:t>
      </w:r>
    </w:p>
    <w:p>
      <w:pPr>
        <w:pStyle w:val="ListBullet"/>
      </w:pPr>
      <w:r>
        <w:t>Nasdaq Surveillance (SMARTS) for market surveillance [unverified]</w:t>
      </w:r>
    </w:p>
    <w:p>
      <w:pPr>
        <w:pStyle w:val="ListBullet"/>
      </w:pPr>
      <w:r>
        <w:t>Market data dissemination infrastructure supporting real-time and delayed feeds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Disaster recovery site maintained [unverified â specific location and RTO/RPO not publicly disclosed]</w:t>
      </w:r>
    </w:p>
    <w:p>
      <w:pPr>
        <w:pStyle w:val="ListBullet"/>
      </w:pPr>
      <w:r>
        <w:t>Business continuity plans governed by CMA regulations and Saudi Tadawul Group operational resilience framework</w:t>
      </w:r>
    </w:p>
    <w:p>
      <w:r>
        <w:t>Sources: Argaam; Nasdaq IR; Arab News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Data Feed (MDF)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 exchange feed sourced from Tadawul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and delayed market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 Consolidated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Third-party normalized data via 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Global distribution, multi-exchange consolidation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Best Price (Level 1): Last sale price, best bid and offer</w:t>
      </w:r>
    </w:p>
    <w:p>
      <w:pPr>
        <w:pStyle w:val="ListBullet"/>
      </w:pPr>
      <w:r>
        <w:t>Market Depth (Level 2): Best five bid and offer prices and quantities</w:t>
      </w:r>
    </w:p>
    <w:p>
      <w:pPr>
        <w:pStyle w:val="ListBullet"/>
      </w:pPr>
      <w:r>
        <w:t>Premium (Full Depth): Complete order book depth via dedicated channels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Direct exchange feeds available to licensed data vendors and members</w:t>
      </w:r>
    </w:p>
    <w:p>
      <w:pPr>
        <w:pStyle w:val="ListBullet"/>
      </w:pPr>
      <w:r>
        <w:t>Third-party redistribution through global vendors (Bloomberg, Refinitiv, ICE, etc.)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Historical price and trading data available through the Saudi Exchange website and licensed data providers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Members must be established in the Kingdom of Saudi Arabia</w:t>
      </w:r>
    </w:p>
    <w:p>
      <w:pPr>
        <w:pStyle w:val="ListBullet"/>
      </w:pPr>
      <w:r>
        <w:t>Must hold a valid dealing license from the CMA</w:t>
      </w:r>
    </w:p>
    <w:p>
      <w:pPr>
        <w:pStyle w:val="ListBullet"/>
      </w:pPr>
      <w:r>
        <w:t>Must complete Saudi Exchange membership requirements and technical certification</w:t>
      </w:r>
    </w:p>
    <w:p>
      <w:pPr>
        <w:pStyle w:val="ListBullet"/>
      </w:pPr>
      <w:r>
        <w:t>As of February 2026, foreign investors can access the market directly through licensed Saudi intermediaries without QFI status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Direct Market Access (DMA)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Through licensed member brokers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Sponsored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[unverified â availability to be confirmed]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[unverified â co-location services not confirmed from available sources; likely available given Nasdaq technology stack]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Standard protocol for order routing and execution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ITCH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data dissemination (Nasdaq native protocol) [unverified]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Technical certification required before members can connect to the production trading environment</w:t>
      </w:r>
    </w:p>
    <w:p>
      <w:pPr>
        <w:pStyle w:val="ListBullet"/>
      </w:pPr>
      <w:r>
        <w:t>Testing environment provided for connectivity and order management validation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Static Daily Price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+/- 10% from reference price (previous close)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 beyond the limit are rejected; if price hits the limit, volatility interruption is triggered</w:t>
            </w:r>
          </w:p>
        </w:tc>
      </w:tr>
    </w:tbl>
    <w:p/>
    <w:p>
      <w:pPr>
        <w:pStyle w:val="Heading3"/>
      </w:pPr>
      <w:r>
        <w:t>8.2 Circuit Breakers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Volatility Interruption (Individual Security)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Security price reaches +/- 10% static price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5-minute call auction; auction price becomes new reference price; continuous trading resumes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Newly Listed Securities (Main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+/- 10% limit applies for the first 3 trading days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5-minute call auction upon trigger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Nomu â Parallel Market (All Securities)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+/- 10% limit on continuous basis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5-minute call auction upon trigger</w:t>
            </w:r>
          </w:p>
        </w:tc>
      </w:tr>
    </w:tbl>
    <w:p/>
    <w:p>
      <w:r>
        <w:t>Note: Market-wide circuit breakers (index-level halts) are not prominently documented in available sources. Individual security volatility interruptions are the primary mechanism. [unverified â confirm whether index-level circuit breakers exist]</w:t>
      </w:r>
    </w:p>
    <w:p>
      <w:pPr>
        <w:pStyle w:val="Heading3"/>
      </w:pPr>
      <w:r>
        <w:t>8.3 Pre-trade Risk Controls</w:t>
      </w:r>
    </w:p>
    <w:p>
      <w:pPr>
        <w:pStyle w:val="ListBullet"/>
      </w:pPr>
      <w:r>
        <w:t>Fat-finger checks: Orders beyond the daily price limit (+/- 10%) are automatically rejected</w:t>
      </w:r>
    </w:p>
    <w:p>
      <w:pPr>
        <w:pStyle w:val="ListBullet"/>
      </w:pPr>
      <w:r>
        <w:t>Order size limits: Maximum order value and quantity limits set by brokers and the exchange [unverified â specific thresholds not confirmed]</w:t>
      </w:r>
    </w:p>
    <w:p>
      <w:pPr>
        <w:pStyle w:val="ListBullet"/>
      </w:pPr>
      <w:r>
        <w:t>Throttling: Message rate controls likely enforced at the gateway level (consistent with X-Stream INET architecture) [unverified]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[unverified â kill switch capability not confirmed from available sources; expected as part of Nasdaq technology platform]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Capital Market Authority (CMA) â established in 2003 under the Capital Market Law (Royal Decree No. M/30, dated 2003)</w:t>
      </w:r>
    </w:p>
    <w:p>
      <w:pPr>
        <w:pStyle w:val="ListBullet"/>
      </w:pPr>
      <w:r>
        <w:t>CMA is an independent government authority reporting directly to the Prime Minister</w:t>
      </w:r>
    </w:p>
    <w:p>
      <w:pPr>
        <w:pStyle w:val="ListBullet"/>
      </w:pPr>
      <w:r>
        <w:t>Responsible for regulating and developing the Saudi capital market, protecting investors, and ensuring market fairness and transparency</w:t>
      </w:r>
    </w:p>
    <w:p>
      <w:pPr>
        <w:pStyle w:val="ListBullet"/>
      </w:pPr>
      <w:r>
        <w:t>Website: https://cma.org.sa</w:t>
      </w:r>
    </w:p>
    <w:p>
      <w:pPr>
        <w:pStyle w:val="Heading3"/>
      </w:pPr>
      <w:r>
        <w:t>9.2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Capital Market Law (2003)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Foundational legislation establishing CMA, authorizing the exchange, and setting framework for securities regulation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Rules for Foreign Investment in Securities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Governed foreign access via QFI regime (2015-2026); amended January 2026 to grant barrier-free access to all foreign investors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Listing Rules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Requirements for Main Market and Nomu listings; includes corporate governance, disclosure, and free float requirements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Conduct Regulations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Prohibitions on insider trading, market manipulation, and fraud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Anti-Money Laundering / Counter-Terrorist Financing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Compliance requirements for all market participants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Corporate Governance Regulations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Board composition, audit committees, disclosure obligations for listed companies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ESG Disclosure Guidelines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Voluntary guidelines launched by Tadawul (2021); growing adoption with companies reporting ESG performance almost tripling since launch</w:t>
            </w:r>
          </w:p>
        </w:tc>
      </w:tr>
    </w:tbl>
    <w:p/>
    <w:p>
      <w:pPr>
        <w:pStyle w:val="Heading3"/>
      </w:pPr>
      <w:r>
        <w:t>9.3 Market Surveillance</w:t>
      </w:r>
    </w:p>
    <w:p>
      <w:pPr>
        <w:pStyle w:val="ListBullet"/>
      </w:pPr>
      <w:r>
        <w:t>CMA conducts market surveillance to detect insider trading, market manipulation, and other violations</w:t>
      </w:r>
    </w:p>
    <w:p>
      <w:pPr>
        <w:pStyle w:val="ListBullet"/>
      </w:pPr>
      <w:r>
        <w:t>Nasdaq SMARTS surveillance technology utilized [unverified]</w:t>
      </w:r>
    </w:p>
    <w:p>
      <w:pPr>
        <w:pStyle w:val="ListBullet"/>
      </w:pPr>
      <w:r>
        <w:t>Real-time monitoring of trading patterns, unusual price and volume movements</w:t>
      </w:r>
    </w:p>
    <w:p>
      <w:pPr>
        <w:pStyle w:val="ListBullet"/>
      </w:pPr>
      <w:r>
        <w:t>CMA has enforcement powers including fines, trading suspensions, and criminal referrals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Listed companies must file annual and interim financial statements</w:t>
      </w:r>
    </w:p>
    <w:p>
      <w:pPr>
        <w:pStyle w:val="ListBullet"/>
      </w:pPr>
      <w:r>
        <w:t>Material event disclosure requirements (continuous disclosure)</w:t>
      </w:r>
    </w:p>
    <w:p>
      <w:pPr>
        <w:pStyle w:val="ListBullet"/>
      </w:pPr>
      <w:r>
        <w:t>Major shareholder notifications (5% threshold)</w:t>
      </w:r>
    </w:p>
    <w:p>
      <w:pPr>
        <w:pStyle w:val="ListBullet"/>
      </w:pPr>
      <w:r>
        <w:t>ESG reporting increasingly encouraged (voluntary, with mandatory elements expected under Vision 2030 roadmap) [unverified]</w:t>
      </w:r>
    </w:p>
    <w:p>
      <w:pPr>
        <w:pStyle w:val="Heading3"/>
      </w:pPr>
      <w:r>
        <w:t>9.5 Cross-border Arrangements</w:t>
      </w:r>
    </w:p>
    <w:p>
      <w:r>
        <w:t>Foreign Investor Access Evolution: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Pre-2015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Foreign access only via swap agreements and P-Notes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QFI program launched â institutional investors with USD 5 billion+ AUM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QFI threshold lowered; ownership caps raised from 5% to 10% per investor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Foreign Strategic Investor (FSI) framework introduced; MSCI EM and FTSE Russell EM inclusion completed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 (Feb 1)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**QFI regime abolished** â all foreign investors granted barrier-free direct access through licensed Saudi intermediaries; swap agreement framework discontinued</w:t>
            </w:r>
          </w:p>
        </w:tc>
      </w:tr>
    </w:tbl>
    <w:p/>
    <w:p>
      <w:r>
        <w:t>Current Foreign Ownership Limits (as of February 2026):</w:t>
      </w:r>
    </w:p>
    <w:p>
      <w:pPr>
        <w:pStyle w:val="ListBullet"/>
      </w:pPr>
      <w:r>
        <w:t>49% aggregate foreign ownership cap per listed company</w:t>
      </w:r>
    </w:p>
    <w:p>
      <w:pPr>
        <w:pStyle w:val="ListBullet"/>
      </w:pPr>
      <w:r>
        <w:t>10% cap per single foreign investor</w:t>
      </w:r>
    </w:p>
    <w:p>
      <w:pPr>
        <w:pStyle w:val="ListBullet"/>
      </w:pPr>
      <w:r>
        <w:t>Foreign strategic investors subject to separate rules for ownership beyond standard limits</w:t>
      </w:r>
    </w:p>
    <w:p>
      <w:r>
        <w:t>Foreign Holdings: Total foreign holding value reached SAR 443.78 billion (USD 118.34 billion) at the end of February 2026.</w:t>
      </w:r>
    </w:p>
    <w:p>
      <w:r>
        <w:t>MSCI EM Inclusion (2019): Saudi Arabia was added to the MSCI Emerging Markets Index in a two-phase process (May and August 2019), significantly increasing passive and active foreign fund flows. QFI-owned holdings increased to SAR 134.48 billion in 2019. The inclusion was a key milestone under Vision 2030's Financial Sector Development Program.</w:t>
      </w:r>
    </w:p>
    <w:p>
      <w:r>
        <w:t>Sources: Greenberg Traurig; CMA announcement; Bloomberg/Tadawul; Latham &amp; Watkins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on transaction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~0.00105 (10.5 bps) of transaction value [unverified â rate may vary]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CMA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 fee on transaction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~0.0003 (3 bps) of transaction value</w:t>
            </w:r>
          </w:p>
        </w:tc>
      </w:tr>
    </w:tbl>
    <w:p/>
    <w:p>
      <w:pPr>
        <w:pStyle w:val="Heading3"/>
      </w:pPr>
      <w:r>
        <w:t>10.2 Other Fees</w:t>
      </w:r>
    </w:p>
    <w:p>
      <w:pPr>
        <w:pStyle w:val="ListBullet"/>
      </w:pPr>
      <w:r>
        <w:t>Listing fees: Companies pay annual listing fees comprising a fixed component and a variable component based on number of shares [unverified â specific amounts not confirmed]</w:t>
      </w:r>
    </w:p>
    <w:p>
      <w:pPr>
        <w:pStyle w:val="ListBullet"/>
      </w:pPr>
      <w:r>
        <w:t>Market data fees: Tiered fees based on data level (Best Price, Market Depth, Premium) and redistribution type</w:t>
      </w:r>
    </w:p>
    <w:p>
      <w:pPr>
        <w:pStyle w:val="ListBullet"/>
      </w:pPr>
      <w:r>
        <w:t>Co-location fees: [unverified â not confirmed]</w:t>
      </w:r>
    </w:p>
    <w:p>
      <w:r>
        <w:t>Source: Sahm Capital fee schedule; Saudi Exchange fees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2020: Introduction of closing auction mechanism and Trade-at-Last session</w:t>
      </w:r>
    </w:p>
    <w:p>
      <w:pPr>
        <w:pStyle w:val="ListBullet"/>
      </w:pPr>
      <w:r>
        <w:t>2020: Settlement cycle updated to T+2 to align with international standards</w:t>
      </w:r>
    </w:p>
    <w:p>
      <w:pPr>
        <w:pStyle w:val="ListBullet"/>
      </w:pPr>
      <w:r>
        <w:t>2025: Tick size band reform (effective June 29, 2025) â six-tier structure with lower minimums for sub-SAR 25 securities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Derivatives: SF30 Futures Index and ongoing development of equity derivatives; Saudi Exchange preparing new generation of debt and derivatives products</w:t>
      </w:r>
    </w:p>
    <w:p>
      <w:pPr>
        <w:pStyle w:val="ListBullet"/>
      </w:pPr>
      <w:r>
        <w:t>ESG: ESG Disclosure Guidelines launched (2021); GCC Unified ESG Metrics (29 metrics) introduced 2023 under Tadawul chairmanship of GCC Exchanges Committee</w:t>
      </w:r>
    </w:p>
    <w:p>
      <w:pPr>
        <w:pStyle w:val="ListBullet"/>
      </w:pPr>
      <w:r>
        <w:t>ETFs: Growing ETF market with new listings including Albilad MSCI Saudi Equity ETF (2025)</w:t>
      </w:r>
    </w:p>
    <w:p>
      <w:pPr>
        <w:pStyle w:val="ListBullet"/>
      </w:pPr>
      <w:r>
        <w:t>REITs: Expanding REIT market supporting real estate sector development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February 2026: QFI regime abolished; market fully opened to all foreign investor categories with barrier-free access</w:t>
      </w:r>
    </w:p>
    <w:p>
      <w:pPr>
        <w:pStyle w:val="ListBullet"/>
      </w:pPr>
      <w:r>
        <w:t>2025-2026: CMA introduced new Instructions for Foreign Strategic Investors' Ownership, codifying 49% aggregate and 10% per-investor foreign ownership limits</w:t>
      </w:r>
    </w:p>
    <w:p>
      <w:pPr>
        <w:pStyle w:val="ListBullet"/>
      </w:pPr>
      <w:r>
        <w:t>2025: Amendments to listing rules and tick sizes under FSDP roadmap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Vision 2030 / FSDP alignment: Ongoing reforms to deepen capital markets, increase market cap as percentage of GDP, and diversify the economy away from oil dependence</w:t>
      </w:r>
    </w:p>
    <w:p>
      <w:pPr>
        <w:pStyle w:val="ListBullet"/>
      </w:pPr>
      <w:r>
        <w:t>IPO pipeline: ~40 IPO applications under CMA review at end of 2025, spanning energy, healthcare, financial services, real estate, mining, and technology</w:t>
      </w:r>
    </w:p>
    <w:p>
      <w:pPr>
        <w:pStyle w:val="ListBullet"/>
      </w:pPr>
      <w:r>
        <w:t>Offshore Securities Business License: Launched to attract international intermediaries to operate in the Saudi market</w:t>
      </w:r>
    </w:p>
    <w:p>
      <w:pPr>
        <w:pStyle w:val="ListBullet"/>
      </w:pPr>
      <w:r>
        <w:t>Data as investment product: Saudi Exchange investing in data services as a standalone revenue stream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[Saudi Exchange Official Website](https://www.saudiexchange.sa) â Market data, rules, fees, and trading information</w:t>
      </w:r>
    </w:p>
    <w:p>
      <w:pPr>
        <w:pStyle w:val="ListNumber"/>
      </w:pPr>
      <w:r>
        <w:t>[Saudi Exchange â Wikipedia](https://en.wikipedia.org/wiki/Saudi_Exchange) â Historical overview and general information</w:t>
      </w:r>
    </w:p>
    <w:p>
      <w:pPr>
        <w:pStyle w:val="ListNumber"/>
      </w:pPr>
      <w:r>
        <w:t>[Saudi Exchange â Saudipedia](https://saudipedia.com/en/article/2003/economy-and-business/finance/saudi-exchange-tadawul) â Background and history</w:t>
      </w:r>
    </w:p>
    <w:p>
      <w:pPr>
        <w:pStyle w:val="ListNumber"/>
      </w:pPr>
      <w:r>
        <w:t>[Saudi Tadawul Group â Annual Report 2021 (IPO section)](https://annualreport.tadawulgroup.sa/Resources/AnnualReport2021/company_profile/the_ipo.html) â IPO details and organizational restructuring</w:t>
      </w:r>
    </w:p>
    <w:p>
      <w:pPr>
        <w:pStyle w:val="ListNumber"/>
      </w:pPr>
      <w:r>
        <w:t>[PIF â Saudi Tadawul Group](https://www.pif.gov.sa/en/our-investments/our-portfolio/saudi-tadawul-group/) â Ownership information</w:t>
      </w:r>
    </w:p>
    <w:p>
      <w:pPr>
        <w:pStyle w:val="ListNumber"/>
      </w:pPr>
      <w:r>
        <w:t>[Argaam â X-Stream INET launch](https://www.argaam.com/en/article/articledetail/id/386855) â Trading system go-live details</w:t>
      </w:r>
    </w:p>
    <w:p>
      <w:pPr>
        <w:pStyle w:val="ListNumber"/>
      </w:pPr>
      <w:r>
        <w:t>[Nasdaq IR â Tadawul extends contract](https://ir.nasdaq.com/news-releases/news-release-details/photo-release-tadawul-bolsters-trading-technology-extends) â Technology partnership details</w:t>
      </w:r>
    </w:p>
    <w:p>
      <w:pPr>
        <w:pStyle w:val="ListNumber"/>
      </w:pPr>
      <w:r>
        <w:t>[Greenberg Traurig â QFI Abolishment](https://www.gtlaw.com/en/insights/2026/01/saudi-arabia-abolishes-qfi-status-and-opens-the-market-to-all-foreign-investors) â 2026 foreign investor access reforms</w:t>
      </w:r>
    </w:p>
    <w:p>
      <w:pPr>
        <w:pStyle w:val="ListNumber"/>
      </w:pPr>
      <w:r>
        <w:t>[CMA â Foreign Investor Opening announcement](https://cma.gov.sa/en/MediaCenter/NEWS/Pages/CMA_N_3974.aspx) â Official CMA announcement</w:t>
      </w:r>
    </w:p>
    <w:p>
      <w:pPr>
        <w:pStyle w:val="ListNumber"/>
      </w:pPr>
      <w:r>
        <w:t>[Bloomberg/Tadawul â Foreign Equity Flows](https://sponsored.bloomberg.com/article/tadawul/saudi-stock-exchange-is-a-top-destination-for-foreign-equity-flows) â Foreign investment statistics</w:t>
      </w:r>
    </w:p>
    <w:p>
      <w:pPr>
        <w:pStyle w:val="ListNumber"/>
      </w:pPr>
      <w:r>
        <w:t>[Mondovisione â Tick Size Amendment](https://mondovisione.com/media-and-resources/news/the-saudi-exchange-amends-tick-size-bands-of-securities-to-enhance-market-effici-2025626) â June 2025 tick size reform</w:t>
      </w:r>
    </w:p>
    <w:p>
      <w:pPr>
        <w:pStyle w:val="ListNumber"/>
      </w:pPr>
      <w:r>
        <w:t>[Sahm Capital â Tick Size Changes](https://www.sahmcapital.com/support/detail/tick-size-changes-in-the-saudi-stock-market) â Tick size band details</w:t>
      </w:r>
    </w:p>
    <w:p>
      <w:pPr>
        <w:pStyle w:val="ListNumber"/>
      </w:pPr>
      <w:r>
        <w:t>[Sahm Capital â Fee Schedule](https://www.sahmcapital.com/support/detail/saudi-arabia-stock-fees-schedule) â Trading fee information</w:t>
      </w:r>
    </w:p>
    <w:p>
      <w:pPr>
        <w:pStyle w:val="ListNumber"/>
      </w:pPr>
      <w:r>
        <w:t>[CNBC â Aramco IPO](https://www.cnbc.com/2019/12/11/saudi-aramco-ipo-shares-surge-as-trading-begins.html) â Aramco IPO debut</w:t>
      </w:r>
    </w:p>
    <w:p>
      <w:pPr>
        <w:pStyle w:val="ListNumber"/>
      </w:pPr>
      <w:r>
        <w:t>[CNN â Aramco IPO USD 25.6B](https://edition.cnn.com/2019/12/05/investing/saudi-aramco-ipo-price) â Aramco IPO pricing</w:t>
      </w:r>
    </w:p>
    <w:p>
      <w:pPr>
        <w:pStyle w:val="ListNumber"/>
      </w:pPr>
      <w:r>
        <w:t>[Brookings â Aramco IPO analysis](https://www.brookings.edu/articles/the-saudi-aramco-ipo-breaks-records-but-falls-short-of-expectations/) â Aramco IPO strategic significance</w:t>
      </w:r>
    </w:p>
    <w:p>
      <w:pPr>
        <w:pStyle w:val="ListNumber"/>
      </w:pPr>
      <w:r>
        <w:t>[Argaam â 2025 IPOs](https://www.argaam.com/en/article/articledetail/id/1869916) â 2025 IPO activity statistics</w:t>
      </w:r>
    </w:p>
    <w:p>
      <w:pPr>
        <w:pStyle w:val="ListNumber"/>
      </w:pPr>
      <w:r>
        <w:t>[Saudi Exchange â Closing Auction and Trade-at-Last](https://www.saudiexchange.sa/wps/portal/saudiexchange/rules-guidance/capital-market-overview/closing-auction-and-trade-at-last) â Trading session details</w:t>
      </w:r>
    </w:p>
    <w:p>
      <w:pPr>
        <w:pStyle w:val="ListNumber"/>
      </w:pPr>
      <w:r>
        <w:t>[Baker McKenzie â Saudi Capital Markets Evolution (2026)](https://www.bakermckenzie.com/-/media/files/insight/publications/2026/01/saudi-arabia_the-evolution-of-capital-markets-continues-to-accelerate.pdf) â Regulatory evolution overview</w:t>
      </w:r>
    </w:p>
    <w:p>
      <w:pPr>
        <w:pStyle w:val="ListNumber"/>
      </w:pPr>
      <w:r>
        <w:t>[Latham &amp; Watkins â CMA Broadens Foreign Access](https://www.lw.com/en/insights/saudi-cma-broadens-main-market-access-for-foreign-investors) â Foreign investor reforms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