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EU/UK Equities Market Regulation</w:t>
      </w:r>
    </w:p>
    <w:p>
      <w:r>
        <w:rPr>
          <w:i/>
          <w:sz w:val="18"/>
        </w:rPr>
        <w:t>**Last Updated:** 2026-04-06</w:t>
      </w:r>
    </w:p>
    <w:p>
      <w:r>
        <w:rPr>
          <w:i/>
          <w:sz w:val="18"/>
        </w:rPr>
        <w:t>**Research Tier:** Tier 1</w:t>
      </w:r>
    </w:p>
    <w:p>
      <w:r>
        <w:rPr>
          <w:i/>
          <w:sz w:val="18"/>
        </w:rPr>
        <w:t>**Domain:** Equities — Regulatory Framework</w:t>
      </w:r>
    </w:p>
    <w:p>
      <w:r>
        <w:t>────────────────────────────────────────────────────────────</w:t>
      </w:r>
    </w:p>
    <w:p>
      <w:pPr>
        <w:pStyle w:val="Heading2"/>
      </w:pPr>
      <w:r>
        <w:t>Table of Contents</w:t>
      </w:r>
    </w:p>
    <w:p>
      <w:pPr>
        <w:pStyle w:val="ListNumber"/>
      </w:pPr>
      <w:r>
        <w:t>[Regulatory Authority Structure](#1-regulatory-authority-structure)</w:t>
      </w:r>
    </w:p>
    <w:p>
      <w:pPr>
        <w:pStyle w:val="ListNumber"/>
      </w:pPr>
      <w:r>
        <w:t>[Key Regulations](#2-key-regulations)</w:t>
      </w:r>
    </w:p>
    <w:p>
      <w:pPr>
        <w:pStyle w:val="ListNumber"/>
      </w:pPr>
      <w:r>
        <w:t>[Market Structure Rules](#3-market-structure-rules)</w:t>
      </w:r>
    </w:p>
    <w:p>
      <w:pPr>
        <w:pStyle w:val="ListNumber"/>
      </w:pPr>
      <w:r>
        <w:t>[Market Data Rules](#4-market-data-rules)</w:t>
      </w:r>
    </w:p>
    <w:p>
      <w:pPr>
        <w:pStyle w:val="ListNumber"/>
      </w:pPr>
      <w:r>
        <w:t>[Market Surveillance](#5-market-surveillance)</w:t>
      </w:r>
    </w:p>
    <w:p>
      <w:pPr>
        <w:pStyle w:val="ListNumber"/>
      </w:pPr>
      <w:r>
        <w:t>[Reporting Requirements](#6-reporting-requirements)</w:t>
      </w:r>
    </w:p>
    <w:p>
      <w:pPr>
        <w:pStyle w:val="ListNumber"/>
      </w:pPr>
      <w:r>
        <w:t>[Cross-border Arrangements](#7-cross-border-arrangements)</w:t>
      </w:r>
    </w:p>
    <w:p>
      <w:pPr>
        <w:pStyle w:val="ListNumber"/>
      </w:pPr>
      <w:r>
        <w:t>[Recent Changes (2021-2026)](#8-recent-changes-2021-2026)</w:t>
      </w:r>
    </w:p>
    <w:p>
      <w:pPr>
        <w:pStyle w:val="ListNumber"/>
      </w:pPr>
      <w:r>
        <w:t>[Comparison with Korean Framework](#9-comparison-with-korean-framework)</w:t>
      </w:r>
    </w:p>
    <w:p>
      <w:r>
        <w:t>────────────────────────────────────────────────────────────</w:t>
      </w:r>
    </w:p>
    <w:p>
      <w:pPr>
        <w:pStyle w:val="Heading2"/>
      </w:pPr>
      <w:r>
        <w:t>1. Regulatory Authority Structure</w:t>
      </w:r>
    </w:p>
    <w:p>
      <w:pPr>
        <w:pStyle w:val="Heading3"/>
      </w:pPr>
      <w:r>
        <w:t>1.1 EU-Level: European Securities and Markets Authority (ESMA)</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Established</w:t>
            </w:r>
          </w:p>
        </w:tc>
        <w:tc>
          <w:tcPr>
            <w:tcW w:type="dxa" w:w="4320"/>
          </w:tcPr>
          <w:p>
            <w:pPr/>
            <w:r>
              <w:rPr>
                <w:sz w:val="18"/>
              </w:rPr>
              <w:t>2011 (replacing CESR)</w:t>
            </w:r>
          </w:p>
        </w:tc>
      </w:tr>
      <w:tr>
        <w:tc>
          <w:tcPr>
            <w:tcW w:type="dxa" w:w="4320"/>
          </w:tcPr>
          <w:p>
            <w:pPr/>
            <w:r>
              <w:rPr>
                <w:sz w:val="18"/>
              </w:rPr>
              <w:t>Legal Basis</w:t>
            </w:r>
          </w:p>
        </w:tc>
        <w:tc>
          <w:tcPr>
            <w:tcW w:type="dxa" w:w="4320"/>
          </w:tcPr>
          <w:p>
            <w:pPr/>
            <w:r>
              <w:rPr>
                <w:sz w:val="18"/>
              </w:rPr>
              <w:t>Regulation (EU) No 1095/2010</w:t>
            </w:r>
          </w:p>
        </w:tc>
      </w:tr>
      <w:tr>
        <w:tc>
          <w:tcPr>
            <w:tcW w:type="dxa" w:w="4320"/>
          </w:tcPr>
          <w:p>
            <w:pPr/>
            <w:r>
              <w:rPr>
                <w:sz w:val="18"/>
              </w:rPr>
              <w:t>Headquarters</w:t>
            </w:r>
          </w:p>
        </w:tc>
        <w:tc>
          <w:tcPr>
            <w:tcW w:type="dxa" w:w="4320"/>
          </w:tcPr>
          <w:p>
            <w:pPr/>
            <w:r>
              <w:rPr>
                <w:sz w:val="18"/>
              </w:rPr>
              <w:t>Paris, France</w:t>
            </w:r>
          </w:p>
        </w:tc>
      </w:tr>
      <w:tr>
        <w:tc>
          <w:tcPr>
            <w:tcW w:type="dxa" w:w="4320"/>
          </w:tcPr>
          <w:p>
            <w:pPr/>
            <w:r>
              <w:rPr>
                <w:sz w:val="18"/>
              </w:rPr>
              <w:t>Role</w:t>
            </w:r>
          </w:p>
        </w:tc>
        <w:tc>
          <w:tcPr>
            <w:tcW w:type="dxa" w:w="4320"/>
          </w:tcPr>
          <w:p>
            <w:pPr/>
            <w:r>
              <w:rPr>
                <w:sz w:val="18"/>
              </w:rPr>
              <w:t>EU-level supervisory convergence, rulemaking (technical standards), direct supervision of specific entities (credit rating agencies, trade repositories, and now consolidated tape providers)</w:t>
            </w:r>
          </w:p>
        </w:tc>
      </w:tr>
      <w:tr>
        <w:tc>
          <w:tcPr>
            <w:tcW w:type="dxa" w:w="4320"/>
          </w:tcPr>
          <w:p>
            <w:pPr/>
            <w:r>
              <w:rPr>
                <w:sz w:val="18"/>
              </w:rPr>
              <w:t>Governance</w:t>
            </w:r>
          </w:p>
        </w:tc>
        <w:tc>
          <w:tcPr>
            <w:tcW w:type="dxa" w:w="4320"/>
          </w:tcPr>
          <w:p>
            <w:pPr/>
            <w:r>
              <w:rPr>
                <w:sz w:val="18"/>
              </w:rPr>
              <w:t>Board of Supervisors comprising heads of all 27 national competent authorities (NCAs), a Chair, and representatives from the European Commission, ECB, ESRB, EBA, and EIOPA</w:t>
            </w:r>
          </w:p>
        </w:tc>
      </w:tr>
    </w:tbl>
    <w:p/>
    <w:p>
      <w:r>
        <w:t>ESMA's core functions in equities markets include:</w:t>
      </w:r>
    </w:p>
    <w:p>
      <w:pPr>
        <w:pStyle w:val="ListBullet"/>
      </w:pPr>
      <w:r>
        <w:t>Rulemaking: Drafting Regulatory Technical Standards (RTS) and Implementing Technical Standards (ITS) under MiFID II/MiFIR, MAR, CSDR, and other Level 1 legislation. These are adopted as binding EU regulations by the European Commission.</w:t>
      </w:r>
    </w:p>
    <w:p>
      <w:pPr>
        <w:pStyle w:val="ListBullet"/>
      </w:pPr>
      <w:r>
        <w:t>Supervisory convergence: Issuing guidelines, Q&amp;As, opinions, and supervisory briefings to harmonise NCA conduct across Member States.</w:t>
      </w:r>
    </w:p>
    <w:p>
      <w:pPr>
        <w:pStyle w:val="ListBullet"/>
      </w:pPr>
      <w:r>
        <w:t>Direct supervision: CTP operators, trade repositories, and credit rating agencies fall under ESMA's direct authority. Under the MiFIR Review, ESMA now also directly authorises and supervises consolidated tape providers.</w:t>
      </w:r>
    </w:p>
    <w:p>
      <w:pPr>
        <w:pStyle w:val="ListBullet"/>
      </w:pPr>
      <w:r>
        <w:t>Data collection and publication: Operating FITRS (Financial Instruments Transparency System), FIRDS (Financial Instruments Reference Data System), and publishing volume cap, liquidity, and transparency calculations.</w:t>
      </w:r>
    </w:p>
    <w:p>
      <w:pPr>
        <w:pStyle w:val="ListBullet"/>
      </w:pPr>
      <w:r>
        <w:t>Market integrity coordination: Coordinating cross-border MAR enforcement, maintaining STORs (Suspicious Transaction and Order Reports) framework.</w:t>
      </w:r>
    </w:p>
    <w:p>
      <w:r>
        <w:t>[Source: ESMA, "About ESMA", accessed 2026-04-06]</w:t>
      </w:r>
    </w:p>
    <w:p>
      <w:pPr>
        <w:pStyle w:val="Heading3"/>
      </w:pPr>
      <w:r>
        <w:t>1.2 National Competent Authorities (NCAs)</w:t>
      </w:r>
    </w:p>
    <w:p>
      <w:r>
        <w:t>Day-to-day supervision and enforcement of EU securities regulation is carried out by NCAs in each Member State. Key NCAs for equities markets include: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Country</w:t>
            </w:r>
          </w:p>
        </w:tc>
        <w:tc>
          <w:tcPr>
            <w:tcW w:type="dxa" w:w="2880"/>
          </w:tcPr>
          <w:p>
            <w:pPr/>
            <w:r>
              <w:rPr>
                <w:b/>
                <w:sz w:val="18"/>
              </w:rPr>
              <w:t>NCA</w:t>
            </w:r>
          </w:p>
        </w:tc>
        <w:tc>
          <w:tcPr>
            <w:tcW w:type="dxa" w:w="2880"/>
          </w:tcPr>
          <w:p>
            <w:pPr/>
            <w:r>
              <w:rPr>
                <w:b/>
                <w:sz w:val="18"/>
              </w:rPr>
              <w:t>Key Responsibilities</w:t>
            </w:r>
          </w:p>
        </w:tc>
      </w:tr>
      <w:tr>
        <w:tc>
          <w:tcPr>
            <w:tcW w:type="dxa" w:w="2880"/>
          </w:tcPr>
          <w:p>
            <w:pPr/>
            <w:r>
              <w:rPr>
                <w:sz w:val="18"/>
              </w:rPr>
              <w:t>**United Kingdom**</w:t>
            </w:r>
          </w:p>
        </w:tc>
        <w:tc>
          <w:tcPr>
            <w:tcW w:type="dxa" w:w="2880"/>
          </w:tcPr>
          <w:p>
            <w:pPr/>
            <w:r>
              <w:rPr>
                <w:sz w:val="18"/>
              </w:rPr>
              <w:t>Financial Conduct Authority (FCA)</w:t>
            </w:r>
          </w:p>
        </w:tc>
        <w:tc>
          <w:tcPr>
            <w:tcW w:type="dxa" w:w="2880"/>
          </w:tcPr>
          <w:p>
            <w:pPr/>
            <w:r>
              <w:rPr>
                <w:sz w:val="18"/>
              </w:rPr>
              <w:t>Post-Brexit independent regulator; prudential and conduct supervision of ~50,000 firms; operates UK's own regulatory framework diverging from EU</w:t>
            </w:r>
          </w:p>
        </w:tc>
      </w:tr>
      <w:tr>
        <w:tc>
          <w:tcPr>
            <w:tcW w:type="dxa" w:w="2880"/>
          </w:tcPr>
          <w:p>
            <w:pPr/>
            <w:r>
              <w:rPr>
                <w:sz w:val="18"/>
              </w:rPr>
              <w:t>**Germany**</w:t>
            </w:r>
          </w:p>
        </w:tc>
        <w:tc>
          <w:tcPr>
            <w:tcW w:type="dxa" w:w="2880"/>
          </w:tcPr>
          <w:p>
            <w:pPr/>
            <w:r>
              <w:rPr>
                <w:sz w:val="18"/>
              </w:rPr>
              <w:t>BaFin (Bundesanstalt fur Finanzdienstleistungsaufsicht)</w:t>
            </w:r>
          </w:p>
        </w:tc>
        <w:tc>
          <w:tcPr>
            <w:tcW w:type="dxa" w:w="2880"/>
          </w:tcPr>
          <w:p>
            <w:pPr/>
            <w:r>
              <w:rPr>
                <w:sz w:val="18"/>
              </w:rPr>
              <w:t>Supervises Deutsche Borse/Xetra, banks, insurers; enforces MAR, MiFID II nationally</w:t>
            </w:r>
          </w:p>
        </w:tc>
      </w:tr>
      <w:tr>
        <w:tc>
          <w:tcPr>
            <w:tcW w:type="dxa" w:w="2880"/>
          </w:tcPr>
          <w:p>
            <w:pPr/>
            <w:r>
              <w:rPr>
                <w:sz w:val="18"/>
              </w:rPr>
              <w:t>**France**</w:t>
            </w:r>
          </w:p>
        </w:tc>
        <w:tc>
          <w:tcPr>
            <w:tcW w:type="dxa" w:w="2880"/>
          </w:tcPr>
          <w:p>
            <w:pPr/>
            <w:r>
              <w:rPr>
                <w:sz w:val="18"/>
              </w:rPr>
              <w:t>AMF (Autorite des marches financiers)</w:t>
            </w:r>
          </w:p>
        </w:tc>
        <w:tc>
          <w:tcPr>
            <w:tcW w:type="dxa" w:w="2880"/>
          </w:tcPr>
          <w:p>
            <w:pPr/>
            <w:r>
              <w:rPr>
                <w:sz w:val="18"/>
              </w:rPr>
              <w:t>Supervises Euronext Paris; highest MAR fine amounts in Europe in 2024; market conduct and investor protection</w:t>
            </w:r>
          </w:p>
        </w:tc>
      </w:tr>
      <w:tr>
        <w:tc>
          <w:tcPr>
            <w:tcW w:type="dxa" w:w="2880"/>
          </w:tcPr>
          <w:p>
            <w:pPr/>
            <w:r>
              <w:rPr>
                <w:sz w:val="18"/>
              </w:rPr>
              <w:t>**Netherlands**</w:t>
            </w:r>
          </w:p>
        </w:tc>
        <w:tc>
          <w:tcPr>
            <w:tcW w:type="dxa" w:w="2880"/>
          </w:tcPr>
          <w:p>
            <w:pPr/>
            <w:r>
              <w:rPr>
                <w:sz w:val="18"/>
              </w:rPr>
              <w:t>AFM (Autoriteit Financiele Markten)</w:t>
            </w:r>
          </w:p>
        </w:tc>
        <w:tc>
          <w:tcPr>
            <w:tcW w:type="dxa" w:w="2880"/>
          </w:tcPr>
          <w:p>
            <w:pPr/>
            <w:r>
              <w:rPr>
                <w:sz w:val="18"/>
              </w:rPr>
              <w:t>Supervises Euronext Amsterdam; robust algo/HFT oversight given Amsterdam's role as post-Brexit trading hub</w:t>
            </w:r>
          </w:p>
        </w:tc>
      </w:tr>
      <w:tr>
        <w:tc>
          <w:tcPr>
            <w:tcW w:type="dxa" w:w="2880"/>
          </w:tcPr>
          <w:p>
            <w:pPr/>
            <w:r>
              <w:rPr>
                <w:sz w:val="18"/>
              </w:rPr>
              <w:t>**Italy**</w:t>
            </w:r>
          </w:p>
        </w:tc>
        <w:tc>
          <w:tcPr>
            <w:tcW w:type="dxa" w:w="2880"/>
          </w:tcPr>
          <w:p>
            <w:pPr/>
            <w:r>
              <w:rPr>
                <w:sz w:val="18"/>
              </w:rPr>
              <w:t>CONSOB (Commissione Nazionale per le Societa e la Borsa)</w:t>
            </w:r>
          </w:p>
        </w:tc>
        <w:tc>
          <w:tcPr>
            <w:tcW w:type="dxa" w:w="2880"/>
          </w:tcPr>
          <w:p>
            <w:pPr/>
            <w:r>
              <w:rPr>
                <w:sz w:val="18"/>
              </w:rPr>
              <w:t>Supervises Borsa Italiana (now part of Euronext); market abuse enforcement</w:t>
            </w:r>
          </w:p>
        </w:tc>
      </w:tr>
      <w:tr>
        <w:tc>
          <w:tcPr>
            <w:tcW w:type="dxa" w:w="2880"/>
          </w:tcPr>
          <w:p>
            <w:pPr/>
            <w:r>
              <w:rPr>
                <w:sz w:val="18"/>
              </w:rPr>
              <w:t>**Spain**</w:t>
            </w:r>
          </w:p>
        </w:tc>
        <w:tc>
          <w:tcPr>
            <w:tcW w:type="dxa" w:w="2880"/>
          </w:tcPr>
          <w:p>
            <w:pPr/>
            <w:r>
              <w:rPr>
                <w:sz w:val="18"/>
              </w:rPr>
              <w:t>CNMV (Comision Nacional del Mercado de Valores)</w:t>
            </w:r>
          </w:p>
        </w:tc>
        <w:tc>
          <w:tcPr>
            <w:tcW w:type="dxa" w:w="2880"/>
          </w:tcPr>
          <w:p>
            <w:pPr/>
            <w:r>
              <w:rPr>
                <w:sz w:val="18"/>
              </w:rPr>
              <w:t>Supervises BME (Bolsas y Mercados Espanoles); short selling monitoring</w:t>
            </w:r>
          </w:p>
        </w:tc>
      </w:tr>
      <w:tr>
        <w:tc>
          <w:tcPr>
            <w:tcW w:type="dxa" w:w="2880"/>
          </w:tcPr>
          <w:p>
            <w:pPr/>
            <w:r>
              <w:rPr>
                <w:sz w:val="18"/>
              </w:rPr>
              <w:t>**Ireland**</w:t>
            </w:r>
          </w:p>
        </w:tc>
        <w:tc>
          <w:tcPr>
            <w:tcW w:type="dxa" w:w="2880"/>
          </w:tcPr>
          <w:p>
            <w:pPr/>
            <w:r>
              <w:rPr>
                <w:sz w:val="18"/>
              </w:rPr>
              <w:t>Central Bank of Ireland</w:t>
            </w:r>
          </w:p>
        </w:tc>
        <w:tc>
          <w:tcPr>
            <w:tcW w:type="dxa" w:w="2880"/>
          </w:tcPr>
          <w:p>
            <w:pPr/>
            <w:r>
              <w:rPr>
                <w:sz w:val="18"/>
              </w:rPr>
              <w:t>Growing role due to post-Brexit relocations of asset managers and trading firms</w:t>
            </w:r>
          </w:p>
        </w:tc>
      </w:tr>
    </w:tbl>
    <w:p/>
    <w:p>
      <w:r>
        <w:t>NCAs retain authority for:</w:t>
      </w:r>
    </w:p>
    <w:p>
      <w:pPr>
        <w:pStyle w:val="ListBullet"/>
      </w:pPr>
      <w:r>
        <w:t>Authorising and supervising investment firms, trading venues (RMs, MTFs, OTFs), and systematic internalisers</w:t>
      </w:r>
    </w:p>
    <w:p>
      <w:pPr>
        <w:pStyle w:val="ListBullet"/>
      </w:pPr>
      <w:r>
        <w:t>Granting pre-trade transparency waivers (under ESMA opinion mechanism)</w:t>
      </w:r>
    </w:p>
    <w:p>
      <w:pPr>
        <w:pStyle w:val="ListBullet"/>
      </w:pPr>
      <w:r>
        <w:t>Enforcing MAR, including investigating insider dealing and market manipulation</w:t>
      </w:r>
    </w:p>
    <w:p>
      <w:pPr>
        <w:pStyle w:val="ListBullet"/>
      </w:pPr>
      <w:r>
        <w:t>Administering transaction reporting under MiFIR Article 26</w:t>
      </w:r>
    </w:p>
    <w:p>
      <w:pPr>
        <w:pStyle w:val="ListBullet"/>
      </w:pPr>
      <w:r>
        <w:t>Imposing administrative sanctions (fines, suspensions, bans)</w:t>
      </w:r>
    </w:p>
    <w:p>
      <w:r>
        <w:t>[Source: ESMA, "National Competent Authorities — MiFID", accessed 2026-04-06]</w:t>
      </w:r>
    </w:p>
    <w:p>
      <w:pPr>
        <w:pStyle w:val="Heading3"/>
      </w:pPr>
      <w:r>
        <w:t>1.3 Post-Brexit Divergence: UK vs EU</w:t>
      </w:r>
    </w:p>
    <w:p>
      <w:r>
        <w:t>Since the UK's departure from the EU single market on 31 December 2020, two parallel regulatory regimes have emerged:</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Dimension</w:t>
            </w:r>
          </w:p>
        </w:tc>
        <w:tc>
          <w:tcPr>
            <w:tcW w:type="dxa" w:w="2880"/>
          </w:tcPr>
          <w:p>
            <w:pPr/>
            <w:r>
              <w:rPr>
                <w:b/>
                <w:sz w:val="18"/>
              </w:rPr>
              <w:t>EU (ESMA + NCAs)</w:t>
            </w:r>
          </w:p>
        </w:tc>
        <w:tc>
          <w:tcPr>
            <w:tcW w:type="dxa" w:w="2880"/>
          </w:tcPr>
          <w:p>
            <w:pPr/>
            <w:r>
              <w:rPr>
                <w:b/>
                <w:sz w:val="18"/>
              </w:rPr>
              <w:t>UK (FCA + PRA)</w:t>
            </w:r>
          </w:p>
        </w:tc>
      </w:tr>
      <w:tr>
        <w:tc>
          <w:tcPr>
            <w:tcW w:type="dxa" w:w="2880"/>
          </w:tcPr>
          <w:p>
            <w:pPr/>
            <w:r>
              <w:rPr>
                <w:sz w:val="18"/>
              </w:rPr>
              <w:t>**Legislative process**</w:t>
            </w:r>
          </w:p>
        </w:tc>
        <w:tc>
          <w:tcPr>
            <w:tcW w:type="dxa" w:w="2880"/>
          </w:tcPr>
          <w:p>
            <w:pPr/>
            <w:r>
              <w:rPr>
                <w:sz w:val="18"/>
              </w:rPr>
              <w:t>Commission proposes, Parliament and Council co-decide; ESMA drafts Level 2 measures</w:t>
            </w:r>
          </w:p>
        </w:tc>
        <w:tc>
          <w:tcPr>
            <w:tcW w:type="dxa" w:w="2880"/>
          </w:tcPr>
          <w:p>
            <w:pPr/>
            <w:r>
              <w:rPr>
                <w:sz w:val="18"/>
              </w:rPr>
              <w:t>HM Treasury sets framework; FCA makes rules under FSMA 2023 (previously FSMA 2000)</w:t>
            </w:r>
          </w:p>
        </w:tc>
      </w:tr>
      <w:tr>
        <w:tc>
          <w:tcPr>
            <w:tcW w:type="dxa" w:w="2880"/>
          </w:tcPr>
          <w:p>
            <w:pPr/>
            <w:r>
              <w:rPr>
                <w:sz w:val="18"/>
              </w:rPr>
              <w:t>**Regulatory philosophy**</w:t>
            </w:r>
          </w:p>
        </w:tc>
        <w:tc>
          <w:tcPr>
            <w:tcW w:type="dxa" w:w="2880"/>
          </w:tcPr>
          <w:p>
            <w:pPr/>
            <w:r>
              <w:rPr>
                <w:sz w:val="18"/>
              </w:rPr>
              <w:t>Harmonised single rulebook; ESMA convergence</w:t>
            </w:r>
          </w:p>
        </w:tc>
        <w:tc>
          <w:tcPr>
            <w:tcW w:type="dxa" w:w="2880"/>
          </w:tcPr>
          <w:p>
            <w:pPr/>
            <w:r>
              <w:rPr>
                <w:sz w:val="18"/>
              </w:rPr>
              <w:t>Outcomes-based regulation; secondary competitiveness objective added to FCA mandate (2023)</w:t>
            </w:r>
          </w:p>
        </w:tc>
      </w:tr>
      <w:tr>
        <w:tc>
          <w:tcPr>
            <w:tcW w:type="dxa" w:w="2880"/>
          </w:tcPr>
          <w:p>
            <w:pPr/>
            <w:r>
              <w:rPr>
                <w:sz w:val="18"/>
              </w:rPr>
              <w:t>**Speed of reform**</w:t>
            </w:r>
          </w:p>
        </w:tc>
        <w:tc>
          <w:tcPr>
            <w:tcW w:type="dxa" w:w="2880"/>
          </w:tcPr>
          <w:p>
            <w:pPr/>
            <w:r>
              <w:rPr>
                <w:sz w:val="18"/>
              </w:rPr>
              <w:t>Slower (27 Member States to align)</w:t>
            </w:r>
          </w:p>
        </w:tc>
        <w:tc>
          <w:tcPr>
            <w:tcW w:type="dxa" w:w="2880"/>
          </w:tcPr>
          <w:p>
            <w:pPr/>
            <w:r>
              <w:rPr>
                <w:sz w:val="18"/>
              </w:rPr>
              <w:t>Faster (single jurisdiction); Edinburgh/Leeds Reforms agenda</w:t>
            </w:r>
          </w:p>
        </w:tc>
      </w:tr>
      <w:tr>
        <w:tc>
          <w:tcPr>
            <w:tcW w:type="dxa" w:w="2880"/>
          </w:tcPr>
          <w:p>
            <w:pPr/>
            <w:r>
              <w:rPr>
                <w:sz w:val="18"/>
              </w:rPr>
              <w:t>**Equivalence status**</w:t>
            </w:r>
          </w:p>
        </w:tc>
        <w:tc>
          <w:tcPr>
            <w:tcW w:type="dxa" w:w="2880"/>
          </w:tcPr>
          <w:p>
            <w:pPr/>
            <w:r>
              <w:rPr>
                <w:sz w:val="18"/>
              </w:rPr>
              <w:t>EU has not granted UK broad equivalence for investment services</w:t>
            </w:r>
          </w:p>
        </w:tc>
        <w:tc>
          <w:tcPr>
            <w:tcW w:type="dxa" w:w="2880"/>
          </w:tcPr>
          <w:p>
            <w:pPr/>
            <w:r>
              <w:rPr>
                <w:sz w:val="18"/>
              </w:rPr>
              <w:t>UK has granted broad equivalence to EU (Temporary Transitional Power expired 2023; most retained)</w:t>
            </w:r>
          </w:p>
        </w:tc>
      </w:tr>
      <w:tr>
        <w:tc>
          <w:tcPr>
            <w:tcW w:type="dxa" w:w="2880"/>
          </w:tcPr>
          <w:p>
            <w:pPr/>
            <w:r>
              <w:rPr>
                <w:sz w:val="18"/>
              </w:rPr>
              <w:t>**Key divergence areas**</w:t>
            </w:r>
          </w:p>
        </w:tc>
        <w:tc>
          <w:tcPr>
            <w:tcW w:type="dxa" w:w="2880"/>
          </w:tcPr>
          <w:p>
            <w:pPr/>
            <w:r>
              <w:rPr>
                <w:sz w:val="18"/>
              </w:rPr>
              <w:t>MiFIR Review (new volume cap, CTP regime, transparency)</w:t>
            </w:r>
          </w:p>
        </w:tc>
        <w:tc>
          <w:tcPr>
            <w:tcW w:type="dxa" w:w="2880"/>
          </w:tcPr>
          <w:p>
            <w:pPr/>
            <w:r>
              <w:rPr>
                <w:sz w:val="18"/>
              </w:rPr>
              <w:t>Wholesale Markets Review, new UKLR listing rules, own prospectus regime, lighter SI regime</w:t>
            </w:r>
          </w:p>
        </w:tc>
      </w:tr>
    </w:tbl>
    <w:p/>
    <w:p>
      <w:r>
        <w:t>The UK's Financial Services and Markets Act 2023 (FSMA 2023) gave the FCA and PRA power to replace retained EU law with UK-made rules — the so-called "Smarter Regulatory Framework." This is resulting in a gradual unwinding of the direct transposition of EU directives into UK law, with the FCA writing bespoke rules in its Handbook.</w:t>
      </w:r>
    </w:p>
    <w:p>
      <w:r>
        <w:t>[Source: FCA, "Statement on market reforms and what's to come", accessed 2026-04-06]</w:t>
      </w:r>
    </w:p>
    <w:p>
      <w:r>
        <w:t>[Source: Davis Polk, "Capital markets reform in the UK", accessed 2026-04-06]</w:t>
      </w:r>
    </w:p>
    <w:p>
      <w:r>
        <w:t>────────────────────────────────────────────────────────────</w:t>
      </w:r>
    </w:p>
    <w:p>
      <w:pPr>
        <w:pStyle w:val="Heading2"/>
      </w:pPr>
      <w:r>
        <w:t>2. Key Regulations</w:t>
      </w:r>
    </w:p>
    <w:p>
      <w:pPr>
        <w:pStyle w:val="Heading3"/>
      </w:pPr>
      <w:r>
        <w:t>2.1 MiFID II / MiFIR (Markets in Financial Instruments)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**Full name**</w:t>
            </w:r>
          </w:p>
        </w:tc>
        <w:tc>
          <w:tcPr>
            <w:tcW w:type="dxa" w:w="4320"/>
          </w:tcPr>
          <w:p>
            <w:pPr/>
            <w:r>
              <w:rPr>
                <w:sz w:val="18"/>
              </w:rPr>
              <w:t>Directive 2014/65/EU (MiFID II) and Regulation (EU) No 600/2014 (MiFIR)</w:t>
            </w:r>
          </w:p>
        </w:tc>
      </w:tr>
      <w:tr>
        <w:tc>
          <w:tcPr>
            <w:tcW w:type="dxa" w:w="4320"/>
          </w:tcPr>
          <w:p>
            <w:pPr/>
            <w:r>
              <w:rPr>
                <w:sz w:val="18"/>
              </w:rPr>
              <w:t>**In force since**</w:t>
            </w:r>
          </w:p>
        </w:tc>
        <w:tc>
          <w:tcPr>
            <w:tcW w:type="dxa" w:w="4320"/>
          </w:tcPr>
          <w:p>
            <w:pPr/>
            <w:r>
              <w:rPr>
                <w:sz w:val="18"/>
              </w:rPr>
              <w:t>3 January 2018</w:t>
            </w:r>
          </w:p>
        </w:tc>
      </w:tr>
      <w:tr>
        <w:tc>
          <w:tcPr>
            <w:tcW w:type="dxa" w:w="4320"/>
          </w:tcPr>
          <w:p>
            <w:pPr/>
            <w:r>
              <w:rPr>
                <w:sz w:val="18"/>
              </w:rPr>
              <w:t>**Scope**</w:t>
            </w:r>
          </w:p>
        </w:tc>
        <w:tc>
          <w:tcPr>
            <w:tcW w:type="dxa" w:w="4320"/>
          </w:tcPr>
          <w:p>
            <w:pPr/>
            <w:r>
              <w:rPr>
                <w:sz w:val="18"/>
              </w:rPr>
              <w:t>Investment firms, trading venues (RMs, MTFs, OTFs), systematic internalisers, data reporting services providers</w:t>
            </w:r>
          </w:p>
        </w:tc>
      </w:tr>
      <w:tr>
        <w:tc>
          <w:tcPr>
            <w:tcW w:type="dxa" w:w="4320"/>
          </w:tcPr>
          <w:p>
            <w:pPr/>
            <w:r>
              <w:rPr>
                <w:sz w:val="18"/>
              </w:rPr>
              <w:t>**Key content**</w:t>
            </w:r>
          </w:p>
        </w:tc>
        <w:tc>
          <w:tcPr>
            <w:tcW w:type="dxa" w:w="4320"/>
          </w:tcPr>
          <w:p>
            <w:pPr/>
            <w:r>
              <w:rPr>
                <w:sz w:val="18"/>
              </w:rPr>
              <w:t>Market structure (venue categories, transparency), investor protection, transaction reporting, algo/HFT rules, third-country regime</w:t>
            </w:r>
          </w:p>
        </w:tc>
      </w:tr>
      <w:tr>
        <w:tc>
          <w:tcPr>
            <w:tcW w:type="dxa" w:w="4320"/>
          </w:tcPr>
          <w:p>
            <w:pPr/>
            <w:r>
              <w:rPr>
                <w:sz w:val="18"/>
              </w:rPr>
              <w:t>**Level 2 measures**</w:t>
            </w:r>
          </w:p>
        </w:tc>
        <w:tc>
          <w:tcPr>
            <w:tcW w:type="dxa" w:w="4320"/>
          </w:tcPr>
          <w:p>
            <w:pPr/>
            <w:r>
              <w:rPr>
                <w:sz w:val="18"/>
              </w:rPr>
              <w:t>~30+ Regulatory Technical Standards (RTS) and Implementing Technical Standards (ITS), plus numerous ESMA guidelines</w:t>
            </w:r>
          </w:p>
        </w:tc>
      </w:tr>
      <w:tr>
        <w:tc>
          <w:tcPr>
            <w:tcW w:type="dxa" w:w="4320"/>
          </w:tcPr>
          <w:p>
            <w:pPr/>
            <w:r>
              <w:rPr>
                <w:sz w:val="18"/>
              </w:rPr>
              <w:t>**Major review**</w:t>
            </w:r>
          </w:p>
        </w:tc>
        <w:tc>
          <w:tcPr>
            <w:tcW w:type="dxa" w:w="4320"/>
          </w:tcPr>
          <w:p>
            <w:pPr/>
            <w:r>
              <w:rPr>
                <w:sz w:val="18"/>
              </w:rPr>
              <w:t>MiFIR Review (Regulation (EU) 2024/791) entered into force 28 March 2024; MiFID II amendments transposition deadline 29 September 2025</w:t>
            </w:r>
          </w:p>
        </w:tc>
      </w:tr>
    </w:tbl>
    <w:p/>
    <w:p>
      <w:r>
        <w:t>UK equivalent: On-shored as UK MiFID and UK MiFIR under the EU Withdrawal Act. The FCA's Wholesale Markets Review (2021-ongoing) is progressively replacing these with UK-specific rules.</w:t>
      </w:r>
    </w:p>
    <w:p>
      <w:r>
        <w:t>[Source: ESMA, "MiFID II and MiFIR review", accessed 2026-04-06]</w:t>
      </w:r>
    </w:p>
    <w:p>
      <w:pPr>
        <w:pStyle w:val="Heading3"/>
      </w:pPr>
      <w:r>
        <w:t>2.2 Market Abuse Regulation (MAR)</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**Full name**</w:t>
            </w:r>
          </w:p>
        </w:tc>
        <w:tc>
          <w:tcPr>
            <w:tcW w:type="dxa" w:w="4320"/>
          </w:tcPr>
          <w:p>
            <w:pPr/>
            <w:r>
              <w:rPr>
                <w:sz w:val="18"/>
              </w:rPr>
              <w:t>Regulation (EU) No 596/2014</w:t>
            </w:r>
          </w:p>
        </w:tc>
      </w:tr>
      <w:tr>
        <w:tc>
          <w:tcPr>
            <w:tcW w:type="dxa" w:w="4320"/>
          </w:tcPr>
          <w:p>
            <w:pPr/>
            <w:r>
              <w:rPr>
                <w:sz w:val="18"/>
              </w:rPr>
              <w:t>**In force since**</w:t>
            </w:r>
          </w:p>
        </w:tc>
        <w:tc>
          <w:tcPr>
            <w:tcW w:type="dxa" w:w="4320"/>
          </w:tcPr>
          <w:p>
            <w:pPr/>
            <w:r>
              <w:rPr>
                <w:sz w:val="18"/>
              </w:rPr>
              <w:t>3 July 2016</w:t>
            </w:r>
          </w:p>
        </w:tc>
      </w:tr>
      <w:tr>
        <w:tc>
          <w:tcPr>
            <w:tcW w:type="dxa" w:w="4320"/>
          </w:tcPr>
          <w:p>
            <w:pPr/>
            <w:r>
              <w:rPr>
                <w:sz w:val="18"/>
              </w:rPr>
              <w:t>**Scope**</w:t>
            </w:r>
          </w:p>
        </w:tc>
        <w:tc>
          <w:tcPr>
            <w:tcW w:type="dxa" w:w="4320"/>
          </w:tcPr>
          <w:p>
            <w:pPr/>
            <w:r>
              <w:rPr>
                <w:sz w:val="18"/>
              </w:rPr>
              <w:t>All financial instruments admitted to trading on EU trading venues (including MTFs and OTFs, not just RMs as under the predecessor MAD)</w:t>
            </w:r>
          </w:p>
        </w:tc>
      </w:tr>
      <w:tr>
        <w:tc>
          <w:tcPr>
            <w:tcW w:type="dxa" w:w="4320"/>
          </w:tcPr>
          <w:p>
            <w:pPr/>
            <w:r>
              <w:rPr>
                <w:sz w:val="18"/>
              </w:rPr>
              <w:t>**Key prohibitions**</w:t>
            </w:r>
          </w:p>
        </w:tc>
        <w:tc>
          <w:tcPr>
            <w:tcW w:type="dxa" w:w="4320"/>
          </w:tcPr>
          <w:p>
            <w:pPr/>
            <w:r>
              <w:rPr>
                <w:sz w:val="18"/>
              </w:rPr>
              <w:t>Insider dealing (Art. 14), unlawful disclosure of inside information (Art. 14), market manipulation (Art. 15)</w:t>
            </w:r>
          </w:p>
        </w:tc>
      </w:tr>
      <w:tr>
        <w:tc>
          <w:tcPr>
            <w:tcW w:type="dxa" w:w="4320"/>
          </w:tcPr>
          <w:p>
            <w:pPr/>
            <w:r>
              <w:rPr>
                <w:sz w:val="18"/>
              </w:rPr>
              <w:t>**Key obligations**</w:t>
            </w:r>
          </w:p>
        </w:tc>
        <w:tc>
          <w:tcPr>
            <w:tcW w:type="dxa" w:w="4320"/>
          </w:tcPr>
          <w:p>
            <w:pPr/>
            <w:r>
              <w:rPr>
                <w:sz w:val="18"/>
              </w:rPr>
              <w:t>Disclosure of inside information by issuers (Art. 17), managers' transaction notifications (Art. 19), insider lists (Art. 18), STORs (Art. 16)</w:t>
            </w:r>
          </w:p>
        </w:tc>
      </w:tr>
      <w:tr>
        <w:tc>
          <w:tcPr>
            <w:tcW w:type="dxa" w:w="4320"/>
          </w:tcPr>
          <w:p>
            <w:pPr/>
            <w:r>
              <w:rPr>
                <w:sz w:val="18"/>
              </w:rPr>
              <w:t>**Enforcement (2024)**</w:t>
            </w:r>
          </w:p>
        </w:tc>
        <w:tc>
          <w:tcPr>
            <w:tcW w:type="dxa" w:w="4320"/>
          </w:tcPr>
          <w:p>
            <w:pPr/>
            <w:r>
              <w:rPr>
                <w:sz w:val="18"/>
              </w:rPr>
              <w:t>377 enforcement actions across 24 Member States; &gt;EUR 100 million in administrative fines; 77 criminal sanctions in 6 Member States totalling &gt;EUR 72 million</w:t>
            </w:r>
          </w:p>
        </w:tc>
      </w:tr>
      <w:tr>
        <w:tc>
          <w:tcPr>
            <w:tcW w:type="dxa" w:w="4320"/>
          </w:tcPr>
          <w:p>
            <w:pPr/>
            <w:r>
              <w:rPr>
                <w:sz w:val="18"/>
              </w:rPr>
              <w:t>**Recent amendment**</w:t>
            </w:r>
          </w:p>
        </w:tc>
        <w:tc>
          <w:tcPr>
            <w:tcW w:type="dxa" w:w="4320"/>
          </w:tcPr>
          <w:p>
            <w:pPr/>
            <w:r>
              <w:rPr>
                <w:sz w:val="18"/>
              </w:rPr>
              <w:t>EU Listing Act amends MAR Art. 17 regarding protracted processes and delay conditions; effective 5 June 2026</w:t>
            </w:r>
          </w:p>
        </w:tc>
      </w:tr>
    </w:tbl>
    <w:p/>
    <w:p>
      <w:r>
        <w:t>UK equivalent: UK MAR (on-shored). The FCA maintains independent enforcement with its own case law.</w:t>
      </w:r>
    </w:p>
    <w:p>
      <w:r>
        <w:t>[Source: ESMA, "Consolidated Report on Sanctions and Measures 2024", accessed 2026-04-06]</w:t>
      </w:r>
    </w:p>
    <w:p>
      <w:r>
        <w:t>[Source: ESMA, "Final Report on changes to MAR inside information disclosure rules", May 2025, accessed 2026-04-06]</w:t>
      </w:r>
    </w:p>
    <w:p>
      <w:pPr>
        <w:pStyle w:val="Heading3"/>
      </w:pPr>
      <w:r>
        <w:t>2.3 Central Securities Depositories Regulation (CSDR)</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**Full name**</w:t>
            </w:r>
          </w:p>
        </w:tc>
        <w:tc>
          <w:tcPr>
            <w:tcW w:type="dxa" w:w="4320"/>
          </w:tcPr>
          <w:p>
            <w:pPr/>
            <w:r>
              <w:rPr>
                <w:sz w:val="18"/>
              </w:rPr>
              <w:t>Regulation (EU) No 909/2014</w:t>
            </w:r>
          </w:p>
        </w:tc>
      </w:tr>
      <w:tr>
        <w:tc>
          <w:tcPr>
            <w:tcW w:type="dxa" w:w="4320"/>
          </w:tcPr>
          <w:p>
            <w:pPr/>
            <w:r>
              <w:rPr>
                <w:sz w:val="18"/>
              </w:rPr>
              <w:t>**In force since**</w:t>
            </w:r>
          </w:p>
        </w:tc>
        <w:tc>
          <w:tcPr>
            <w:tcW w:type="dxa" w:w="4320"/>
          </w:tcPr>
          <w:p>
            <w:pPr/>
            <w:r>
              <w:rPr>
                <w:sz w:val="18"/>
              </w:rPr>
              <w:t>17 September 2014 (phased implementation)</w:t>
            </w:r>
          </w:p>
        </w:tc>
      </w:tr>
      <w:tr>
        <w:tc>
          <w:tcPr>
            <w:tcW w:type="dxa" w:w="4320"/>
          </w:tcPr>
          <w:p>
            <w:pPr/>
            <w:r>
              <w:rPr>
                <w:sz w:val="18"/>
              </w:rPr>
              <w:t>**Scope**</w:t>
            </w:r>
          </w:p>
        </w:tc>
        <w:tc>
          <w:tcPr>
            <w:tcW w:type="dxa" w:w="4320"/>
          </w:tcPr>
          <w:p>
            <w:pPr/>
            <w:r>
              <w:rPr>
                <w:sz w:val="18"/>
              </w:rPr>
              <w:t>CSDs (e.g., Euroclear, Clearstream), settlement discipline, dematerialisation</w:t>
            </w:r>
          </w:p>
        </w:tc>
      </w:tr>
      <w:tr>
        <w:tc>
          <w:tcPr>
            <w:tcW w:type="dxa" w:w="4320"/>
          </w:tcPr>
          <w:p>
            <w:pPr/>
            <w:r>
              <w:rPr>
                <w:sz w:val="18"/>
              </w:rPr>
              <w:t>**Key provisions**</w:t>
            </w:r>
          </w:p>
        </w:tc>
        <w:tc>
          <w:tcPr>
            <w:tcW w:type="dxa" w:w="4320"/>
          </w:tcPr>
          <w:p>
            <w:pPr/>
            <w:r>
              <w:rPr>
                <w:sz w:val="18"/>
              </w:rPr>
              <w:t>CSD authorisation and supervision, settlement discipline regime (mandatory buy-ins deferred, cash penalties applied from 1 February 2022), T+2 standard settlement cycle</w:t>
            </w:r>
          </w:p>
        </w:tc>
      </w:tr>
      <w:tr>
        <w:tc>
          <w:tcPr>
            <w:tcW w:type="dxa" w:w="4320"/>
          </w:tcPr>
          <w:p>
            <w:pPr/>
            <w:r>
              <w:rPr>
                <w:sz w:val="18"/>
              </w:rPr>
              <w:t>**CSDR Refit**</w:t>
            </w:r>
          </w:p>
        </w:tc>
        <w:tc>
          <w:tcPr>
            <w:tcW w:type="dxa" w:w="4320"/>
          </w:tcPr>
          <w:p>
            <w:pPr/>
            <w:r>
              <w:rPr>
                <w:sz w:val="18"/>
              </w:rPr>
              <w:t>Published in EU Official Journal 14 October 2025; provides legal basis for T+1 migration on 11 October 2027</w:t>
            </w:r>
          </w:p>
        </w:tc>
      </w:tr>
      <w:tr>
        <w:tc>
          <w:tcPr>
            <w:tcW w:type="dxa" w:w="4320"/>
          </w:tcPr>
          <w:p>
            <w:pPr/>
            <w:r>
              <w:rPr>
                <w:sz w:val="18"/>
              </w:rPr>
              <w:t>**Settlement discipline**</w:t>
            </w:r>
          </w:p>
        </w:tc>
        <w:tc>
          <w:tcPr>
            <w:tcW w:type="dxa" w:w="4320"/>
          </w:tcPr>
          <w:p>
            <w:pPr/>
            <w:r>
              <w:rPr>
                <w:sz w:val="18"/>
              </w:rPr>
              <w:t>Cash penalty regime operational; mandatory buy-ins remain suspended pending review</w:t>
            </w:r>
          </w:p>
        </w:tc>
      </w:tr>
    </w:tbl>
    <w:p/>
    <w:p>
      <w:r>
        <w:t>UK equivalent: UK CSDR (on-shored). The UK has signalled it will move to T+1 by 11 October 2027, aligned with the EU timeline.</w:t>
      </w:r>
    </w:p>
    <w:p>
      <w:r>
        <w:t>[Source: European Commission, "T+1 settlement", February 2025, accessed 2026-04-06]</w:t>
      </w:r>
    </w:p>
    <w:p>
      <w:pPr>
        <w:pStyle w:val="Heading3"/>
      </w:pPr>
      <w:r>
        <w:t>2.4 Prospectus Regulation</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**Full name**</w:t>
            </w:r>
          </w:p>
        </w:tc>
        <w:tc>
          <w:tcPr>
            <w:tcW w:type="dxa" w:w="4320"/>
          </w:tcPr>
          <w:p>
            <w:pPr/>
            <w:r>
              <w:rPr>
                <w:sz w:val="18"/>
              </w:rPr>
              <w:t>Regulation (EU) 2017/1129</w:t>
            </w:r>
          </w:p>
        </w:tc>
      </w:tr>
      <w:tr>
        <w:tc>
          <w:tcPr>
            <w:tcW w:type="dxa" w:w="4320"/>
          </w:tcPr>
          <w:p>
            <w:pPr/>
            <w:r>
              <w:rPr>
                <w:sz w:val="18"/>
              </w:rPr>
              <w:t>**In force since**</w:t>
            </w:r>
          </w:p>
        </w:tc>
        <w:tc>
          <w:tcPr>
            <w:tcW w:type="dxa" w:w="4320"/>
          </w:tcPr>
          <w:p>
            <w:pPr/>
            <w:r>
              <w:rPr>
                <w:sz w:val="18"/>
              </w:rPr>
              <w:t>21 July 2019 (replacing Prospectus Directive)</w:t>
            </w:r>
          </w:p>
        </w:tc>
      </w:tr>
      <w:tr>
        <w:tc>
          <w:tcPr>
            <w:tcW w:type="dxa" w:w="4320"/>
          </w:tcPr>
          <w:p>
            <w:pPr/>
            <w:r>
              <w:rPr>
                <w:sz w:val="18"/>
              </w:rPr>
              <w:t>**Key provision**</w:t>
            </w:r>
          </w:p>
        </w:tc>
        <w:tc>
          <w:tcPr>
            <w:tcW w:type="dxa" w:w="4320"/>
          </w:tcPr>
          <w:p>
            <w:pPr/>
            <w:r>
              <w:rPr>
                <w:sz w:val="18"/>
              </w:rPr>
              <w:t>Requires a prospectus approved by the NCA for public offers of securities or admission to trading on a regulated market exceeding certain thresholds</w:t>
            </w:r>
          </w:p>
        </w:tc>
      </w:tr>
      <w:tr>
        <w:tc>
          <w:tcPr>
            <w:tcW w:type="dxa" w:w="4320"/>
          </w:tcPr>
          <w:p>
            <w:pPr/>
            <w:r>
              <w:rPr>
                <w:sz w:val="18"/>
              </w:rPr>
              <w:t>**EU Listing Act amendments (2024)**</w:t>
            </w:r>
          </w:p>
        </w:tc>
        <w:tc>
          <w:tcPr>
            <w:tcW w:type="dxa" w:w="4320"/>
          </w:tcPr>
          <w:p>
            <w:pPr/>
            <w:r>
              <w:rPr>
                <w:sz w:val="18"/>
              </w:rPr>
              <w:t>Small offering exemption raised from EUR 8M to EUR 12M (Member State option for EUR 5M floor); secondary issuance dilution threshold raised from 20% to 30%; minimum EUR 1M threshold removed; standard prospectus limited to 300 pages with 2-year (instead of 3-year) financials; most content reforms effective 5 March and 5 June 2026</w:t>
            </w:r>
          </w:p>
        </w:tc>
      </w:tr>
    </w:tbl>
    <w:p/>
    <w:p>
      <w:r>
        <w:t>UK equivalent: The FCA's new Prospectus Rules: Admission to Trading on a Regulated Market (PRM) sourcebook came into force 19 January 2026, replacing the on-shored EU Prospectus Regulation with a UK-tailored regime. The FCA's approach gives it greater flexibility to set disclosure standards.</w:t>
      </w:r>
    </w:p>
    <w:p>
      <w:r>
        <w:t>[Source: Osborne Clarke, "The EU Listing Act: what are the key changes to the Prospectus Regulation?", accessed 2026-04-06]</w:t>
      </w:r>
    </w:p>
    <w:p>
      <w:r>
        <w:t>[Source: FCA, "PS24/6: Primary Markets Effectiveness Review", accessed 2026-04-06]</w:t>
      </w:r>
    </w:p>
    <w:p>
      <w:pPr>
        <w:pStyle w:val="Heading3"/>
      </w:pPr>
      <w:r>
        <w:t>2.5 Short Selling Regulation (SSR)</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**Full name**</w:t>
            </w:r>
          </w:p>
        </w:tc>
        <w:tc>
          <w:tcPr>
            <w:tcW w:type="dxa" w:w="4320"/>
          </w:tcPr>
          <w:p>
            <w:pPr/>
            <w:r>
              <w:rPr>
                <w:sz w:val="18"/>
              </w:rPr>
              <w:t>Regulation (EU) No 236/2012</w:t>
            </w:r>
          </w:p>
        </w:tc>
      </w:tr>
      <w:tr>
        <w:tc>
          <w:tcPr>
            <w:tcW w:type="dxa" w:w="4320"/>
          </w:tcPr>
          <w:p>
            <w:pPr/>
            <w:r>
              <w:rPr>
                <w:sz w:val="18"/>
              </w:rPr>
              <w:t>**In force since**</w:t>
            </w:r>
          </w:p>
        </w:tc>
        <w:tc>
          <w:tcPr>
            <w:tcW w:type="dxa" w:w="4320"/>
          </w:tcPr>
          <w:p>
            <w:pPr/>
            <w:r>
              <w:rPr>
                <w:sz w:val="18"/>
              </w:rPr>
              <w:t>1 November 2012</w:t>
            </w:r>
          </w:p>
        </w:tc>
      </w:tr>
      <w:tr>
        <w:tc>
          <w:tcPr>
            <w:tcW w:type="dxa" w:w="4320"/>
          </w:tcPr>
          <w:p>
            <w:pPr/>
            <w:r>
              <w:rPr>
                <w:sz w:val="18"/>
              </w:rPr>
              <w:t>**Key provisions**</w:t>
            </w:r>
          </w:p>
        </w:tc>
        <w:tc>
          <w:tcPr>
            <w:tcW w:type="dxa" w:w="4320"/>
          </w:tcPr>
          <w:p>
            <w:pPr/>
            <w:r>
              <w:rPr>
                <w:sz w:val="18"/>
              </w:rPr>
              <w:t>Prohibition of naked short selling of shares and sovereign debt; net short position reporting to NCAs at 0.1% of issued share capital (and each 0.1% above); public disclosure at 0.5% (and each 0.1% above); locate requirement; emergency intervention powers for NCAs and ESMA</w:t>
            </w:r>
          </w:p>
        </w:tc>
      </w:tr>
      <w:tr>
        <w:tc>
          <w:tcPr>
            <w:tcW w:type="dxa" w:w="4320"/>
          </w:tcPr>
          <w:p>
            <w:pPr/>
            <w:r>
              <w:rPr>
                <w:sz w:val="18"/>
              </w:rPr>
              <w:t>**ESMA review proposals**</w:t>
            </w:r>
          </w:p>
        </w:tc>
        <w:tc>
          <w:tcPr>
            <w:tcW w:type="dxa" w:w="4320"/>
          </w:tcPr>
          <w:p>
            <w:pPr/>
            <w:r>
              <w:rPr>
                <w:sz w:val="18"/>
              </w:rPr>
              <w:t>Permanent 0.1% reporting threshold (previously temporary under COVID measures); ESMA centralised publication system for net short positions; enhanced ESMA intervention powers; clarified ban procedures</w:t>
            </w:r>
          </w:p>
        </w:tc>
      </w:tr>
    </w:tbl>
    <w:p/>
    <w:p>
      <w:r>
        <w:t>UK equivalent: The Short Selling Regulations 2025 (UK SI 2025/29) replaced the on-shored EU SSR with a lighter-touch UK regime. Key changes include removing the public disclosure requirement (positions reported to the FCA only, not publicly), raising the reporting threshold, and giving the FCA more flexible intervention powers.</w:t>
      </w:r>
    </w:p>
    <w:p>
      <w:r>
        <w:t>[Source: ESMA, "Short Selling", accessed 2026-04-06]</w:t>
      </w:r>
    </w:p>
    <w:p>
      <w:r>
        <w:t>[Source: UK Legislation, "The Short Selling Regulations 2025", accessed 2026-04-06]</w:t>
      </w:r>
    </w:p>
    <w:p>
      <w:pPr>
        <w:pStyle w:val="Heading3"/>
      </w:pPr>
      <w:r>
        <w:t>2.6 Summary of Key Regulations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Regulation</w:t>
            </w:r>
          </w:p>
        </w:tc>
        <w:tc>
          <w:tcPr>
            <w:tcW w:type="dxa" w:w="2160"/>
          </w:tcPr>
          <w:p>
            <w:pPr/>
            <w:r>
              <w:rPr>
                <w:b/>
                <w:sz w:val="18"/>
              </w:rPr>
              <w:t>EU Version</w:t>
            </w:r>
          </w:p>
        </w:tc>
        <w:tc>
          <w:tcPr>
            <w:tcW w:type="dxa" w:w="2160"/>
          </w:tcPr>
          <w:p>
            <w:pPr/>
            <w:r>
              <w:rPr>
                <w:b/>
                <w:sz w:val="18"/>
              </w:rPr>
              <w:t>UK Equivalent</w:t>
            </w:r>
          </w:p>
        </w:tc>
        <w:tc>
          <w:tcPr>
            <w:tcW w:type="dxa" w:w="2160"/>
          </w:tcPr>
          <w:p>
            <w:pPr/>
            <w:r>
              <w:rPr>
                <w:b/>
                <w:sz w:val="18"/>
              </w:rPr>
              <w:t>Primary Focus</w:t>
            </w:r>
          </w:p>
        </w:tc>
      </w:tr>
      <w:tr>
        <w:tc>
          <w:tcPr>
            <w:tcW w:type="dxa" w:w="2160"/>
          </w:tcPr>
          <w:p>
            <w:pPr/>
            <w:r>
              <w:rPr>
                <w:sz w:val="18"/>
              </w:rPr>
              <w:t>MiFID II / MiFIR</w:t>
            </w:r>
          </w:p>
        </w:tc>
        <w:tc>
          <w:tcPr>
            <w:tcW w:type="dxa" w:w="2160"/>
          </w:tcPr>
          <w:p>
            <w:pPr/>
            <w:r>
              <w:rPr>
                <w:sz w:val="18"/>
              </w:rPr>
              <w:t>Directive 2014/65/EU / Regulation 600/2014</w:t>
            </w:r>
          </w:p>
        </w:tc>
        <w:tc>
          <w:tcPr>
            <w:tcW w:type="dxa" w:w="2160"/>
          </w:tcPr>
          <w:p>
            <w:pPr/>
            <w:r>
              <w:rPr>
                <w:sz w:val="18"/>
              </w:rPr>
              <w:t>UK MiFID / UK MiFIR (being replaced by FCA rules)</w:t>
            </w:r>
          </w:p>
        </w:tc>
        <w:tc>
          <w:tcPr>
            <w:tcW w:type="dxa" w:w="2160"/>
          </w:tcPr>
          <w:p>
            <w:pPr/>
            <w:r>
              <w:rPr>
                <w:sz w:val="18"/>
              </w:rPr>
              <w:t>Market structure, transparency, investor protection</w:t>
            </w:r>
          </w:p>
        </w:tc>
      </w:tr>
      <w:tr>
        <w:tc>
          <w:tcPr>
            <w:tcW w:type="dxa" w:w="2160"/>
          </w:tcPr>
          <w:p>
            <w:pPr/>
            <w:r>
              <w:rPr>
                <w:sz w:val="18"/>
              </w:rPr>
              <w:t>MAR</w:t>
            </w:r>
          </w:p>
        </w:tc>
        <w:tc>
          <w:tcPr>
            <w:tcW w:type="dxa" w:w="2160"/>
          </w:tcPr>
          <w:p>
            <w:pPr/>
            <w:r>
              <w:rPr>
                <w:sz w:val="18"/>
              </w:rPr>
              <w:t>Regulation 596/2014</w:t>
            </w:r>
          </w:p>
        </w:tc>
        <w:tc>
          <w:tcPr>
            <w:tcW w:type="dxa" w:w="2160"/>
          </w:tcPr>
          <w:p>
            <w:pPr/>
            <w:r>
              <w:rPr>
                <w:sz w:val="18"/>
              </w:rPr>
              <w:t>UK MAR</w:t>
            </w:r>
          </w:p>
        </w:tc>
        <w:tc>
          <w:tcPr>
            <w:tcW w:type="dxa" w:w="2160"/>
          </w:tcPr>
          <w:p>
            <w:pPr/>
            <w:r>
              <w:rPr>
                <w:sz w:val="18"/>
              </w:rPr>
              <w:t>Market abuse prevention</w:t>
            </w:r>
          </w:p>
        </w:tc>
      </w:tr>
      <w:tr>
        <w:tc>
          <w:tcPr>
            <w:tcW w:type="dxa" w:w="2160"/>
          </w:tcPr>
          <w:p>
            <w:pPr/>
            <w:r>
              <w:rPr>
                <w:sz w:val="18"/>
              </w:rPr>
              <w:t>CSDR</w:t>
            </w:r>
          </w:p>
        </w:tc>
        <w:tc>
          <w:tcPr>
            <w:tcW w:type="dxa" w:w="2160"/>
          </w:tcPr>
          <w:p>
            <w:pPr/>
            <w:r>
              <w:rPr>
                <w:sz w:val="18"/>
              </w:rPr>
              <w:t>Regulation 909/2014</w:t>
            </w:r>
          </w:p>
        </w:tc>
        <w:tc>
          <w:tcPr>
            <w:tcW w:type="dxa" w:w="2160"/>
          </w:tcPr>
          <w:p>
            <w:pPr/>
            <w:r>
              <w:rPr>
                <w:sz w:val="18"/>
              </w:rPr>
              <w:t>UK CSDR</w:t>
            </w:r>
          </w:p>
        </w:tc>
        <w:tc>
          <w:tcPr>
            <w:tcW w:type="dxa" w:w="2160"/>
          </w:tcPr>
          <w:p>
            <w:pPr/>
            <w:r>
              <w:rPr>
                <w:sz w:val="18"/>
              </w:rPr>
              <w:t>Settlement, CSD regulation</w:t>
            </w:r>
          </w:p>
        </w:tc>
      </w:tr>
      <w:tr>
        <w:tc>
          <w:tcPr>
            <w:tcW w:type="dxa" w:w="2160"/>
          </w:tcPr>
          <w:p>
            <w:pPr/>
            <w:r>
              <w:rPr>
                <w:sz w:val="18"/>
              </w:rPr>
              <w:t>Prospectus Reg</w:t>
            </w:r>
          </w:p>
        </w:tc>
        <w:tc>
          <w:tcPr>
            <w:tcW w:type="dxa" w:w="2160"/>
          </w:tcPr>
          <w:p>
            <w:pPr/>
            <w:r>
              <w:rPr>
                <w:sz w:val="18"/>
              </w:rPr>
              <w:t>Regulation 2017/1129</w:t>
            </w:r>
          </w:p>
        </w:tc>
        <w:tc>
          <w:tcPr>
            <w:tcW w:type="dxa" w:w="2160"/>
          </w:tcPr>
          <w:p>
            <w:pPr/>
            <w:r>
              <w:rPr>
                <w:sz w:val="18"/>
              </w:rPr>
              <w:t>FCA PRM sourcebook (from Jan 2026)</w:t>
            </w:r>
          </w:p>
        </w:tc>
        <w:tc>
          <w:tcPr>
            <w:tcW w:type="dxa" w:w="2160"/>
          </w:tcPr>
          <w:p>
            <w:pPr/>
            <w:r>
              <w:rPr>
                <w:sz w:val="18"/>
              </w:rPr>
              <w:t>IPO/listing disclosure</w:t>
            </w:r>
          </w:p>
        </w:tc>
      </w:tr>
      <w:tr>
        <w:tc>
          <w:tcPr>
            <w:tcW w:type="dxa" w:w="2160"/>
          </w:tcPr>
          <w:p>
            <w:pPr/>
            <w:r>
              <w:rPr>
                <w:sz w:val="18"/>
              </w:rPr>
              <w:t>SSR</w:t>
            </w:r>
          </w:p>
        </w:tc>
        <w:tc>
          <w:tcPr>
            <w:tcW w:type="dxa" w:w="2160"/>
          </w:tcPr>
          <w:p>
            <w:pPr/>
            <w:r>
              <w:rPr>
                <w:sz w:val="18"/>
              </w:rPr>
              <w:t>Regulation 236/2012</w:t>
            </w:r>
          </w:p>
        </w:tc>
        <w:tc>
          <w:tcPr>
            <w:tcW w:type="dxa" w:w="2160"/>
          </w:tcPr>
          <w:p>
            <w:pPr/>
            <w:r>
              <w:rPr>
                <w:sz w:val="18"/>
              </w:rPr>
              <w:t>Short Selling Regulations 2025</w:t>
            </w:r>
          </w:p>
        </w:tc>
        <w:tc>
          <w:tcPr>
            <w:tcW w:type="dxa" w:w="2160"/>
          </w:tcPr>
          <w:p>
            <w:pPr/>
            <w:r>
              <w:rPr>
                <w:sz w:val="18"/>
              </w:rPr>
              <w:t>Short selling controls</w:t>
            </w:r>
          </w:p>
        </w:tc>
      </w:tr>
      <w:tr>
        <w:tc>
          <w:tcPr>
            <w:tcW w:type="dxa" w:w="2160"/>
          </w:tcPr>
          <w:p>
            <w:pPr/>
            <w:r>
              <w:rPr>
                <w:sz w:val="18"/>
              </w:rPr>
              <w:t>EMIR</w:t>
            </w:r>
          </w:p>
        </w:tc>
        <w:tc>
          <w:tcPr>
            <w:tcW w:type="dxa" w:w="2160"/>
          </w:tcPr>
          <w:p>
            <w:pPr/>
            <w:r>
              <w:rPr>
                <w:sz w:val="18"/>
              </w:rPr>
              <w:t>Regulation 648/2012</w:t>
            </w:r>
          </w:p>
        </w:tc>
        <w:tc>
          <w:tcPr>
            <w:tcW w:type="dxa" w:w="2160"/>
          </w:tcPr>
          <w:p>
            <w:pPr/>
            <w:r>
              <w:rPr>
                <w:sz w:val="18"/>
              </w:rPr>
              <w:t>UK EMIR</w:t>
            </w:r>
          </w:p>
        </w:tc>
        <w:tc>
          <w:tcPr>
            <w:tcW w:type="dxa" w:w="2160"/>
          </w:tcPr>
          <w:p>
            <w:pPr/>
            <w:r>
              <w:rPr>
                <w:sz w:val="18"/>
              </w:rPr>
              <w:t>OTC derivatives, CCPs</w:t>
            </w:r>
          </w:p>
        </w:tc>
      </w:tr>
      <w:tr>
        <w:tc>
          <w:tcPr>
            <w:tcW w:type="dxa" w:w="2160"/>
          </w:tcPr>
          <w:p>
            <w:pPr/>
            <w:r>
              <w:rPr>
                <w:sz w:val="18"/>
              </w:rPr>
              <w:t>BMR</w:t>
            </w:r>
          </w:p>
        </w:tc>
        <w:tc>
          <w:tcPr>
            <w:tcW w:type="dxa" w:w="2160"/>
          </w:tcPr>
          <w:p>
            <w:pPr/>
            <w:r>
              <w:rPr>
                <w:sz w:val="18"/>
              </w:rPr>
              <w:t>Regulation 2016/1011</w:t>
            </w:r>
          </w:p>
        </w:tc>
        <w:tc>
          <w:tcPr>
            <w:tcW w:type="dxa" w:w="2160"/>
          </w:tcPr>
          <w:p>
            <w:pPr/>
            <w:r>
              <w:rPr>
                <w:sz w:val="18"/>
              </w:rPr>
              <w:t>UK BMR</w:t>
            </w:r>
          </w:p>
        </w:tc>
        <w:tc>
          <w:tcPr>
            <w:tcW w:type="dxa" w:w="2160"/>
          </w:tcPr>
          <w:p>
            <w:pPr/>
            <w:r>
              <w:rPr>
                <w:sz w:val="18"/>
              </w:rPr>
              <w:t>Benchmarks</w:t>
            </w:r>
          </w:p>
        </w:tc>
      </w:tr>
      <w:tr>
        <w:tc>
          <w:tcPr>
            <w:tcW w:type="dxa" w:w="2160"/>
          </w:tcPr>
          <w:p>
            <w:pPr/>
            <w:r>
              <w:rPr>
                <w:sz w:val="18"/>
              </w:rPr>
              <w:t>DORA</w:t>
            </w:r>
          </w:p>
        </w:tc>
        <w:tc>
          <w:tcPr>
            <w:tcW w:type="dxa" w:w="2160"/>
          </w:tcPr>
          <w:p>
            <w:pPr/>
            <w:r>
              <w:rPr>
                <w:sz w:val="18"/>
              </w:rPr>
              <w:t>Regulation 2022/2554</w:t>
            </w:r>
          </w:p>
        </w:tc>
        <w:tc>
          <w:tcPr>
            <w:tcW w:type="dxa" w:w="2160"/>
          </w:tcPr>
          <w:p>
            <w:pPr/>
            <w:r>
              <w:rPr>
                <w:sz w:val="18"/>
              </w:rPr>
              <w:t>N/A (UK has own operational resilience framework)</w:t>
            </w:r>
          </w:p>
        </w:tc>
        <w:tc>
          <w:tcPr>
            <w:tcW w:type="dxa" w:w="2160"/>
          </w:tcPr>
          <w:p>
            <w:pPr/>
            <w:r>
              <w:rPr>
                <w:sz w:val="18"/>
              </w:rPr>
              <w:t>ICT/cyber resilience</w:t>
            </w:r>
          </w:p>
        </w:tc>
      </w:tr>
    </w:tbl>
    <w:p/>
    <w:p>
      <w:r>
        <w:t>────────────────────────────────────────────────────────────</w:t>
      </w:r>
    </w:p>
    <w:p>
      <w:pPr>
        <w:pStyle w:val="Heading2"/>
      </w:pPr>
      <w:r>
        <w:t>3. Market Structure Rules</w:t>
      </w:r>
    </w:p>
    <w:p>
      <w:pPr>
        <w:pStyle w:val="Heading3"/>
      </w:pPr>
      <w:r>
        <w:t>3.1 Venue Categories</w:t>
      </w:r>
    </w:p>
    <w:p>
      <w:r>
        <w:t>MiFID II establishes a comprehensive taxonomy of execution venues, closing the gap that existed under MiFID I where significant trading occurred outside regulated venues (in "dark pools" and via broker crossing networks).</w:t>
      </w:r>
    </w:p>
    <w:p>
      <w:pPr>
        <w:pStyle w:val="Heading4"/>
      </w:pPr>
      <w:r>
        <w:t>3.1.1 Regulated Market (RM)</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Attribute</w:t>
            </w:r>
          </w:p>
        </w:tc>
        <w:tc>
          <w:tcPr>
            <w:tcW w:type="dxa" w:w="4320"/>
          </w:tcPr>
          <w:p>
            <w:pPr/>
            <w:r>
              <w:rPr>
                <w:b/>
                <w:sz w:val="18"/>
              </w:rPr>
              <w:t>Details</w:t>
            </w:r>
          </w:p>
        </w:tc>
      </w:tr>
      <w:tr>
        <w:tc>
          <w:tcPr>
            <w:tcW w:type="dxa" w:w="4320"/>
          </w:tcPr>
          <w:p>
            <w:pPr/>
            <w:r>
              <w:rPr>
                <w:sz w:val="18"/>
              </w:rPr>
              <w:t>Definition</w:t>
            </w:r>
          </w:p>
        </w:tc>
        <w:tc>
          <w:tcPr>
            <w:tcW w:type="dxa" w:w="4320"/>
          </w:tcPr>
          <w:p>
            <w:pPr/>
            <w:r>
              <w:rPr>
                <w:sz w:val="18"/>
              </w:rPr>
              <w:t>A multilateral system operated by a market operator, bringing together multiple third-party buying and selling interests in financial instruments under non-discretionary rules resulting in a contract (MiFID II Art. 4(1)(21))</w:t>
            </w:r>
          </w:p>
        </w:tc>
      </w:tr>
      <w:tr>
        <w:tc>
          <w:tcPr>
            <w:tcW w:type="dxa" w:w="4320"/>
          </w:tcPr>
          <w:p>
            <w:pPr/>
            <w:r>
              <w:rPr>
                <w:sz w:val="18"/>
              </w:rPr>
              <w:t>Key feature</w:t>
            </w:r>
          </w:p>
        </w:tc>
        <w:tc>
          <w:tcPr>
            <w:tcW w:type="dxa" w:w="4320"/>
          </w:tcPr>
          <w:p>
            <w:pPr/>
            <w:r>
              <w:rPr>
                <w:sz w:val="18"/>
              </w:rPr>
              <w:t>Non-discretionary matching; operator cannot exercise discretion over order execution</w:t>
            </w:r>
          </w:p>
        </w:tc>
      </w:tr>
      <w:tr>
        <w:tc>
          <w:tcPr>
            <w:tcW w:type="dxa" w:w="4320"/>
          </w:tcPr>
          <w:p>
            <w:pPr/>
            <w:r>
              <w:rPr>
                <w:sz w:val="18"/>
              </w:rPr>
              <w:t>Asset classes</w:t>
            </w:r>
          </w:p>
        </w:tc>
        <w:tc>
          <w:tcPr>
            <w:tcW w:type="dxa" w:w="4320"/>
          </w:tcPr>
          <w:p>
            <w:pPr/>
            <w:r>
              <w:rPr>
                <w:sz w:val="18"/>
              </w:rPr>
              <w:t>All financial instruments</w:t>
            </w:r>
          </w:p>
        </w:tc>
      </w:tr>
      <w:tr>
        <w:tc>
          <w:tcPr>
            <w:tcW w:type="dxa" w:w="4320"/>
          </w:tcPr>
          <w:p>
            <w:pPr/>
            <w:r>
              <w:rPr>
                <w:sz w:val="18"/>
              </w:rPr>
              <w:t>Examples</w:t>
            </w:r>
          </w:p>
        </w:tc>
        <w:tc>
          <w:tcPr>
            <w:tcW w:type="dxa" w:w="4320"/>
          </w:tcPr>
          <w:p>
            <w:pPr/>
            <w:r>
              <w:rPr>
                <w:sz w:val="18"/>
              </w:rPr>
              <w:t>Euronext Paris, Deutsche Borse (Xetra), Borsa Italiana, BME, LSE Main Market</w:t>
            </w:r>
          </w:p>
        </w:tc>
      </w:tr>
      <w:tr>
        <w:tc>
          <w:tcPr>
            <w:tcW w:type="dxa" w:w="4320"/>
          </w:tcPr>
          <w:p>
            <w:pPr/>
            <w:r>
              <w:rPr>
                <w:sz w:val="18"/>
              </w:rPr>
              <w:t>Authorisation</w:t>
            </w:r>
          </w:p>
        </w:tc>
        <w:tc>
          <w:tcPr>
            <w:tcW w:type="dxa" w:w="4320"/>
          </w:tcPr>
          <w:p>
            <w:pPr/>
            <w:r>
              <w:rPr>
                <w:sz w:val="18"/>
              </w:rPr>
              <w:t>Requires authorisation from the NCA of the home Member State</w:t>
            </w:r>
          </w:p>
        </w:tc>
      </w:tr>
      <w:tr>
        <w:tc>
          <w:tcPr>
            <w:tcW w:type="dxa" w:w="4320"/>
          </w:tcPr>
          <w:p>
            <w:pPr/>
            <w:r>
              <w:rPr>
                <w:sz w:val="18"/>
              </w:rPr>
              <w:t>Operator restrictions</w:t>
            </w:r>
          </w:p>
        </w:tc>
        <w:tc>
          <w:tcPr>
            <w:tcW w:type="dxa" w:w="4320"/>
          </w:tcPr>
          <w:p>
            <w:pPr/>
            <w:r>
              <w:rPr>
                <w:sz w:val="18"/>
              </w:rPr>
              <w:t>Must be operated by a market operator (not an investment firm in its own capacity)</w:t>
            </w:r>
          </w:p>
        </w:tc>
      </w:tr>
    </w:tbl>
    <w:p/>
    <w:p>
      <w:pPr>
        <w:pStyle w:val="Heading4"/>
      </w:pPr>
      <w:r>
        <w:t>3.1.2 Multilateral Trading Facility (MTF)</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Attribute</w:t>
            </w:r>
          </w:p>
        </w:tc>
        <w:tc>
          <w:tcPr>
            <w:tcW w:type="dxa" w:w="4320"/>
          </w:tcPr>
          <w:p>
            <w:pPr/>
            <w:r>
              <w:rPr>
                <w:b/>
                <w:sz w:val="18"/>
              </w:rPr>
              <w:t>Details</w:t>
            </w:r>
          </w:p>
        </w:tc>
      </w:tr>
      <w:tr>
        <w:tc>
          <w:tcPr>
            <w:tcW w:type="dxa" w:w="4320"/>
          </w:tcPr>
          <w:p>
            <w:pPr/>
            <w:r>
              <w:rPr>
                <w:sz w:val="18"/>
              </w:rPr>
              <w:t>Definition</w:t>
            </w:r>
          </w:p>
        </w:tc>
        <w:tc>
          <w:tcPr>
            <w:tcW w:type="dxa" w:w="4320"/>
          </w:tcPr>
          <w:p>
            <w:pPr/>
            <w:r>
              <w:rPr>
                <w:sz w:val="18"/>
              </w:rPr>
              <w:t>A multilateral system operated by an investment firm or market operator, which brings together multiple third-party buying and selling interests under non-discretionary rules resulting in a contract (Art. 4(1)(22))</w:t>
            </w:r>
          </w:p>
        </w:tc>
      </w:tr>
      <w:tr>
        <w:tc>
          <w:tcPr>
            <w:tcW w:type="dxa" w:w="4320"/>
          </w:tcPr>
          <w:p>
            <w:pPr/>
            <w:r>
              <w:rPr>
                <w:sz w:val="18"/>
              </w:rPr>
              <w:t>Key feature</w:t>
            </w:r>
          </w:p>
        </w:tc>
        <w:tc>
          <w:tcPr>
            <w:tcW w:type="dxa" w:w="4320"/>
          </w:tcPr>
          <w:p>
            <w:pPr/>
            <w:r>
              <w:rPr>
                <w:sz w:val="18"/>
              </w:rPr>
              <w:t>Non-discretionary like RMs; can be operated by investment firms (unlike RMs)</w:t>
            </w:r>
          </w:p>
        </w:tc>
      </w:tr>
      <w:tr>
        <w:tc>
          <w:tcPr>
            <w:tcW w:type="dxa" w:w="4320"/>
          </w:tcPr>
          <w:p>
            <w:pPr/>
            <w:r>
              <w:rPr>
                <w:sz w:val="18"/>
              </w:rPr>
              <w:t>Asset classes</w:t>
            </w:r>
          </w:p>
        </w:tc>
        <w:tc>
          <w:tcPr>
            <w:tcW w:type="dxa" w:w="4320"/>
          </w:tcPr>
          <w:p>
            <w:pPr/>
            <w:r>
              <w:rPr>
                <w:sz w:val="18"/>
              </w:rPr>
              <w:t>All financial instruments</w:t>
            </w:r>
          </w:p>
        </w:tc>
      </w:tr>
      <w:tr>
        <w:tc>
          <w:tcPr>
            <w:tcW w:type="dxa" w:w="4320"/>
          </w:tcPr>
          <w:p>
            <w:pPr/>
            <w:r>
              <w:rPr>
                <w:sz w:val="18"/>
              </w:rPr>
              <w:t>Examples</w:t>
            </w:r>
          </w:p>
        </w:tc>
        <w:tc>
          <w:tcPr>
            <w:tcW w:type="dxa" w:w="4320"/>
          </w:tcPr>
          <w:p>
            <w:pPr/>
            <w:r>
              <w:rPr>
                <w:sz w:val="18"/>
              </w:rPr>
              <w:t>Cboe Europe (formerly BATS Chi-X), Turquoise (LSEG), Aquis Exchange, LSE AIM</w:t>
            </w:r>
          </w:p>
        </w:tc>
      </w:tr>
      <w:tr>
        <w:tc>
          <w:tcPr>
            <w:tcW w:type="dxa" w:w="4320"/>
          </w:tcPr>
          <w:p>
            <w:pPr/>
            <w:r>
              <w:rPr>
                <w:sz w:val="18"/>
              </w:rPr>
              <w:t>Distinction from RM</w:t>
            </w:r>
          </w:p>
        </w:tc>
        <w:tc>
          <w:tcPr>
            <w:tcW w:type="dxa" w:w="4320"/>
          </w:tcPr>
          <w:p>
            <w:pPr/>
            <w:r>
              <w:rPr>
                <w:sz w:val="18"/>
              </w:rPr>
              <w:t>Lighter organisational requirements; admission to trading on an MTF does not constitute "listing"</w:t>
            </w:r>
          </w:p>
        </w:tc>
      </w:tr>
    </w:tbl>
    <w:p/>
    <w:p>
      <w:pPr>
        <w:pStyle w:val="Heading4"/>
      </w:pPr>
      <w:r>
        <w:t>3.1.3 Organised Trading Facility (OTF)</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Attribute</w:t>
            </w:r>
          </w:p>
        </w:tc>
        <w:tc>
          <w:tcPr>
            <w:tcW w:type="dxa" w:w="4320"/>
          </w:tcPr>
          <w:p>
            <w:pPr/>
            <w:r>
              <w:rPr>
                <w:b/>
                <w:sz w:val="18"/>
              </w:rPr>
              <w:t>Details</w:t>
            </w:r>
          </w:p>
        </w:tc>
      </w:tr>
      <w:tr>
        <w:tc>
          <w:tcPr>
            <w:tcW w:type="dxa" w:w="4320"/>
          </w:tcPr>
          <w:p>
            <w:pPr/>
            <w:r>
              <w:rPr>
                <w:sz w:val="18"/>
              </w:rPr>
              <w:t>Definition</w:t>
            </w:r>
          </w:p>
        </w:tc>
        <w:tc>
          <w:tcPr>
            <w:tcW w:type="dxa" w:w="4320"/>
          </w:tcPr>
          <w:p>
            <w:pPr/>
            <w:r>
              <w:rPr>
                <w:sz w:val="18"/>
              </w:rPr>
              <w:t>A multilateral system that is not an RM or MTF, in which multiple third-party buying and selling interests in bonds, structured finance products, emission allowances or derivatives are able to interact in a way that results in a contract (Art. 4(1)(23))</w:t>
            </w:r>
          </w:p>
        </w:tc>
      </w:tr>
      <w:tr>
        <w:tc>
          <w:tcPr>
            <w:tcW w:type="dxa" w:w="4320"/>
          </w:tcPr>
          <w:p>
            <w:pPr/>
            <w:r>
              <w:rPr>
                <w:sz w:val="18"/>
              </w:rPr>
              <w:t>Key feature</w:t>
            </w:r>
          </w:p>
        </w:tc>
        <w:tc>
          <w:tcPr>
            <w:tcW w:type="dxa" w:w="4320"/>
          </w:tcPr>
          <w:p>
            <w:pPr/>
            <w:r>
              <w:rPr>
                <w:sz w:val="18"/>
              </w:rPr>
              <w:t>**Discretionary execution** — the operator can exercise discretion over how orders interact; introduced by MiFID II to capture broker crossing networks</w:t>
            </w:r>
          </w:p>
        </w:tc>
      </w:tr>
      <w:tr>
        <w:tc>
          <w:tcPr>
            <w:tcW w:type="dxa" w:w="4320"/>
          </w:tcPr>
          <w:p>
            <w:pPr/>
            <w:r>
              <w:rPr>
                <w:sz w:val="18"/>
              </w:rPr>
              <w:t>Asset classes</w:t>
            </w:r>
          </w:p>
        </w:tc>
        <w:tc>
          <w:tcPr>
            <w:tcW w:type="dxa" w:w="4320"/>
          </w:tcPr>
          <w:p>
            <w:pPr/>
            <w:r>
              <w:rPr>
                <w:sz w:val="18"/>
              </w:rPr>
              <w:t>**Non-equity only** — bonds, structured finance, emission allowances, derivatives</w:t>
            </w:r>
          </w:p>
        </w:tc>
      </w:tr>
      <w:tr>
        <w:tc>
          <w:tcPr>
            <w:tcW w:type="dxa" w:w="4320"/>
          </w:tcPr>
          <w:p>
            <w:pPr/>
            <w:r>
              <w:rPr>
                <w:sz w:val="18"/>
              </w:rPr>
              <w:t>Restrictions</w:t>
            </w:r>
          </w:p>
        </w:tc>
        <w:tc>
          <w:tcPr>
            <w:tcW w:type="dxa" w:w="4320"/>
          </w:tcPr>
          <w:p>
            <w:pPr/>
            <w:r>
              <w:rPr>
                <w:sz w:val="18"/>
              </w:rPr>
              <w:t>Cannot trade equities; operator cannot use own capital (except for illiquid sovereign debt); cannot combine with SI activities</w:t>
            </w:r>
          </w:p>
        </w:tc>
      </w:tr>
    </w:tbl>
    <w:p/>
    <w:p>
      <w:pPr>
        <w:pStyle w:val="Heading4"/>
      </w:pPr>
      <w:r>
        <w:t>3.1.4 Systematic Internaliser (SI)</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Attribute</w:t>
            </w:r>
          </w:p>
        </w:tc>
        <w:tc>
          <w:tcPr>
            <w:tcW w:type="dxa" w:w="4320"/>
          </w:tcPr>
          <w:p>
            <w:pPr/>
            <w:r>
              <w:rPr>
                <w:b/>
                <w:sz w:val="18"/>
              </w:rPr>
              <w:t>Details</w:t>
            </w:r>
          </w:p>
        </w:tc>
      </w:tr>
      <w:tr>
        <w:tc>
          <w:tcPr>
            <w:tcW w:type="dxa" w:w="4320"/>
          </w:tcPr>
          <w:p>
            <w:pPr/>
            <w:r>
              <w:rPr>
                <w:sz w:val="18"/>
              </w:rPr>
              <w:t>Definition</w:t>
            </w:r>
          </w:p>
        </w:tc>
        <w:tc>
          <w:tcPr>
            <w:tcW w:type="dxa" w:w="4320"/>
          </w:tcPr>
          <w:p>
            <w:pPr/>
            <w:r>
              <w:rPr>
                <w:sz w:val="18"/>
              </w:rPr>
              <w:t>An investment firm which, on an organised, frequent, systematic and substantial basis, deals on own account when executing client orders outside a trading venue (Art. 4(1)(20))</w:t>
            </w:r>
          </w:p>
        </w:tc>
      </w:tr>
      <w:tr>
        <w:tc>
          <w:tcPr>
            <w:tcW w:type="dxa" w:w="4320"/>
          </w:tcPr>
          <w:p>
            <w:pPr/>
            <w:r>
              <w:rPr>
                <w:sz w:val="18"/>
              </w:rPr>
              <w:t>Key feature</w:t>
            </w:r>
          </w:p>
        </w:tc>
        <w:tc>
          <w:tcPr>
            <w:tcW w:type="dxa" w:w="4320"/>
          </w:tcPr>
          <w:p>
            <w:pPr/>
            <w:r>
              <w:rPr>
                <w:sz w:val="18"/>
              </w:rPr>
              <w:t>Bilateral (not multilateral); firm acts as counterparty to the client; not a "trading venue" under MiFID II</w:t>
            </w:r>
          </w:p>
        </w:tc>
      </w:tr>
      <w:tr>
        <w:tc>
          <w:tcPr>
            <w:tcW w:type="dxa" w:w="4320"/>
          </w:tcPr>
          <w:p>
            <w:pPr/>
            <w:r>
              <w:rPr>
                <w:sz w:val="18"/>
              </w:rPr>
              <w:t>Asset classes</w:t>
            </w:r>
          </w:p>
        </w:tc>
        <w:tc>
          <w:tcPr>
            <w:tcW w:type="dxa" w:w="4320"/>
          </w:tcPr>
          <w:p>
            <w:pPr/>
            <w:r>
              <w:rPr>
                <w:sz w:val="18"/>
              </w:rPr>
              <w:t>All financial instruments</w:t>
            </w:r>
          </w:p>
        </w:tc>
      </w:tr>
      <w:tr>
        <w:tc>
          <w:tcPr>
            <w:tcW w:type="dxa" w:w="4320"/>
          </w:tcPr>
          <w:p>
            <w:pPr/>
            <w:r>
              <w:rPr>
                <w:sz w:val="18"/>
              </w:rPr>
              <w:t>Pre-trade transparency</w:t>
            </w:r>
          </w:p>
        </w:tc>
        <w:tc>
          <w:tcPr>
            <w:tcW w:type="dxa" w:w="4320"/>
          </w:tcPr>
          <w:p>
            <w:pPr/>
            <w:r>
              <w:rPr>
                <w:sz w:val="18"/>
              </w:rPr>
              <w:t>Must publish firm quotes for liquid equity instruments when dealing in sizes up to Standard Market Size (SMS); quotes must be made available to other clients on a non-discriminatory basis</w:t>
            </w:r>
          </w:p>
        </w:tc>
      </w:tr>
      <w:tr>
        <w:tc>
          <w:tcPr>
            <w:tcW w:type="dxa" w:w="4320"/>
          </w:tcPr>
          <w:p>
            <w:pPr/>
            <w:r>
              <w:rPr>
                <w:sz w:val="18"/>
              </w:rPr>
              <w:t>Examples</w:t>
            </w:r>
          </w:p>
        </w:tc>
        <w:tc>
          <w:tcPr>
            <w:tcW w:type="dxa" w:w="4320"/>
          </w:tcPr>
          <w:p>
            <w:pPr/>
            <w:r>
              <w:rPr>
                <w:sz w:val="18"/>
              </w:rPr>
              <w:t>Major investment banks (Goldman Sachs, JP Morgan, Citadel Securities) operating SI desks</w:t>
            </w:r>
          </w:p>
        </w:tc>
      </w:tr>
      <w:tr>
        <w:tc>
          <w:tcPr>
            <w:tcW w:type="dxa" w:w="4320"/>
          </w:tcPr>
          <w:p>
            <w:pPr/>
            <w:r>
              <w:rPr>
                <w:sz w:val="18"/>
              </w:rPr>
              <w:t>Quantitative thresholds</w:t>
            </w:r>
          </w:p>
        </w:tc>
        <w:tc>
          <w:tcPr>
            <w:tcW w:type="dxa" w:w="4320"/>
          </w:tcPr>
          <w:p>
            <w:pPr/>
            <w:r>
              <w:rPr>
                <w:sz w:val="18"/>
              </w:rPr>
              <w:t>Under original MiFID II: a firm is an SI if dealing above thresholds of frequency (at least once a week or more than half of the total number of days in a quarter), and substantiality (at least 15% of total turnover or 25% of total EU turnover in the instrument). Under the MiFIR Review, these opt-in quantitative thresholds are replaced by a qualitative self-assessment approach</w:t>
            </w:r>
          </w:p>
        </w:tc>
      </w:tr>
    </w:tbl>
    <w:p/>
    <w:p>
      <w:r>
        <w:t>[Source: ESMA, "MiFID II Article 4 — Definitions", accessed 2026-04-06]</w:t>
      </w:r>
    </w:p>
    <w:p>
      <w:r>
        <w:t>[Source: Norton Rose Fulbright, "MiFID II: Trading venues and market infrastructure", accessed 2026-04-06]</w:t>
      </w:r>
    </w:p>
    <w:p>
      <w:pPr>
        <w:pStyle w:val="Heading4"/>
      </w:pPr>
      <w:r>
        <w:t>3.1.5 Venue Category Comparison</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Feature</w:t>
            </w:r>
          </w:p>
        </w:tc>
        <w:tc>
          <w:tcPr>
            <w:tcW w:type="dxa" w:w="1728"/>
          </w:tcPr>
          <w:p>
            <w:pPr/>
            <w:r>
              <w:rPr>
                <w:b/>
                <w:sz w:val="18"/>
              </w:rPr>
              <w:t>RM</w:t>
            </w:r>
          </w:p>
        </w:tc>
        <w:tc>
          <w:tcPr>
            <w:tcW w:type="dxa" w:w="1728"/>
          </w:tcPr>
          <w:p>
            <w:pPr/>
            <w:r>
              <w:rPr>
                <w:b/>
                <w:sz w:val="18"/>
              </w:rPr>
              <w:t>MTF</w:t>
            </w:r>
          </w:p>
        </w:tc>
        <w:tc>
          <w:tcPr>
            <w:tcW w:type="dxa" w:w="1728"/>
          </w:tcPr>
          <w:p>
            <w:pPr/>
            <w:r>
              <w:rPr>
                <w:b/>
                <w:sz w:val="18"/>
              </w:rPr>
              <w:t>OTF</w:t>
            </w:r>
          </w:p>
        </w:tc>
        <w:tc>
          <w:tcPr>
            <w:tcW w:type="dxa" w:w="1728"/>
          </w:tcPr>
          <w:p>
            <w:pPr/>
            <w:r>
              <w:rPr>
                <w:b/>
                <w:sz w:val="18"/>
              </w:rPr>
              <w:t>SI</w:t>
            </w:r>
          </w:p>
        </w:tc>
      </w:tr>
      <w:tr>
        <w:tc>
          <w:tcPr>
            <w:tcW w:type="dxa" w:w="1728"/>
          </w:tcPr>
          <w:p>
            <w:pPr/>
            <w:r>
              <w:rPr>
                <w:sz w:val="18"/>
              </w:rPr>
              <w:t>Multilateral</w:t>
            </w:r>
          </w:p>
        </w:tc>
        <w:tc>
          <w:tcPr>
            <w:tcW w:type="dxa" w:w="1728"/>
          </w:tcPr>
          <w:p>
            <w:pPr/>
            <w:r>
              <w:rPr>
                <w:sz w:val="18"/>
              </w:rPr>
              <w:t>Yes</w:t>
            </w:r>
          </w:p>
        </w:tc>
        <w:tc>
          <w:tcPr>
            <w:tcW w:type="dxa" w:w="1728"/>
          </w:tcPr>
          <w:p>
            <w:pPr/>
            <w:r>
              <w:rPr>
                <w:sz w:val="18"/>
              </w:rPr>
              <w:t>Yes</w:t>
            </w:r>
          </w:p>
        </w:tc>
        <w:tc>
          <w:tcPr>
            <w:tcW w:type="dxa" w:w="1728"/>
          </w:tcPr>
          <w:p>
            <w:pPr/>
            <w:r>
              <w:rPr>
                <w:sz w:val="18"/>
              </w:rPr>
              <w:t>Yes</w:t>
            </w:r>
          </w:p>
        </w:tc>
        <w:tc>
          <w:tcPr>
            <w:tcW w:type="dxa" w:w="1728"/>
          </w:tcPr>
          <w:p>
            <w:pPr/>
            <w:r>
              <w:rPr>
                <w:sz w:val="18"/>
              </w:rPr>
              <w:t>No (bilateral)</w:t>
            </w:r>
          </w:p>
        </w:tc>
      </w:tr>
      <w:tr>
        <w:tc>
          <w:tcPr>
            <w:tcW w:type="dxa" w:w="1728"/>
          </w:tcPr>
          <w:p>
            <w:pPr/>
            <w:r>
              <w:rPr>
                <w:sz w:val="18"/>
              </w:rPr>
              <w:t>Discretionary execution</w:t>
            </w:r>
          </w:p>
        </w:tc>
        <w:tc>
          <w:tcPr>
            <w:tcW w:type="dxa" w:w="1728"/>
          </w:tcPr>
          <w:p>
            <w:pPr/>
            <w:r>
              <w:rPr>
                <w:sz w:val="18"/>
              </w:rPr>
              <w:t>No</w:t>
            </w:r>
          </w:p>
        </w:tc>
        <w:tc>
          <w:tcPr>
            <w:tcW w:type="dxa" w:w="1728"/>
          </w:tcPr>
          <w:p>
            <w:pPr/>
            <w:r>
              <w:rPr>
                <w:sz w:val="18"/>
              </w:rPr>
              <w:t>No</w:t>
            </w:r>
          </w:p>
        </w:tc>
        <w:tc>
          <w:tcPr>
            <w:tcW w:type="dxa" w:w="1728"/>
          </w:tcPr>
          <w:p>
            <w:pPr/>
            <w:r>
              <w:rPr>
                <w:sz w:val="18"/>
              </w:rPr>
              <w:t>Yes</w:t>
            </w:r>
          </w:p>
        </w:tc>
        <w:tc>
          <w:tcPr>
            <w:tcW w:type="dxa" w:w="1728"/>
          </w:tcPr>
          <w:p>
            <w:pPr/>
            <w:r>
              <w:rPr>
                <w:sz w:val="18"/>
              </w:rPr>
              <w:t>Yes (own capital)</w:t>
            </w:r>
          </w:p>
        </w:tc>
      </w:tr>
      <w:tr>
        <w:tc>
          <w:tcPr>
            <w:tcW w:type="dxa" w:w="1728"/>
          </w:tcPr>
          <w:p>
            <w:pPr/>
            <w:r>
              <w:rPr>
                <w:sz w:val="18"/>
              </w:rPr>
              <w:t>Equities trading</w:t>
            </w:r>
          </w:p>
        </w:tc>
        <w:tc>
          <w:tcPr>
            <w:tcW w:type="dxa" w:w="1728"/>
          </w:tcPr>
          <w:p>
            <w:pPr/>
            <w:r>
              <w:rPr>
                <w:sz w:val="18"/>
              </w:rPr>
              <w:t>Yes</w:t>
            </w:r>
          </w:p>
        </w:tc>
        <w:tc>
          <w:tcPr>
            <w:tcW w:type="dxa" w:w="1728"/>
          </w:tcPr>
          <w:p>
            <w:pPr/>
            <w:r>
              <w:rPr>
                <w:sz w:val="18"/>
              </w:rPr>
              <w:t>Yes</w:t>
            </w:r>
          </w:p>
        </w:tc>
        <w:tc>
          <w:tcPr>
            <w:tcW w:type="dxa" w:w="1728"/>
          </w:tcPr>
          <w:p>
            <w:pPr/>
            <w:r>
              <w:rPr>
                <w:sz w:val="18"/>
              </w:rPr>
              <w:t>**No**</w:t>
            </w:r>
          </w:p>
        </w:tc>
        <w:tc>
          <w:tcPr>
            <w:tcW w:type="dxa" w:w="1728"/>
          </w:tcPr>
          <w:p>
            <w:pPr/>
            <w:r>
              <w:rPr>
                <w:sz w:val="18"/>
              </w:rPr>
              <w:t>Yes</w:t>
            </w:r>
          </w:p>
        </w:tc>
      </w:tr>
      <w:tr>
        <w:tc>
          <w:tcPr>
            <w:tcW w:type="dxa" w:w="1728"/>
          </w:tcPr>
          <w:p>
            <w:pPr/>
            <w:r>
              <w:rPr>
                <w:sz w:val="18"/>
              </w:rPr>
              <w:t>Operated by</w:t>
            </w:r>
          </w:p>
        </w:tc>
        <w:tc>
          <w:tcPr>
            <w:tcW w:type="dxa" w:w="1728"/>
          </w:tcPr>
          <w:p>
            <w:pPr/>
            <w:r>
              <w:rPr>
                <w:sz w:val="18"/>
              </w:rPr>
              <w:t>Market operator only</w:t>
            </w:r>
          </w:p>
        </w:tc>
        <w:tc>
          <w:tcPr>
            <w:tcW w:type="dxa" w:w="1728"/>
          </w:tcPr>
          <w:p>
            <w:pPr/>
            <w:r>
              <w:rPr>
                <w:sz w:val="18"/>
              </w:rPr>
              <w:t>Market operator or investment firm</w:t>
            </w:r>
          </w:p>
        </w:tc>
        <w:tc>
          <w:tcPr>
            <w:tcW w:type="dxa" w:w="1728"/>
          </w:tcPr>
          <w:p>
            <w:pPr/>
            <w:r>
              <w:rPr>
                <w:sz w:val="18"/>
              </w:rPr>
              <w:t>Market operator or investment firm</w:t>
            </w:r>
          </w:p>
        </w:tc>
        <w:tc>
          <w:tcPr>
            <w:tcW w:type="dxa" w:w="1728"/>
          </w:tcPr>
          <w:p>
            <w:pPr/>
            <w:r>
              <w:rPr>
                <w:sz w:val="18"/>
              </w:rPr>
              <w:t>Investment firm</w:t>
            </w:r>
          </w:p>
        </w:tc>
      </w:tr>
      <w:tr>
        <w:tc>
          <w:tcPr>
            <w:tcW w:type="dxa" w:w="1728"/>
          </w:tcPr>
          <w:p>
            <w:pPr/>
            <w:r>
              <w:rPr>
                <w:sz w:val="18"/>
              </w:rPr>
              <w:t>Pre-trade transparency</w:t>
            </w:r>
          </w:p>
        </w:tc>
        <w:tc>
          <w:tcPr>
            <w:tcW w:type="dxa" w:w="1728"/>
          </w:tcPr>
          <w:p>
            <w:pPr/>
            <w:r>
              <w:rPr>
                <w:sz w:val="18"/>
              </w:rPr>
              <w:t>Yes (full order book)</w:t>
            </w:r>
          </w:p>
        </w:tc>
        <w:tc>
          <w:tcPr>
            <w:tcW w:type="dxa" w:w="1728"/>
          </w:tcPr>
          <w:p>
            <w:pPr/>
            <w:r>
              <w:rPr>
                <w:sz w:val="18"/>
              </w:rPr>
              <w:t>Yes (full order book)</w:t>
            </w:r>
          </w:p>
        </w:tc>
        <w:tc>
          <w:tcPr>
            <w:tcW w:type="dxa" w:w="1728"/>
          </w:tcPr>
          <w:p>
            <w:pPr/>
            <w:r>
              <w:rPr>
                <w:sz w:val="18"/>
              </w:rPr>
              <w:t>Yes (for non-equities)</w:t>
            </w:r>
          </w:p>
        </w:tc>
        <w:tc>
          <w:tcPr>
            <w:tcW w:type="dxa" w:w="1728"/>
          </w:tcPr>
          <w:p>
            <w:pPr/>
            <w:r>
              <w:rPr>
                <w:sz w:val="18"/>
              </w:rPr>
              <w:t>Yes (quotes for liquid equities up to SMS)</w:t>
            </w:r>
          </w:p>
        </w:tc>
      </w:tr>
      <w:tr>
        <w:tc>
          <w:tcPr>
            <w:tcW w:type="dxa" w:w="1728"/>
          </w:tcPr>
          <w:p>
            <w:pPr/>
            <w:r>
              <w:rPr>
                <w:sz w:val="18"/>
              </w:rPr>
              <w:t>Post-trade transparency</w:t>
            </w:r>
          </w:p>
        </w:tc>
        <w:tc>
          <w:tcPr>
            <w:tcW w:type="dxa" w:w="1728"/>
          </w:tcPr>
          <w:p>
            <w:pPr/>
            <w:r>
              <w:rPr>
                <w:sz w:val="18"/>
              </w:rPr>
              <w:t>Yes</w:t>
            </w:r>
          </w:p>
        </w:tc>
        <w:tc>
          <w:tcPr>
            <w:tcW w:type="dxa" w:w="1728"/>
          </w:tcPr>
          <w:p>
            <w:pPr/>
            <w:r>
              <w:rPr>
                <w:sz w:val="18"/>
              </w:rPr>
              <w:t>Yes</w:t>
            </w:r>
          </w:p>
        </w:tc>
        <w:tc>
          <w:tcPr>
            <w:tcW w:type="dxa" w:w="1728"/>
          </w:tcPr>
          <w:p>
            <w:pPr/>
            <w:r>
              <w:rPr>
                <w:sz w:val="18"/>
              </w:rPr>
              <w:t>Yes</w:t>
            </w:r>
          </w:p>
        </w:tc>
        <w:tc>
          <w:tcPr>
            <w:tcW w:type="dxa" w:w="1728"/>
          </w:tcPr>
          <w:p>
            <w:pPr/>
            <w:r>
              <w:rPr>
                <w:sz w:val="18"/>
              </w:rPr>
              <w:t>Yes</w:t>
            </w:r>
          </w:p>
        </w:tc>
      </w:tr>
    </w:tbl>
    <w:p/>
    <w:p>
      <w:pPr>
        <w:pStyle w:val="Heading3"/>
      </w:pPr>
      <w:r>
        <w:t>3.2 Pre-Trade Transparency (Equities)</w:t>
      </w:r>
    </w:p>
    <w:p>
      <w:r>
        <w:t>MiFIR Articles 3-4 and RTS 1 govern pre-trade transparency for equity instruments. Trading venues must publish current bid/offer prices and depth of trading interests on a continuous basis during trading hours.</w:t>
      </w:r>
    </w:p>
    <w:p>
      <w:r>
        <w:t>Information to be published:</w:t>
      </w:r>
    </w:p>
    <w:p>
      <w:pPr>
        <w:pStyle w:val="ListBullet"/>
      </w:pPr>
      <w:r>
        <w:t>For order-book systems: the 5 best bid and offer price levels and volume at each level</w:t>
      </w:r>
    </w:p>
    <w:p>
      <w:pPr>
        <w:pStyle w:val="ListBullet"/>
      </w:pPr>
      <w:r>
        <w:t>For quote-driven systems: the best bid and offer of each market maker, with corresponding volumes</w:t>
      </w:r>
    </w:p>
    <w:p>
      <w:pPr>
        <w:pStyle w:val="ListBullet"/>
      </w:pPr>
      <w:r>
        <w:t>For periodic auction systems: the price at which the trading system would best satisfy its matching algorithm and the volume potentially executable at that price</w:t>
      </w:r>
    </w:p>
    <w:p>
      <w:r>
        <w:t>Pre-trade transparency waivers (Art. 4 MiFIR):</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Waiver</w:t>
            </w:r>
          </w:p>
        </w:tc>
        <w:tc>
          <w:tcPr>
            <w:tcW w:type="dxa" w:w="2880"/>
          </w:tcPr>
          <w:p>
            <w:pPr/>
            <w:r>
              <w:rPr>
                <w:b/>
                <w:sz w:val="18"/>
              </w:rPr>
              <w:t>Description</w:t>
            </w:r>
          </w:p>
        </w:tc>
        <w:tc>
          <w:tcPr>
            <w:tcW w:type="dxa" w:w="2880"/>
          </w:tcPr>
          <w:p>
            <w:pPr/>
            <w:r>
              <w:rPr>
                <w:b/>
                <w:sz w:val="18"/>
              </w:rPr>
              <w:t>Volume Cap Applicability</w:t>
            </w:r>
          </w:p>
        </w:tc>
      </w:tr>
      <w:tr>
        <w:tc>
          <w:tcPr>
            <w:tcW w:type="dxa" w:w="2880"/>
          </w:tcPr>
          <w:p>
            <w:pPr/>
            <w:r>
              <w:rPr>
                <w:sz w:val="18"/>
              </w:rPr>
              <w:t>**Reference Price Waiver (RPW)**</w:t>
            </w:r>
          </w:p>
        </w:tc>
        <w:tc>
          <w:tcPr>
            <w:tcW w:type="dxa" w:w="2880"/>
          </w:tcPr>
          <w:p>
            <w:pPr/>
            <w:r>
              <w:rPr>
                <w:sz w:val="18"/>
              </w:rPr>
              <w:t>Systems that match orders at the midpoint of the current bid/offer on the primary market or most relevant market in terms of liquidity</w:t>
            </w:r>
          </w:p>
        </w:tc>
        <w:tc>
          <w:tcPr>
            <w:tcW w:type="dxa" w:w="2880"/>
          </w:tcPr>
          <w:p>
            <w:pPr/>
            <w:r>
              <w:rPr>
                <w:sz w:val="18"/>
              </w:rPr>
              <w:t>Subject to the single volume cap (SVC)</w:t>
            </w:r>
          </w:p>
        </w:tc>
      </w:tr>
      <w:tr>
        <w:tc>
          <w:tcPr>
            <w:tcW w:type="dxa" w:w="2880"/>
          </w:tcPr>
          <w:p>
            <w:pPr/>
            <w:r>
              <w:rPr>
                <w:sz w:val="18"/>
              </w:rPr>
              <w:t>**Large-in-Scale (LIS) Waiver**</w:t>
            </w:r>
          </w:p>
        </w:tc>
        <w:tc>
          <w:tcPr>
            <w:tcW w:type="dxa" w:w="2880"/>
          </w:tcPr>
          <w:p>
            <w:pPr/>
            <w:r>
              <w:rPr>
                <w:sz w:val="18"/>
              </w:rPr>
              <w:t>Orders large relative to normal market size; thresholds set per liquidity band in RTS 1 Annex II</w:t>
            </w:r>
          </w:p>
        </w:tc>
        <w:tc>
          <w:tcPr>
            <w:tcW w:type="dxa" w:w="2880"/>
          </w:tcPr>
          <w:p>
            <w:pPr/>
            <w:r>
              <w:rPr>
                <w:sz w:val="18"/>
              </w:rPr>
              <w:t>Not subject to volume cap</w:t>
            </w:r>
          </w:p>
        </w:tc>
      </w:tr>
      <w:tr>
        <w:tc>
          <w:tcPr>
            <w:tcW w:type="dxa" w:w="2880"/>
          </w:tcPr>
          <w:p>
            <w:pPr/>
            <w:r>
              <w:rPr>
                <w:sz w:val="18"/>
              </w:rPr>
              <w:t>**Negotiated Trade Waiver (NTW)**</w:t>
            </w:r>
          </w:p>
        </w:tc>
        <w:tc>
          <w:tcPr>
            <w:tcW w:type="dxa" w:w="2880"/>
          </w:tcPr>
          <w:p>
            <w:pPr/>
            <w:r>
              <w:rPr>
                <w:sz w:val="18"/>
              </w:rPr>
              <w:t>Negotiated transactions subject to conditions other than the current market price (e.g., benchmark, VWAP)</w:t>
            </w:r>
          </w:p>
        </w:tc>
        <w:tc>
          <w:tcPr>
            <w:tcW w:type="dxa" w:w="2880"/>
          </w:tcPr>
          <w:p>
            <w:pPr/>
            <w:r>
              <w:rPr>
                <w:sz w:val="18"/>
              </w:rPr>
              <w:t>Not subject to volume cap under MiFIR Review (previously subject to DVC)</w:t>
            </w:r>
          </w:p>
        </w:tc>
      </w:tr>
      <w:tr>
        <w:tc>
          <w:tcPr>
            <w:tcW w:type="dxa" w:w="2880"/>
          </w:tcPr>
          <w:p>
            <w:pPr/>
            <w:r>
              <w:rPr>
                <w:sz w:val="18"/>
              </w:rPr>
              <w:t>**Order Management Facility Waiver**</w:t>
            </w:r>
          </w:p>
        </w:tc>
        <w:tc>
          <w:tcPr>
            <w:tcW w:type="dxa" w:w="2880"/>
          </w:tcPr>
          <w:p>
            <w:pPr/>
            <w:r>
              <w:rPr>
                <w:sz w:val="18"/>
              </w:rPr>
              <w:t>Orders held in an order management facility of the trading venue pending disclosure</w:t>
            </w:r>
          </w:p>
        </w:tc>
        <w:tc>
          <w:tcPr>
            <w:tcW w:type="dxa" w:w="2880"/>
          </w:tcPr>
          <w:p>
            <w:pPr/>
            <w:r>
              <w:rPr>
                <w:sz w:val="18"/>
              </w:rPr>
              <w:t>Not subject to volume cap</w:t>
            </w:r>
          </w:p>
        </w:tc>
      </w:tr>
    </w:tbl>
    <w:p/>
    <w:p>
      <w:r>
        <w:t>[Source: ESMA, "MiFIR Article 4 — Waivers for equity instruments", accessed 2026-04-06]</w:t>
      </w:r>
    </w:p>
    <w:p>
      <w:pPr>
        <w:pStyle w:val="Heading3"/>
      </w:pPr>
      <w:r>
        <w:t>3.3 Post-Trade Transparency (Equities)</w:t>
      </w:r>
    </w:p>
    <w:p>
      <w:r>
        <w:t>MiFIR Article 6 and RTS 1 require trading venues and investment firms (including SIs) to publish the price, volume, and time of all equity transactions as close to real-time as technically possible. The standard maximum delay is 1 minute after execution.</w:t>
      </w:r>
    </w:p>
    <w:p>
      <w:r>
        <w:t>Deferred publication (Art. 7 MiFIR): NCAs may authorise deferred publication for:</w:t>
      </w:r>
    </w:p>
    <w:p>
      <w:pPr>
        <w:pStyle w:val="ListBullet"/>
      </w:pPr>
      <w:r>
        <w:t>Transactions that are large in scale compared with the normal market size (LIS thresholds in RTS 1 Annex II)</w:t>
      </w:r>
    </w:p>
    <w:p>
      <w:pPr>
        <w:pStyle w:val="ListBullet"/>
      </w:pPr>
      <w:r>
        <w:t>Transactions in instruments for which there is not a liquid market</w:t>
      </w:r>
    </w:p>
    <w:p>
      <w:r>
        <w:t>Deferral options under RTS 1:</w:t>
      </w:r>
    </w:p>
    <w:p>
      <w:pPr>
        <w:pStyle w:val="ListBullet"/>
      </w:pPr>
      <w:r>
        <w:t>Publication of all details no later than end of trading day (T) or 9:00 local time on T+1 for transactions executed after 15:30 local time</w:t>
      </w:r>
    </w:p>
    <w:p>
      <w:pPr>
        <w:pStyle w:val="ListBullet"/>
      </w:pPr>
      <w:r>
        <w:t>Publication of all details with limited volume information (aggregated daily)</w:t>
      </w:r>
    </w:p>
    <w:p>
      <w:pPr>
        <w:pStyle w:val="ListBullet"/>
      </w:pPr>
      <w:r>
        <w:t>Supplementary deferral of up to 4 weeks for very large transactions</w:t>
      </w:r>
    </w:p>
    <w:p>
      <w:r>
        <w:t>UK approach: The FCA is reviewing the post-trade transparency regime under the Wholesale Markets Review. CP25/20 (July 2025) requests further input on the structure and transparency regime for UK equity markets.</w:t>
      </w:r>
    </w:p>
    <w:p>
      <w:r>
        <w:t>[Source: ESMA, "MiFID II/MiFIR transparency", accessed 2026-04-06]</w:t>
      </w:r>
    </w:p>
    <w:p>
      <w:pPr>
        <w:pStyle w:val="Heading3"/>
      </w:pPr>
      <w:r>
        <w:t>3.4 Dark Pool Volume Cap</w:t>
      </w:r>
    </w:p>
    <w:p>
      <w:pPr>
        <w:pStyle w:val="Heading4"/>
      </w:pPr>
      <w:r>
        <w:t>Original Double Volume Cap (DVC) — Now Discontinued</w:t>
      </w:r>
    </w:p>
    <w:p>
      <w:r>
        <w:t>Under original MiFID II (2018-2025), the DVC mechanism limited dark trading under the reference price waiver and negotiated trade waiver:</w:t>
      </w:r>
    </w:p>
    <w:p>
      <w:pPr>
        <w:pStyle w:val="ListBullet"/>
      </w:pPr>
      <w:r>
        <w:t>4% cap per venue: No more than 4% of total EU trading in a given equity instrument could occur under these waivers on a single trading venue over a 12-month rolling period</w:t>
      </w:r>
    </w:p>
    <w:p>
      <w:pPr>
        <w:pStyle w:val="ListBullet"/>
      </w:pPr>
      <w:r>
        <w:t>8% cap EU-wide: No more than 8% of total EU trading in a given instrument could occur under these waivers across all EU venues over a 12-month rolling period</w:t>
      </w:r>
    </w:p>
    <w:p>
      <w:pPr>
        <w:pStyle w:val="ListBullet"/>
      </w:pPr>
      <w:r>
        <w:t>Breach consequence: If either cap was breached, ESMA required the relevant NCA(s) to suspend use of the waiver for that instrument for 6 months</w:t>
      </w:r>
    </w:p>
    <w:p>
      <w:pPr>
        <w:pStyle w:val="Heading4"/>
      </w:pPr>
      <w:r>
        <w:t>New Single Volume Cap (SVC) — From October 2025</w:t>
      </w:r>
    </w:p>
    <w:p>
      <w:r>
        <w:t>The MiFIR Review replaced the DVC with a single volume cap (SVC):</w:t>
      </w:r>
    </w:p>
    <w:p>
      <w:pPr>
        <w:pStyle w:val="ListBullet"/>
      </w:pPr>
      <w:r>
        <w:t>7% single cap: Only the reference price waiver is subject to the cap; the negotiated trade waiver is excluded</w:t>
      </w:r>
    </w:p>
    <w:p>
      <w:pPr>
        <w:pStyle w:val="ListBullet"/>
      </w:pPr>
      <w:r>
        <w:t>Measurement basis: 7% of total trading in the instrument across all EU trading venues over a 12-month rolling period</w:t>
      </w:r>
    </w:p>
    <w:p>
      <w:pPr>
        <w:pStyle w:val="ListBullet"/>
      </w:pPr>
      <w:r>
        <w:t>Transition: The DVC was discontinued on 28 September 2025; the first SVC suspension data was published on 9 October 2025, with quarterly publication and suspension going forward</w:t>
      </w:r>
    </w:p>
    <w:p>
      <w:pPr>
        <w:pStyle w:val="ListBullet"/>
      </w:pPr>
      <w:r>
        <w:t>Rationale: The EU legislators considered the DVC overly complex and not effective at its stated goal of protecting price formation. The SVC is a simplified mechanism focusing on pure dark trading (midpoint matching)</w:t>
      </w:r>
    </w:p>
    <w:p>
      <w:r>
        <w:t>[Source: ESMA, "Double Volume Cap Mechanism — Discontinued", accessed 2026-04-06]</w:t>
      </w:r>
    </w:p>
    <w:p>
      <w:r>
        <w:t>[Source: PwC Legal, "MiFIR/MiFID II Review: making sense of the key amendments", accessed 2026-04-06]</w:t>
      </w:r>
    </w:p>
    <w:p>
      <w:pPr>
        <w:pStyle w:val="Heading3"/>
      </w:pPr>
      <w:r>
        <w:t>3.5 Tick Size Regime (RTS 11)</w:t>
      </w:r>
    </w:p>
    <w:p>
      <w:r>
        <w:t>Commission Delegated Regulation (EU) 2017/588 (RTS 11) establishes minimum tick sizes for equity instruments traded on EU trading venues.</w:t>
      </w:r>
    </w:p>
    <w:p>
      <w:r>
        <w:t>How it works:</w:t>
      </w:r>
    </w:p>
    <w:p>
      <w:pPr>
        <w:pStyle w:val="ListBullet"/>
      </w:pPr>
      <w:r>
        <w:t>Tick sizes depend on two variables: (1) the price of the instrument, and (2) its liquidity band</w:t>
      </w:r>
    </w:p>
    <w:p>
      <w:pPr>
        <w:pStyle w:val="ListBullet"/>
      </w:pPr>
      <w:r>
        <w:t>Liquidity is measured by the average daily number of transactions (ADNT) in the most relevant market</w:t>
      </w:r>
    </w:p>
    <w:p>
      <w:pPr>
        <w:pStyle w:val="ListBullet"/>
      </w:pPr>
      <w:r>
        <w:t>ESMA publishes ADNT calculations annually (and updates mid-year for newly admitted instruments)</w:t>
      </w:r>
    </w:p>
    <w:p>
      <w:pPr>
        <w:pStyle w:val="ListBullet"/>
      </w:pPr>
      <w:r>
        <w:t>13 liquidity bands exist, from Band 0 (0 ADNT) to Band 12 (&gt;=9,000 ADNT [unverified])</w:t>
      </w:r>
    </w:p>
    <w:p>
      <w:r>
        <w:t>Example tick sizes (EUR):</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Price Range</w:t>
            </w:r>
          </w:p>
        </w:tc>
        <w:tc>
          <w:tcPr>
            <w:tcW w:type="dxa" w:w="2160"/>
          </w:tcPr>
          <w:p>
            <w:pPr/>
            <w:r>
              <w:rPr>
                <w:b/>
                <w:sz w:val="18"/>
              </w:rPr>
              <w:t>Band 1 (&lt;10 ADNT)</w:t>
            </w:r>
          </w:p>
        </w:tc>
        <w:tc>
          <w:tcPr>
            <w:tcW w:type="dxa" w:w="2160"/>
          </w:tcPr>
          <w:p>
            <w:pPr/>
            <w:r>
              <w:rPr>
                <w:b/>
                <w:sz w:val="18"/>
              </w:rPr>
              <w:t>Band 6 (2,000-3,999 ADNT)</w:t>
            </w:r>
          </w:p>
        </w:tc>
        <w:tc>
          <w:tcPr>
            <w:tcW w:type="dxa" w:w="2160"/>
          </w:tcPr>
          <w:p>
            <w:pPr/>
            <w:r>
              <w:rPr>
                <w:b/>
                <w:sz w:val="18"/>
              </w:rPr>
              <w:t>Band 12 (&gt;=9,000 ADNT)</w:t>
            </w:r>
          </w:p>
        </w:tc>
      </w:tr>
      <w:tr>
        <w:tc>
          <w:tcPr>
            <w:tcW w:type="dxa" w:w="2160"/>
          </w:tcPr>
          <w:p>
            <w:pPr/>
            <w:r>
              <w:rPr>
                <w:sz w:val="18"/>
              </w:rPr>
              <w:t>0.50 - 0.9999</w:t>
            </w:r>
          </w:p>
        </w:tc>
        <w:tc>
          <w:tcPr>
            <w:tcW w:type="dxa" w:w="2160"/>
          </w:tcPr>
          <w:p>
            <w:pPr/>
            <w:r>
              <w:rPr>
                <w:sz w:val="18"/>
              </w:rPr>
              <w:t>0.01</w:t>
            </w:r>
          </w:p>
        </w:tc>
        <w:tc>
          <w:tcPr>
            <w:tcW w:type="dxa" w:w="2160"/>
          </w:tcPr>
          <w:p>
            <w:pPr/>
            <w:r>
              <w:rPr>
                <w:sz w:val="18"/>
              </w:rPr>
              <w:t>0.005</w:t>
            </w:r>
          </w:p>
        </w:tc>
        <w:tc>
          <w:tcPr>
            <w:tcW w:type="dxa" w:w="2160"/>
          </w:tcPr>
          <w:p>
            <w:pPr/>
            <w:r>
              <w:rPr>
                <w:sz w:val="18"/>
              </w:rPr>
              <w:t>0.001</w:t>
            </w:r>
          </w:p>
        </w:tc>
      </w:tr>
      <w:tr>
        <w:tc>
          <w:tcPr>
            <w:tcW w:type="dxa" w:w="2160"/>
          </w:tcPr>
          <w:p>
            <w:pPr/>
            <w:r>
              <w:rPr>
                <w:sz w:val="18"/>
              </w:rPr>
              <w:t>1.00 - 1.9999</w:t>
            </w:r>
          </w:p>
        </w:tc>
        <w:tc>
          <w:tcPr>
            <w:tcW w:type="dxa" w:w="2160"/>
          </w:tcPr>
          <w:p>
            <w:pPr/>
            <w:r>
              <w:rPr>
                <w:sz w:val="18"/>
              </w:rPr>
              <w:t>0.02</w:t>
            </w:r>
          </w:p>
        </w:tc>
        <w:tc>
          <w:tcPr>
            <w:tcW w:type="dxa" w:w="2160"/>
          </w:tcPr>
          <w:p>
            <w:pPr/>
            <w:r>
              <w:rPr>
                <w:sz w:val="18"/>
              </w:rPr>
              <w:t>0.01</w:t>
            </w:r>
          </w:p>
        </w:tc>
        <w:tc>
          <w:tcPr>
            <w:tcW w:type="dxa" w:w="2160"/>
          </w:tcPr>
          <w:p>
            <w:pPr/>
            <w:r>
              <w:rPr>
                <w:sz w:val="18"/>
              </w:rPr>
              <w:t>0.002</w:t>
            </w:r>
          </w:p>
        </w:tc>
      </w:tr>
      <w:tr>
        <w:tc>
          <w:tcPr>
            <w:tcW w:type="dxa" w:w="2160"/>
          </w:tcPr>
          <w:p>
            <w:pPr/>
            <w:r>
              <w:rPr>
                <w:sz w:val="18"/>
              </w:rPr>
              <w:t>5.00 - 9.9999</w:t>
            </w:r>
          </w:p>
        </w:tc>
        <w:tc>
          <w:tcPr>
            <w:tcW w:type="dxa" w:w="2160"/>
          </w:tcPr>
          <w:p>
            <w:pPr/>
            <w:r>
              <w:rPr>
                <w:sz w:val="18"/>
              </w:rPr>
              <w:t>0.05</w:t>
            </w:r>
          </w:p>
        </w:tc>
        <w:tc>
          <w:tcPr>
            <w:tcW w:type="dxa" w:w="2160"/>
          </w:tcPr>
          <w:p>
            <w:pPr/>
            <w:r>
              <w:rPr>
                <w:sz w:val="18"/>
              </w:rPr>
              <w:t>0.02</w:t>
            </w:r>
          </w:p>
        </w:tc>
        <w:tc>
          <w:tcPr>
            <w:tcW w:type="dxa" w:w="2160"/>
          </w:tcPr>
          <w:p>
            <w:pPr/>
            <w:r>
              <w:rPr>
                <w:sz w:val="18"/>
              </w:rPr>
              <w:t>0.005</w:t>
            </w:r>
          </w:p>
        </w:tc>
      </w:tr>
      <w:tr>
        <w:tc>
          <w:tcPr>
            <w:tcW w:type="dxa" w:w="2160"/>
          </w:tcPr>
          <w:p>
            <w:pPr/>
            <w:r>
              <w:rPr>
                <w:sz w:val="18"/>
              </w:rPr>
              <w:t>50.00 - 99.999</w:t>
            </w:r>
          </w:p>
        </w:tc>
        <w:tc>
          <w:tcPr>
            <w:tcW w:type="dxa" w:w="2160"/>
          </w:tcPr>
          <w:p>
            <w:pPr/>
            <w:r>
              <w:rPr>
                <w:sz w:val="18"/>
              </w:rPr>
              <w:t>0.50</w:t>
            </w:r>
          </w:p>
        </w:tc>
        <w:tc>
          <w:tcPr>
            <w:tcW w:type="dxa" w:w="2160"/>
          </w:tcPr>
          <w:p>
            <w:pPr/>
            <w:r>
              <w:rPr>
                <w:sz w:val="18"/>
              </w:rPr>
              <w:t>0.10</w:t>
            </w:r>
          </w:p>
        </w:tc>
        <w:tc>
          <w:tcPr>
            <w:tcW w:type="dxa" w:w="2160"/>
          </w:tcPr>
          <w:p>
            <w:pPr/>
            <w:r>
              <w:rPr>
                <w:sz w:val="18"/>
              </w:rPr>
              <w:t>0.05</w:t>
            </w:r>
          </w:p>
        </w:tc>
      </w:tr>
    </w:tbl>
    <w:p/>
    <w:p>
      <w:r>
        <w:t>Scope: Applies to shares, depositary receipts, ETFs, certificates, and other similar financial instruments. Also applies to SIs (they must quote in tick size increments for liquid instruments up to twice SMS).</w:t>
      </w:r>
    </w:p>
    <w:p>
      <w:r>
        <w:t>UK approach: The FCA retained the RTS 11 tick size regime but has indicated it may review tick sizes as part of its broader market structure work. Under CP25/20, the FCA is exploring whether the current tick size regime remains appropriate.</w:t>
      </w:r>
    </w:p>
    <w:p>
      <w:r>
        <w:t>[Source: ESMA, "RTS 11 — Minimum tick sizes", accessed 2026-04-06]</w:t>
      </w:r>
    </w:p>
    <w:p>
      <w:pPr>
        <w:pStyle w:val="Heading3"/>
      </w:pPr>
      <w:r>
        <w:t>3.6 Circuit Breakers and Volatility Mechanisms</w:t>
      </w:r>
    </w:p>
    <w:p>
      <w:r>
        <w:t>MiFID II Article 48(5) requires regulated markets (and by extension MTFs via Article 18(5)) to implement mechanisms to temporarily halt or constrain trading in the event of significant price movements.</w:t>
      </w:r>
    </w:p>
    <w:p>
      <w:r>
        <w:t>Legal framework:</w:t>
      </w:r>
    </w:p>
    <w:p>
      <w:pPr>
        <w:pStyle w:val="ListBullet"/>
      </w:pPr>
      <w:r>
        <w:t>Article 48(5) MiFID II: Trading venues must have appropriate mechanisms to automatically halt or constrain trading during significant price movements in a financial instrument on that market or a related market during a short period</w:t>
      </w:r>
    </w:p>
    <w:p>
      <w:pPr>
        <w:pStyle w:val="ListBullet"/>
      </w:pPr>
      <w:r>
        <w:t>RTS 7 (Commission Delegated Regulation (EU) 2017/584): Specifies requirements for mechanisms to manage volatility, including testing, monitoring, and record-keeping</w:t>
      </w:r>
    </w:p>
    <w:p>
      <w:pPr>
        <w:pStyle w:val="ListBullet"/>
      </w:pPr>
      <w:r>
        <w:t>ESMA Supervisory Briefing (October 2023): Provides detailed guidance on calibrating circuit breakers</w:t>
      </w:r>
    </w:p>
    <w:p>
      <w:r>
        <w:t>Key requirements:</w:t>
      </w:r>
    </w:p>
    <w:p>
      <w:pPr>
        <w:pStyle w:val="ListBullet"/>
      </w:pPr>
      <w:r>
        <w:t>Trading venues must have mechanisms operational at all times during trading hours</w:t>
      </w:r>
    </w:p>
    <w:p>
      <w:pPr>
        <w:pStyle w:val="ListBullet"/>
      </w:pPr>
      <w:r>
        <w:t>Must consider: liquidity profile, volatility profile, trading model, instrument type</w:t>
      </w:r>
    </w:p>
    <w:p>
      <w:pPr>
        <w:pStyle w:val="ListBullet"/>
      </w:pPr>
      <w:r>
        <w:t>Both dynamic references (last traded price or moving average) and static references (most recent auction price) should be used as trigger prices</w:t>
      </w:r>
    </w:p>
    <w:p>
      <w:pPr>
        <w:pStyle w:val="ListBullet"/>
      </w:pPr>
      <w:r>
        <w:t>Venues must maintain records of rules, parameters, changes, and activation instances</w:t>
      </w:r>
    </w:p>
    <w:p>
      <w:pPr>
        <w:pStyle w:val="ListBullet"/>
      </w:pPr>
      <w:r>
        <w:t>Circuit breaker activations must be communicated to NCAs and, under ESMA guidelines, to other EU venues trading the same instrument</w:t>
      </w:r>
    </w:p>
    <w:p>
      <w:r>
        <w:t>Common European circuit breaker design:</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Parameter</w:t>
            </w:r>
          </w:p>
        </w:tc>
        <w:tc>
          <w:tcPr>
            <w:tcW w:type="dxa" w:w="4320"/>
          </w:tcPr>
          <w:p>
            <w:pPr/>
            <w:r>
              <w:rPr>
                <w:b/>
                <w:sz w:val="18"/>
              </w:rPr>
              <w:t>Typical Approach</w:t>
            </w:r>
          </w:p>
        </w:tc>
      </w:tr>
      <w:tr>
        <w:tc>
          <w:tcPr>
            <w:tcW w:type="dxa" w:w="4320"/>
          </w:tcPr>
          <w:p>
            <w:pPr/>
            <w:r>
              <w:rPr>
                <w:sz w:val="18"/>
              </w:rPr>
              <w:t>Trigger type</w:t>
            </w:r>
          </w:p>
        </w:tc>
        <w:tc>
          <w:tcPr>
            <w:tcW w:type="dxa" w:w="4320"/>
          </w:tcPr>
          <w:p>
            <w:pPr/>
            <w:r>
              <w:rPr>
                <w:sz w:val="18"/>
              </w:rPr>
              <w:t>Static (from last auction price) + Dynamic (from last continuous trade)</w:t>
            </w:r>
          </w:p>
        </w:tc>
      </w:tr>
      <w:tr>
        <w:tc>
          <w:tcPr>
            <w:tcW w:type="dxa" w:w="4320"/>
          </w:tcPr>
          <w:p>
            <w:pPr/>
            <w:r>
              <w:rPr>
                <w:sz w:val="18"/>
              </w:rPr>
              <w:t>Mechanism</w:t>
            </w:r>
          </w:p>
        </w:tc>
        <w:tc>
          <w:tcPr>
            <w:tcW w:type="dxa" w:w="4320"/>
          </w:tcPr>
          <w:p>
            <w:pPr/>
            <w:r>
              <w:rPr>
                <w:sz w:val="18"/>
              </w:rPr>
              <w:t>Transition to volatility auction (call phase)</w:t>
            </w:r>
          </w:p>
        </w:tc>
      </w:tr>
      <w:tr>
        <w:tc>
          <w:tcPr>
            <w:tcW w:type="dxa" w:w="4320"/>
          </w:tcPr>
          <w:p>
            <w:pPr/>
            <w:r>
              <w:rPr>
                <w:sz w:val="18"/>
              </w:rPr>
              <w:t>Duration</w:t>
            </w:r>
          </w:p>
        </w:tc>
        <w:tc>
          <w:tcPr>
            <w:tcW w:type="dxa" w:w="4320"/>
          </w:tcPr>
          <w:p>
            <w:pPr/>
            <w:r>
              <w:rPr>
                <w:sz w:val="18"/>
              </w:rPr>
              <w:t>Typically 2-5 minutes; may extend if price remains volatile</w:t>
            </w:r>
          </w:p>
        </w:tc>
      </w:tr>
      <w:tr>
        <w:tc>
          <w:tcPr>
            <w:tcW w:type="dxa" w:w="4320"/>
          </w:tcPr>
          <w:p>
            <w:pPr/>
            <w:r>
              <w:rPr>
                <w:sz w:val="18"/>
              </w:rPr>
              <w:t>Scope</w:t>
            </w:r>
          </w:p>
        </w:tc>
        <w:tc>
          <w:tcPr>
            <w:tcW w:type="dxa" w:w="4320"/>
          </w:tcPr>
          <w:p>
            <w:pPr/>
            <w:r>
              <w:rPr>
                <w:sz w:val="18"/>
              </w:rPr>
              <w:t>Individual instrument level</w:t>
            </w:r>
          </w:p>
        </w:tc>
      </w:tr>
      <w:tr>
        <w:tc>
          <w:tcPr>
            <w:tcW w:type="dxa" w:w="4320"/>
          </w:tcPr>
          <w:p>
            <w:pPr/>
            <w:r>
              <w:rPr>
                <w:sz w:val="18"/>
              </w:rPr>
              <w:t>Cross-market coordination</w:t>
            </w:r>
          </w:p>
        </w:tc>
        <w:tc>
          <w:tcPr>
            <w:tcW w:type="dxa" w:w="4320"/>
          </w:tcPr>
          <w:p>
            <w:pPr/>
            <w:r>
              <w:rPr>
                <w:sz w:val="18"/>
              </w:rPr>
              <w:t>ESMA encourages but does not mandate harmonised thresholds; venues typically use different parameters</w:t>
            </w:r>
          </w:p>
        </w:tc>
      </w:tr>
    </w:tbl>
    <w:p/>
    <w:p>
      <w:r>
        <w:t>Note: Unlike the US market-wide circuit breakers (LULD/MWCB), EU venues operate instrument-level circuit breakers without a harmonised EU-wide halt mechanism. There is no equivalent to the NYSE Rule 80B or S&amp;P 500-based market-wide triggers.</w:t>
      </w:r>
    </w:p>
    <w:p>
      <w:r>
        <w:t>[Source: ESMA, "MiFID II Article 48 — Systems resilience, circuit breakers and electronic trading", accessed 2026-04-06]</w:t>
      </w:r>
    </w:p>
    <w:p>
      <w:r>
        <w:t>[Source: ESMA, "Supervisory Briefing on Circuit Breakers", October 2023, accessed 2026-04-06]</w:t>
      </w:r>
    </w:p>
    <w:p>
      <w:pPr>
        <w:pStyle w:val="Heading3"/>
      </w:pPr>
      <w:r>
        <w:t>3.7 Algorithmic and High-Frequency Trading Rules</w:t>
      </w:r>
    </w:p>
    <w:p>
      <w:r>
        <w:t>MiFID II Articles 17 (investment firms) and 48 (trading venues) establish the most comprehensive algo/HFT regulatory framework globally.</w:t>
      </w:r>
    </w:p>
    <w:p>
      <w:pPr>
        <w:pStyle w:val="Heading4"/>
      </w:pPr>
      <w:r>
        <w:t>3.7.1 Article 17 — Investment Firm Obligations</w:t>
      </w:r>
    </w:p>
    <w:p>
      <w:r>
        <w:t>All algorithmic traders must:</w:t>
      </w:r>
    </w:p>
    <w:p>
      <w:pPr>
        <w:pStyle w:val="ListBullet"/>
      </w:pPr>
      <w:r>
        <w:t>Notify their home NCA and the NCAs of venues where they trade algorithmically</w:t>
      </w:r>
    </w:p>
    <w:p>
      <w:pPr>
        <w:pStyle w:val="ListBullet"/>
      </w:pPr>
      <w:r>
        <w:t>Implement effective systems and risk controls (pre-trade controls, real-time monitoring, post-trade surveillance)</w:t>
      </w:r>
    </w:p>
    <w:p>
      <w:pPr>
        <w:pStyle w:val="ListBullet"/>
      </w:pPr>
      <w:r>
        <w:t>Maintain systems that are fully tested, properly monitored, and subject to effective business continuity arrangements</w:t>
      </w:r>
    </w:p>
    <w:p>
      <w:pPr>
        <w:pStyle w:val="ListBullet"/>
      </w:pPr>
      <w:r>
        <w:t>Store time-sequenced records of all orders (placed, modified, cancelled, executed) for at least 5 years, available to the NCA on request</w:t>
      </w:r>
    </w:p>
    <w:p>
      <w:pPr>
        <w:pStyle w:val="ListBullet"/>
      </w:pPr>
      <w:r>
        <w:t>Have in place a "kill functionality" — the ability to cancel all outstanding orders immediately as an emergency measure</w:t>
      </w:r>
    </w:p>
    <w:p>
      <w:r>
        <w:t>Market-making strategy obligations (Art. 17(3-4)):</w:t>
      </w:r>
    </w:p>
    <w:p>
      <w:pPr>
        <w:pStyle w:val="ListBullet"/>
      </w:pPr>
      <w:r>
        <w:t>An algorithmic trader is deemed to pursue a market-making strategy when it posts firm, simultaneous two-way quotes of comparable size at competitive prices on a regular and frequent basis</w:t>
      </w:r>
    </w:p>
    <w:p>
      <w:pPr>
        <w:pStyle w:val="ListBullet"/>
      </w:pPr>
      <w:r>
        <w:t>Such firms must enter into a binding written agreement with the trading venue</w:t>
      </w:r>
    </w:p>
    <w:p>
      <w:pPr>
        <w:pStyle w:val="ListBullet"/>
      </w:pPr>
      <w:r>
        <w:t>Must provide liquidity on a regular and predictable basis during a specified proportion of the trading venue's hours (except under exceptional circumstances)</w:t>
      </w:r>
    </w:p>
    <w:p>
      <w:r>
        <w:t>High-frequency trading (HFT) specific requirements (Art. 17(2)):</w:t>
      </w:r>
    </w:p>
    <w:p>
      <w:pPr>
        <w:pStyle w:val="ListBullet"/>
      </w:pPr>
      <w:r>
        <w:t>HFT is defined as an algorithmic trading technique characterised by: (a) infrastructure intended to minimise network and other types of latencies, including co-location, proximity hosting, or high-speed direct electronic access; (b) system determination of order initiation, generation, routing, or execution without human intervention for individual trades or orders; (c) high message intraday rates of orders, quotes, or cancellations</w:t>
      </w:r>
    </w:p>
    <w:p>
      <w:pPr>
        <w:pStyle w:val="ListBullet"/>
      </w:pPr>
      <w:r>
        <w:t>HFT firms must maintain accurate and time-sequenced records of all orders (including cancellations), with timestamps to microsecond granularity as specified in RTS 25</w:t>
      </w:r>
    </w:p>
    <w:p>
      <w:pPr>
        <w:pStyle w:val="ListBullet"/>
      </w:pPr>
      <w:r>
        <w:t>Must provide these records to the NCA on request</w:t>
      </w:r>
    </w:p>
    <w:p>
      <w:pPr>
        <w:pStyle w:val="Heading4"/>
      </w:pPr>
      <w:r>
        <w:t>3.7.2 Article 48 — Trading Venue Obligations</w:t>
      </w:r>
    </w:p>
    <w:p>
      <w:r>
        <w:t>Trading venues permitting algorithmic trading must have:</w:t>
      </w:r>
    </w:p>
    <w:p>
      <w:pPr>
        <w:pStyle w:val="ListBullet"/>
      </w:pPr>
      <w:r>
        <w:t>Effective systems, procedures, and arrangements to ensure algorithms cannot create or contribute to disorderly trading conditions</w:t>
      </w:r>
    </w:p>
    <w:p>
      <w:pPr>
        <w:pStyle w:val="ListBullet"/>
      </w:pPr>
      <w:r>
        <w:t>Systems to limit the ratio of unexecuted orders to transactions (order-to-trade ratio controls)</w:t>
      </w:r>
    </w:p>
    <w:p>
      <w:pPr>
        <w:pStyle w:val="ListBullet"/>
      </w:pPr>
      <w:r>
        <w:t>Ability to slow down the flow of orders where there is a risk of system capacity being reached</w:t>
      </w:r>
    </w:p>
    <w:p>
      <w:pPr>
        <w:pStyle w:val="ListBullet"/>
      </w:pPr>
      <w:r>
        <w:t>Ability to limit and enforce the minimum tick size</w:t>
      </w:r>
    </w:p>
    <w:p>
      <w:pPr>
        <w:pStyle w:val="ListBullet"/>
      </w:pPr>
      <w:r>
        <w:t>Mechanisms to manage volatility (circuit breakers, as described in Section 3.6)</w:t>
      </w:r>
    </w:p>
    <w:p>
      <w:r>
        <w:t>Direct Electronic Access (DEA) rules:</w:t>
      </w:r>
    </w:p>
    <w:p>
      <w:pPr>
        <w:pStyle w:val="ListBullet"/>
      </w:pPr>
      <w:r>
        <w:t>Investment firms providing DEA must have systems and controls to review the suitability of clients using DEA</w:t>
      </w:r>
    </w:p>
    <w:p>
      <w:pPr>
        <w:pStyle w:val="ListBullet"/>
      </w:pPr>
      <w:r>
        <w:t>Must set pre-trade controls on credit exposure for DEA users</w:t>
      </w:r>
    </w:p>
    <w:p>
      <w:pPr>
        <w:pStyle w:val="ListBullet"/>
      </w:pPr>
      <w:r>
        <w:t>Must be able to identify individually the orders submitted by each DEA client</w:t>
      </w:r>
    </w:p>
    <w:p>
      <w:pPr>
        <w:pStyle w:val="ListBullet"/>
      </w:pPr>
      <w:r>
        <w:t>DEA clients must be authorised investment firms (or otherwise authorised by the NCA)</w:t>
      </w:r>
    </w:p>
    <w:p>
      <w:r>
        <w:t>[Source: ESMA, "MiFID II Article 17 — Algorithmic trading", accessed 2026-04-06]</w:t>
      </w:r>
    </w:p>
    <w:p>
      <w:r>
        <w:t>[Source: Norton Rose Fulbright, "MiFID II: High frequency and algorithmic trading obligations", accessed 2026-04-06]</w:t>
      </w:r>
    </w:p>
    <w:p>
      <w:r>
        <w:t>────────────────────────────────────────────────────────────</w:t>
      </w:r>
    </w:p>
    <w:p>
      <w:pPr>
        <w:pStyle w:val="Heading2"/>
      </w:pPr>
      <w:r>
        <w:t>4. Market Data Rules</w:t>
      </w:r>
    </w:p>
    <w:p>
      <w:pPr>
        <w:pStyle w:val="Heading3"/>
      </w:pPr>
      <w:r>
        <w:t>4.1 The Consolidated Tape Debate and CTP Regime</w:t>
      </w:r>
    </w:p>
    <w:p>
      <w:r>
        <w:t>The lack of a pan-European consolidated tape for equities has been one of the most debated structural deficiencies of EU capital markets since MiFID I fragmented trading across multiple venues in 2007. Unlike the US, which has operated a consolidated tape (SIP) since the 1970s, the EU has relied on commercial data vendors (Bloomberg, Refinitiv, ICE) to aggregate data, resulting in high costs and incomplete coverage.</w:t>
      </w:r>
    </w:p>
    <w:p>
      <w:pPr>
        <w:pStyle w:val="Heading4"/>
      </w:pPr>
      <w:r>
        <w:t>4.1.1 MiFID II Original Framework (2018-2024): Failed Attempts</w:t>
      </w:r>
    </w:p>
    <w:p>
      <w:r>
        <w:t>MiFID II (Art. 65) established a voluntary framework for consolidated tape providers (CTPs), but no entity applied for authorisation because:</w:t>
      </w:r>
    </w:p>
    <w:p>
      <w:pPr>
        <w:pStyle w:val="ListBullet"/>
      </w:pPr>
      <w:r>
        <w:t>The business model was not commercially viable given the low latency requirements and high data licensing costs charged by exchanges</w:t>
      </w:r>
    </w:p>
    <w:p>
      <w:pPr>
        <w:pStyle w:val="ListBullet"/>
      </w:pPr>
      <w:r>
        <w:t>Exchanges resisted providing data at cost, viewing market data revenue as a key income stream</w:t>
      </w:r>
    </w:p>
    <w:p>
      <w:pPr>
        <w:pStyle w:val="ListBullet"/>
      </w:pPr>
      <w:r>
        <w:t>No mandatory contribution framework existed</w:t>
      </w:r>
    </w:p>
    <w:p>
      <w:pPr>
        <w:pStyle w:val="ListBullet"/>
      </w:pPr>
      <w:r>
        <w:t>The "reasonable commercial basis" (RCB) obligation on data providers lacked enforcement teeth</w:t>
      </w:r>
    </w:p>
    <w:p>
      <w:pPr>
        <w:pStyle w:val="Heading4"/>
      </w:pPr>
      <w:r>
        <w:t>4.1.2 MiFIR Review (2024): Mandatory CTP Regime</w:t>
      </w:r>
    </w:p>
    <w:p>
      <w:r>
        <w:t>The MiFIR Review (Regulation (EU) 2024/791) fundamentally changed the framework:</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Feature</w:t>
            </w:r>
          </w:p>
        </w:tc>
        <w:tc>
          <w:tcPr>
            <w:tcW w:type="dxa" w:w="4320"/>
          </w:tcPr>
          <w:p>
            <w:pPr/>
            <w:r>
              <w:rPr>
                <w:b/>
                <w:sz w:val="18"/>
              </w:rPr>
              <w:t>New Regime</w:t>
            </w:r>
          </w:p>
        </w:tc>
      </w:tr>
      <w:tr>
        <w:tc>
          <w:tcPr>
            <w:tcW w:type="dxa" w:w="4320"/>
          </w:tcPr>
          <w:p>
            <w:pPr/>
            <w:r>
              <w:rPr>
                <w:sz w:val="18"/>
              </w:rPr>
              <w:t>Selection</w:t>
            </w:r>
          </w:p>
        </w:tc>
        <w:tc>
          <w:tcPr>
            <w:tcW w:type="dxa" w:w="4320"/>
          </w:tcPr>
          <w:p>
            <w:pPr/>
            <w:r>
              <w:rPr>
                <w:sz w:val="18"/>
              </w:rPr>
              <w:t>ESMA selects a single CTP per asset class via a competitive tender process</w:t>
            </w:r>
          </w:p>
        </w:tc>
      </w:tr>
      <w:tr>
        <w:tc>
          <w:tcPr>
            <w:tcW w:type="dxa" w:w="4320"/>
          </w:tcPr>
          <w:p>
            <w:pPr/>
            <w:r>
              <w:rPr>
                <w:sz w:val="18"/>
              </w:rPr>
              <w:t>Duration</w:t>
            </w:r>
          </w:p>
        </w:tc>
        <w:tc>
          <w:tcPr>
            <w:tcW w:type="dxa" w:w="4320"/>
          </w:tcPr>
          <w:p>
            <w:pPr/>
            <w:r>
              <w:rPr>
                <w:sz w:val="18"/>
              </w:rPr>
              <w:t>5-year exclusive licence</w:t>
            </w:r>
          </w:p>
        </w:tc>
      </w:tr>
      <w:tr>
        <w:tc>
          <w:tcPr>
            <w:tcW w:type="dxa" w:w="4320"/>
          </w:tcPr>
          <w:p>
            <w:pPr/>
            <w:r>
              <w:rPr>
                <w:sz w:val="18"/>
              </w:rPr>
              <w:t>Supervision</w:t>
            </w:r>
          </w:p>
        </w:tc>
        <w:tc>
          <w:tcPr>
            <w:tcW w:type="dxa" w:w="4320"/>
          </w:tcPr>
          <w:p>
            <w:pPr/>
            <w:r>
              <w:rPr>
                <w:sz w:val="18"/>
              </w:rPr>
              <w:t>Direct ESMA supervision</w:t>
            </w:r>
          </w:p>
        </w:tc>
      </w:tr>
      <w:tr>
        <w:tc>
          <w:tcPr>
            <w:tcW w:type="dxa" w:w="4320"/>
          </w:tcPr>
          <w:p>
            <w:pPr/>
            <w:r>
              <w:rPr>
                <w:sz w:val="18"/>
              </w:rPr>
              <w:t>Data contribution</w:t>
            </w:r>
          </w:p>
        </w:tc>
        <w:tc>
          <w:tcPr>
            <w:tcW w:type="dxa" w:w="4320"/>
          </w:tcPr>
          <w:p>
            <w:pPr/>
            <w:r>
              <w:rPr>
                <w:sz w:val="18"/>
              </w:rPr>
              <w:t>Mandatory — all execution venues, SIs, and APAs must contribute data to the CTP</w:t>
            </w:r>
          </w:p>
        </w:tc>
      </w:tr>
      <w:tr>
        <w:tc>
          <w:tcPr>
            <w:tcW w:type="dxa" w:w="4320"/>
          </w:tcPr>
          <w:p>
            <w:pPr/>
            <w:r>
              <w:rPr>
                <w:sz w:val="18"/>
              </w:rPr>
              <w:t>Data quality</w:t>
            </w:r>
          </w:p>
        </w:tc>
        <w:tc>
          <w:tcPr>
            <w:tcW w:type="dxa" w:w="4320"/>
          </w:tcPr>
          <w:p>
            <w:pPr/>
            <w:r>
              <w:rPr>
                <w:sz w:val="18"/>
              </w:rPr>
              <w:t>Real-time post-trade data for equities; pre-trade data if technically feasible</w:t>
            </w:r>
          </w:p>
        </w:tc>
      </w:tr>
      <w:tr>
        <w:tc>
          <w:tcPr>
            <w:tcW w:type="dxa" w:w="4320"/>
          </w:tcPr>
          <w:p>
            <w:pPr/>
            <w:r>
              <w:rPr>
                <w:sz w:val="18"/>
              </w:rPr>
              <w:t>Revenue sharing</w:t>
            </w:r>
          </w:p>
        </w:tc>
        <w:tc>
          <w:tcPr>
            <w:tcW w:type="dxa" w:w="4320"/>
          </w:tcPr>
          <w:p>
            <w:pPr/>
            <w:r>
              <w:rPr>
                <w:sz w:val="18"/>
              </w:rPr>
              <w:t>CTP must share revenue with contributing venues according to a formula in the regulation</w:t>
            </w:r>
          </w:p>
        </w:tc>
      </w:tr>
      <w:tr>
        <w:tc>
          <w:tcPr>
            <w:tcW w:type="dxa" w:w="4320"/>
          </w:tcPr>
          <w:p>
            <w:pPr/>
            <w:r>
              <w:rPr>
                <w:sz w:val="18"/>
              </w:rPr>
              <w:t>Asset classes</w:t>
            </w:r>
          </w:p>
        </w:tc>
        <w:tc>
          <w:tcPr>
            <w:tcW w:type="dxa" w:w="4320"/>
          </w:tcPr>
          <w:p>
            <w:pPr/>
            <w:r>
              <w:rPr>
                <w:sz w:val="18"/>
              </w:rPr>
              <w:t>Three separate CTPs: (1) bonds; (2) shares and ETFs; (3) OTC derivatives</w:t>
            </w:r>
          </w:p>
        </w:tc>
      </w:tr>
    </w:tbl>
    <w:p/>
    <w:p>
      <w:pPr>
        <w:pStyle w:val="Heading4"/>
      </w:pPr>
      <w:r>
        <w:t>4.1.3 Current Status (as of April 2026)</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Asset Class</w:t>
            </w:r>
          </w:p>
        </w:tc>
        <w:tc>
          <w:tcPr>
            <w:tcW w:type="dxa" w:w="4320"/>
          </w:tcPr>
          <w:p>
            <w:pPr/>
            <w:r>
              <w:rPr>
                <w:b/>
                <w:sz w:val="18"/>
              </w:rPr>
              <w:t>Status</w:t>
            </w:r>
          </w:p>
        </w:tc>
      </w:tr>
      <w:tr>
        <w:tc>
          <w:tcPr>
            <w:tcW w:type="dxa" w:w="4320"/>
          </w:tcPr>
          <w:p>
            <w:pPr/>
            <w:r>
              <w:rPr>
                <w:sz w:val="18"/>
              </w:rPr>
              <w:t>**Bonds**</w:t>
            </w:r>
          </w:p>
        </w:tc>
        <w:tc>
          <w:tcPr>
            <w:tcW w:type="dxa" w:w="4320"/>
          </w:tcPr>
          <w:p>
            <w:pPr/>
            <w:r>
              <w:rPr>
                <w:sz w:val="18"/>
              </w:rPr>
              <w:t>Selection procedure launched 3 February 2025; CTP selected [unverified — expected by mid-2025]</w:t>
            </w:r>
          </w:p>
        </w:tc>
      </w:tr>
      <w:tr>
        <w:tc>
          <w:tcPr>
            <w:tcW w:type="dxa" w:w="4320"/>
          </w:tcPr>
          <w:p>
            <w:pPr/>
            <w:r>
              <w:rPr>
                <w:sz w:val="18"/>
              </w:rPr>
              <w:t>**Shares and ETFs**</w:t>
            </w:r>
          </w:p>
        </w:tc>
        <w:tc>
          <w:tcPr>
            <w:tcW w:type="dxa" w:w="4320"/>
          </w:tcPr>
          <w:p>
            <w:pPr/>
            <w:r>
              <w:rPr>
                <w:sz w:val="18"/>
              </w:rPr>
              <w:t>Selection procedure launched 20 June 2025; **EuroCTP selected by ESMA on 19 December 2025**; authorisation pending; expected to operate for 5 years under ESMA direct supervision</w:t>
            </w:r>
          </w:p>
        </w:tc>
      </w:tr>
      <w:tr>
        <w:tc>
          <w:tcPr>
            <w:tcW w:type="dxa" w:w="4320"/>
          </w:tcPr>
          <w:p>
            <w:pPr/>
            <w:r>
              <w:rPr>
                <w:sz w:val="18"/>
              </w:rPr>
              <w:t>**OTC Derivatives**</w:t>
            </w:r>
          </w:p>
        </w:tc>
        <w:tc>
          <w:tcPr>
            <w:tcW w:type="dxa" w:w="4320"/>
          </w:tcPr>
          <w:p>
            <w:pPr/>
            <w:r>
              <w:rPr>
                <w:sz w:val="18"/>
              </w:rPr>
              <w:t>Selection procedure launched 5 January 2026; ESMA intends to adopt a decision on the selected applicant by early July 2026</w:t>
            </w:r>
          </w:p>
        </w:tc>
      </w:tr>
    </w:tbl>
    <w:p/>
    <w:p>
      <w:r>
        <w:t>[Source: ESMA, "Consolidated Tape Providers", accessed 2026-04-06]</w:t>
      </w:r>
    </w:p>
    <w:p>
      <w:r>
        <w:t>[Source: ESMA, "ESMA selects EuroCTP to become the first Consolidated Tape Provider for shares and ETFs", December 2025, accessed 2026-04-06]</w:t>
      </w:r>
    </w:p>
    <w:p>
      <w:pPr>
        <w:pStyle w:val="Heading3"/>
      </w:pPr>
      <w:r>
        <w:t>4.2 Real-Time Data Requirements</w:t>
      </w:r>
    </w:p>
    <w:p>
      <w:r>
        <w:t>Under MiFIR, trading venues and SIs must make pre-trade and post-trade data available:</w:t>
      </w:r>
    </w:p>
    <w:p>
      <w:r>
        <w:t>Pre-trade data (equities):</w:t>
      </w:r>
    </w:p>
    <w:p>
      <w:pPr>
        <w:pStyle w:val="ListBullet"/>
      </w:pPr>
      <w:r>
        <w:t>Must be available on a continuous basis during normal trading hours</w:t>
      </w:r>
    </w:p>
    <w:p>
      <w:pPr>
        <w:pStyle w:val="ListBullet"/>
      </w:pPr>
      <w:r>
        <w:t>Must be disaggregated (venue-by-venue) — or via a CTP once operational</w:t>
      </w:r>
    </w:p>
    <w:p>
      <w:pPr>
        <w:pStyle w:val="ListBullet"/>
      </w:pPr>
      <w:r>
        <w:t>Publication standard: as close to real-time as technically possible</w:t>
      </w:r>
    </w:p>
    <w:p>
      <w:r>
        <w:t>Post-trade data (equities):</w:t>
      </w:r>
    </w:p>
    <w:p>
      <w:pPr>
        <w:pStyle w:val="ListBullet"/>
      </w:pPr>
      <w:r>
        <w:t>Must be published as close to real-time as technically possible, and no later than 1 minute after execution (under revised MiFIR; previously 15 minutes delayed)</w:t>
      </w:r>
    </w:p>
    <w:p>
      <w:pPr>
        <w:pStyle w:val="ListBullet"/>
      </w:pPr>
      <w:r>
        <w:t>The "15-minute delay" free data regime: trading venues must make post-trade data available free of charge 15 minutes after publication. Under the MiFIR Review, the European Parliament originally sought to remove this delay entirely, but the final text retains 15 minutes as the free data window</w:t>
      </w:r>
    </w:p>
    <w:p>
      <w:pPr>
        <w:pStyle w:val="Heading3"/>
      </w:pPr>
      <w:r>
        <w:t>4.3 Reasonable Commercial Basis (RCB)</w:t>
      </w:r>
    </w:p>
    <w:p>
      <w:r>
        <w:t>MiFIR requires that market data is made available on a "reasonable commercial basis." This principle has been a source of significant controversy.</w:t>
      </w:r>
    </w:p>
    <w:p>
      <w:r>
        <w:t>Original framework (2018-2024):</w:t>
      </w:r>
    </w:p>
    <w:p>
      <w:pPr>
        <w:pStyle w:val="ListBullet"/>
      </w:pPr>
      <w:r>
        <w:t>ESMA issued non-binding guidelines (2021) specifying that data fees should be based on cost of production plus a reasonable margin</w:t>
      </w:r>
    </w:p>
    <w:p>
      <w:pPr>
        <w:pStyle w:val="ListBullet"/>
      </w:pPr>
      <w:r>
        <w:t>Exchanges resisted, arguing their data has value beyond production cost</w:t>
      </w:r>
    </w:p>
    <w:p>
      <w:pPr>
        <w:pStyle w:val="ListBullet"/>
      </w:pPr>
      <w:r>
        <w:t>The WFE (World Federation of Exchanges) challenged the cost-based approach</w:t>
      </w:r>
    </w:p>
    <w:p>
      <w:r>
        <w:t>MiFIR Review (2024) — New binding RTS:</w:t>
      </w:r>
    </w:p>
    <w:p>
      <w:pPr>
        <w:pStyle w:val="ListBullet"/>
      </w:pPr>
      <w:r>
        <w:t>Commission Delegated Regulation (EU) 2025/1156 (12 June 2025) replaces the guidelines with binding technical standards</w:t>
      </w:r>
    </w:p>
    <w:p>
      <w:pPr>
        <w:pStyle w:val="ListBullet"/>
      </w:pPr>
      <w:r>
        <w:t>Data must be provided on a non-discriminatory basis</w:t>
      </w:r>
    </w:p>
    <w:p>
      <w:pPr>
        <w:pStyle w:val="ListBullet"/>
      </w:pPr>
      <w:r>
        <w:t>Fees must be based on the cost of producing and disseminating market data, plus a reasonable margin</w:t>
      </w:r>
    </w:p>
    <w:p>
      <w:pPr>
        <w:pStyle w:val="ListBullet"/>
      </w:pPr>
      <w:r>
        <w:t>Venues must publish their pricing policies and fee schedules</w:t>
      </w:r>
    </w:p>
    <w:p>
      <w:pPr>
        <w:pStyle w:val="ListBullet"/>
      </w:pPr>
      <w:r>
        <w:t>ESMA's previous RCB guidelines were formally withdrawn (February 2026)</w:t>
      </w:r>
    </w:p>
    <w:p>
      <w:r>
        <w:t>[Source: ESMA, "Final Report on bond transparency and reasonable commercial basis under MiFIR Review", accessed 2026-04-06]</w:t>
      </w:r>
    </w:p>
    <w:p>
      <w:pPr>
        <w:pStyle w:val="Heading3"/>
      </w:pPr>
      <w:r>
        <w:t>4.4 UK Approach to Market Data and Consolidated Tape</w:t>
      </w:r>
    </w:p>
    <w:p>
      <w:r>
        <w:t>The UK is pursuing its own consolidated tape path:</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Component</w:t>
            </w:r>
          </w:p>
        </w:tc>
        <w:tc>
          <w:tcPr>
            <w:tcW w:type="dxa" w:w="4320"/>
          </w:tcPr>
          <w:p>
            <w:pPr/>
            <w:r>
              <w:rPr>
                <w:b/>
                <w:sz w:val="18"/>
              </w:rPr>
              <w:t>Status</w:t>
            </w:r>
          </w:p>
        </w:tc>
      </w:tr>
      <w:tr>
        <w:tc>
          <w:tcPr>
            <w:tcW w:type="dxa" w:w="4320"/>
          </w:tcPr>
          <w:p>
            <w:pPr/>
            <w:r>
              <w:rPr>
                <w:sz w:val="18"/>
              </w:rPr>
              <w:t>**Bond CT**</w:t>
            </w:r>
          </w:p>
        </w:tc>
        <w:tc>
          <w:tcPr>
            <w:tcW w:type="dxa" w:w="4320"/>
          </w:tcPr>
          <w:p>
            <w:pPr/>
            <w:r>
              <w:rPr>
                <w:sz w:val="18"/>
              </w:rPr>
              <w:t>FCA signed a contract with ETS (European Trading Solutions [unverified]) in January 2026 to provide the UK bond CT; ETS aims to launch 22 June 2026; FCA authorisation decision expected Q1 2026</w:t>
            </w:r>
          </w:p>
        </w:tc>
      </w:tr>
      <w:tr>
        <w:tc>
          <w:tcPr>
            <w:tcW w:type="dxa" w:w="4320"/>
          </w:tcPr>
          <w:p>
            <w:pPr/>
            <w:r>
              <w:rPr>
                <w:sz w:val="18"/>
              </w:rPr>
              <w:t>**Equity CT**</w:t>
            </w:r>
          </w:p>
        </w:tc>
        <w:tc>
          <w:tcPr>
            <w:tcW w:type="dxa" w:w="4320"/>
          </w:tcPr>
          <w:p>
            <w:pPr/>
            <w:r>
              <w:rPr>
                <w:sz w:val="18"/>
              </w:rPr>
              <w:t>FCA published CP25/31 in November 2025 proposing the framework; expressions of interest from suppliers due by 30 January 2026; Policy Statement expected H1 2026; operational launch targeted for 2027</w:t>
            </w:r>
          </w:p>
        </w:tc>
      </w:tr>
      <w:tr>
        <w:tc>
          <w:tcPr>
            <w:tcW w:type="dxa" w:w="4320"/>
          </w:tcPr>
          <w:p>
            <w:pPr/>
            <w:r>
              <w:rPr>
                <w:sz w:val="18"/>
              </w:rPr>
              <w:t>**Approach**</w:t>
            </w:r>
          </w:p>
        </w:tc>
        <w:tc>
          <w:tcPr>
            <w:tcW w:type="dxa" w:w="4320"/>
          </w:tcPr>
          <w:p>
            <w:pPr/>
            <w:r>
              <w:rPr>
                <w:sz w:val="18"/>
              </w:rPr>
              <w:t>The FCA is prioritising bonds first (where the UK has a leading global market), followed by equities</w:t>
            </w:r>
          </w:p>
        </w:tc>
      </w:tr>
    </w:tbl>
    <w:p/>
    <w:p>
      <w:r>
        <w:t>The UK approach differs from the EU in that the FCA is procuring and contracting with CT providers directly, rather than running a competitive selection process as ESMA does. The FCA has also indicated a more commercially pragmatic approach to data contribution obligations.</w:t>
      </w:r>
    </w:p>
    <w:p>
      <w:r>
        <w:t>[Source: FCA, "Equities consolidated tape", accessed 2026-04-06]</w:t>
      </w:r>
    </w:p>
    <w:p>
      <w:r>
        <w:t>[Source: FCA, "CP25/31: The framework for a UK equity consolidated tape", November 2025, accessed 2026-04-06]</w:t>
      </w:r>
    </w:p>
    <w:p>
      <w:r>
        <w:t>────────────────────────────────────────────────────────────</w:t>
      </w:r>
    </w:p>
    <w:p>
      <w:pPr>
        <w:pStyle w:val="Heading2"/>
      </w:pPr>
      <w:r>
        <w:t>5. Market Surveillance</w:t>
      </w:r>
    </w:p>
    <w:p>
      <w:pPr>
        <w:pStyle w:val="Heading3"/>
      </w:pPr>
      <w:r>
        <w:t>5.1 Transaction Reporting (MiFIR Article 26)</w:t>
      </w:r>
    </w:p>
    <w:p>
      <w:r>
        <w:t>Transaction reporting is the core supervisory data feed enabling NCAs and ESMA to monitor for market abuse, enforce conduct rules, and assess systemic risk.</w:t>
      </w:r>
    </w:p>
    <w:p>
      <w:r>
        <w:t>Legal basis: MiFIR Article 26 requires investment firms to report complete and accurate details of transactions in financial instruments to their NCA as quickly as possible, and no later than the close of the following working day (T+1).</w:t>
      </w:r>
    </w:p>
    <w:p>
      <w:r>
        <w:t>Scope:</w:t>
      </w:r>
    </w:p>
    <w:p>
      <w:pPr>
        <w:pStyle w:val="ListBullet"/>
      </w:pPr>
      <w:r>
        <w:t>All financial instruments admitted to trading or traded on a trading venue (even if the specific transaction occurs OTC)</w:t>
      </w:r>
    </w:p>
    <w:p>
      <w:pPr>
        <w:pStyle w:val="ListBullet"/>
      </w:pPr>
      <w:r>
        <w:t>Includes equities, bonds, derivatives, ETFs, emission allowances</w:t>
      </w:r>
    </w:p>
    <w:p>
      <w:pPr>
        <w:pStyle w:val="ListBullet"/>
      </w:pPr>
      <w:r>
        <w:t>Both on-venue and off-venue (OTC, SI) transactions</w:t>
      </w:r>
    </w:p>
    <w:p>
      <w:pPr>
        <w:pStyle w:val="Heading4"/>
      </w:pPr>
      <w:r>
        <w:t>5.1.1 Data Fields (RTS 22)</w:t>
      </w:r>
    </w:p>
    <w:p>
      <w:r>
        <w:t>Commission Delegated Regulation (EU) 2017/590 (RTS 22) specifies the reporting format. Each transaction report comprises 65 data fields organised into the following categories: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Category</w:t>
            </w:r>
          </w:p>
        </w:tc>
        <w:tc>
          <w:tcPr>
            <w:tcW w:type="dxa" w:w="2880"/>
          </w:tcPr>
          <w:p>
            <w:pPr/>
            <w:r>
              <w:rPr>
                <w:b/>
                <w:sz w:val="18"/>
              </w:rPr>
              <w:t>Key Fields</w:t>
            </w:r>
          </w:p>
        </w:tc>
        <w:tc>
          <w:tcPr>
            <w:tcW w:type="dxa" w:w="2880"/>
          </w:tcPr>
          <w:p>
            <w:pPr/>
            <w:r>
              <w:rPr>
                <w:b/>
                <w:sz w:val="18"/>
              </w:rPr>
              <w:t>Count</w:t>
            </w:r>
          </w:p>
        </w:tc>
      </w:tr>
      <w:tr>
        <w:tc>
          <w:tcPr>
            <w:tcW w:type="dxa" w:w="2880"/>
          </w:tcPr>
          <w:p>
            <w:pPr/>
            <w:r>
              <w:rPr>
                <w:sz w:val="18"/>
              </w:rPr>
              <w:t>**Report identification**</w:t>
            </w:r>
          </w:p>
        </w:tc>
        <w:tc>
          <w:tcPr>
            <w:tcW w:type="dxa" w:w="2880"/>
          </w:tcPr>
          <w:p>
            <w:pPr/>
            <w:r>
              <w:rPr>
                <w:sz w:val="18"/>
              </w:rPr>
              <w:t>Transaction reference number, executing entity LEI, reporting timestamp</w:t>
            </w:r>
          </w:p>
        </w:tc>
        <w:tc>
          <w:tcPr>
            <w:tcW w:type="dxa" w:w="2880"/>
          </w:tcPr>
          <w:p>
            <w:pPr/>
            <w:r>
              <w:rPr>
                <w:sz w:val="18"/>
              </w:rPr>
              <w:t>~4 fields</w:t>
            </w:r>
          </w:p>
        </w:tc>
      </w:tr>
      <w:tr>
        <w:tc>
          <w:tcPr>
            <w:tcW w:type="dxa" w:w="2880"/>
          </w:tcPr>
          <w:p>
            <w:pPr/>
            <w:r>
              <w:rPr>
                <w:sz w:val="18"/>
              </w:rPr>
              <w:t>**Buyer/Seller identification**</w:t>
            </w:r>
          </w:p>
        </w:tc>
        <w:tc>
          <w:tcPr>
            <w:tcW w:type="dxa" w:w="2880"/>
          </w:tcPr>
          <w:p>
            <w:pPr/>
            <w:r>
              <w:rPr>
                <w:sz w:val="18"/>
              </w:rPr>
              <w:t>LEI (legal entities) or national client identifier (natural persons), decision maker, first name/surname/date of birth for natural persons</w:t>
            </w:r>
          </w:p>
        </w:tc>
        <w:tc>
          <w:tcPr>
            <w:tcW w:type="dxa" w:w="2880"/>
          </w:tcPr>
          <w:p>
            <w:pPr/>
            <w:r>
              <w:rPr>
                <w:sz w:val="18"/>
              </w:rPr>
              <w:t>~12 fields</w:t>
            </w:r>
          </w:p>
        </w:tc>
      </w:tr>
      <w:tr>
        <w:tc>
          <w:tcPr>
            <w:tcW w:type="dxa" w:w="2880"/>
          </w:tcPr>
          <w:p>
            <w:pPr/>
            <w:r>
              <w:rPr>
                <w:sz w:val="18"/>
              </w:rPr>
              <w:t>**Transaction details**</w:t>
            </w:r>
          </w:p>
        </w:tc>
        <w:tc>
          <w:tcPr>
            <w:tcW w:type="dxa" w:w="2880"/>
          </w:tcPr>
          <w:p>
            <w:pPr/>
            <w:r>
              <w:rPr>
                <w:sz w:val="18"/>
              </w:rPr>
              <w:t>Trading date/time, quantity, price, currency, venue (MIC code), trading capacity (principal/agent/matched principal)</w:t>
            </w:r>
          </w:p>
        </w:tc>
        <w:tc>
          <w:tcPr>
            <w:tcW w:type="dxa" w:w="2880"/>
          </w:tcPr>
          <w:p>
            <w:pPr/>
            <w:r>
              <w:rPr>
                <w:sz w:val="18"/>
              </w:rPr>
              <w:t>~10 fields</w:t>
            </w:r>
          </w:p>
        </w:tc>
      </w:tr>
      <w:tr>
        <w:tc>
          <w:tcPr>
            <w:tcW w:type="dxa" w:w="2880"/>
          </w:tcPr>
          <w:p>
            <w:pPr/>
            <w:r>
              <w:rPr>
                <w:sz w:val="18"/>
              </w:rPr>
              <w:t>**Instrument identification**</w:t>
            </w:r>
          </w:p>
        </w:tc>
        <w:tc>
          <w:tcPr>
            <w:tcW w:type="dxa" w:w="2880"/>
          </w:tcPr>
          <w:p>
            <w:pPr/>
            <w:r>
              <w:rPr>
                <w:sz w:val="18"/>
              </w:rPr>
              <w:t>ISIN, instrument full name, classification (CFI), underlying ISIN, notional, maturity, strike price, option type</w:t>
            </w:r>
          </w:p>
        </w:tc>
        <w:tc>
          <w:tcPr>
            <w:tcW w:type="dxa" w:w="2880"/>
          </w:tcPr>
          <w:p>
            <w:pPr/>
            <w:r>
              <w:rPr>
                <w:sz w:val="18"/>
              </w:rPr>
              <w:t>~15 fields</w:t>
            </w:r>
          </w:p>
        </w:tc>
      </w:tr>
      <w:tr>
        <w:tc>
          <w:tcPr>
            <w:tcW w:type="dxa" w:w="2880"/>
          </w:tcPr>
          <w:p>
            <w:pPr/>
            <w:r>
              <w:rPr>
                <w:sz w:val="18"/>
              </w:rPr>
              <w:t>**Trader/Algo identification**</w:t>
            </w:r>
          </w:p>
        </w:tc>
        <w:tc>
          <w:tcPr>
            <w:tcW w:type="dxa" w:w="2880"/>
          </w:tcPr>
          <w:p>
            <w:pPr/>
            <w:r>
              <w:rPr>
                <w:sz w:val="18"/>
              </w:rPr>
              <w:t>Trader ID (short code for natural person responsible for the investment decision), algo ID, waiver indicator</w:t>
            </w:r>
          </w:p>
        </w:tc>
        <w:tc>
          <w:tcPr>
            <w:tcW w:type="dxa" w:w="2880"/>
          </w:tcPr>
          <w:p>
            <w:pPr/>
            <w:r>
              <w:rPr>
                <w:sz w:val="18"/>
              </w:rPr>
              <w:t>~8 fields</w:t>
            </w:r>
          </w:p>
        </w:tc>
      </w:tr>
      <w:tr>
        <w:tc>
          <w:tcPr>
            <w:tcW w:type="dxa" w:w="2880"/>
          </w:tcPr>
          <w:p>
            <w:pPr/>
            <w:r>
              <w:rPr>
                <w:sz w:val="18"/>
              </w:rPr>
              <w:t>**Transmission/reporting chain**</w:t>
            </w:r>
          </w:p>
        </w:tc>
        <w:tc>
          <w:tcPr>
            <w:tcW w:type="dxa" w:w="2880"/>
          </w:tcPr>
          <w:p>
            <w:pPr/>
            <w:r>
              <w:rPr>
                <w:sz w:val="18"/>
              </w:rPr>
              <w:t>Transmitting firm LEI, executing firm LEI, reporting entity LEI</w:t>
            </w:r>
          </w:p>
        </w:tc>
        <w:tc>
          <w:tcPr>
            <w:tcW w:type="dxa" w:w="2880"/>
          </w:tcPr>
          <w:p>
            <w:pPr/>
            <w:r>
              <w:rPr>
                <w:sz w:val="18"/>
              </w:rPr>
              <w:t>~6 fields</w:t>
            </w:r>
          </w:p>
        </w:tc>
      </w:tr>
      <w:tr>
        <w:tc>
          <w:tcPr>
            <w:tcW w:type="dxa" w:w="2880"/>
          </w:tcPr>
          <w:p>
            <w:pPr/>
            <w:r>
              <w:rPr>
                <w:sz w:val="18"/>
              </w:rPr>
              <w:t>**Other**</w:t>
            </w:r>
          </w:p>
        </w:tc>
        <w:tc>
          <w:tcPr>
            <w:tcW w:type="dxa" w:w="2880"/>
          </w:tcPr>
          <w:p>
            <w:pPr/>
            <w:r>
              <w:rPr>
                <w:sz w:val="18"/>
              </w:rPr>
              <w:t>Short selling indicator, commodity derivative indicator, aggregated transaction indicator, linked transaction reference</w:t>
            </w:r>
          </w:p>
        </w:tc>
        <w:tc>
          <w:tcPr>
            <w:tcW w:type="dxa" w:w="2880"/>
          </w:tcPr>
          <w:p>
            <w:pPr/>
            <w:r>
              <w:rPr>
                <w:sz w:val="18"/>
              </w:rPr>
              <w:t>~10 fields</w:t>
            </w:r>
          </w:p>
        </w:tc>
      </w:tr>
    </w:tbl>
    <w:p/>
    <w:p>
      <w:pPr>
        <w:pStyle w:val="Heading4"/>
      </w:pPr>
      <w:r>
        <w:t>5.1.2 MiFIR Review — Revised Transaction Reporting</w:t>
      </w:r>
    </w:p>
    <w:p>
      <w:r>
        <w:t>ESMA consulted on comprehensive revisions to RTS 22 in October 2024. Key proposed changes:</w:t>
      </w:r>
    </w:p>
    <w:p>
      <w:pPr>
        <w:pStyle w:val="ListBullet"/>
      </w:pPr>
      <w:r>
        <w:t>Additional fields for improved instrument identification</w:t>
      </w:r>
    </w:p>
    <w:p>
      <w:pPr>
        <w:pStyle w:val="ListBullet"/>
      </w:pPr>
      <w:r>
        <w:t>Alignment with EMIR and SFTR reporting (to reduce duplication and improve data quality)</w:t>
      </w:r>
    </w:p>
    <w:p>
      <w:pPr>
        <w:pStyle w:val="ListBullet"/>
      </w:pPr>
      <w:r>
        <w:t>New fields reflecting MiFIR Review amendments to Article 26 (including expanded scope)</w:t>
      </w:r>
    </w:p>
    <w:p>
      <w:pPr>
        <w:pStyle w:val="ListBullet"/>
      </w:pPr>
      <w:r>
        <w:t>Revised validation rules</w:t>
      </w:r>
    </w:p>
    <w:p>
      <w:pPr>
        <w:pStyle w:val="ListBullet"/>
      </w:pPr>
      <w:r>
        <w:t>ESMA final RTS submitted to the European Commission in Q1 2025 [unverified]; application aligned with the MiFIR Review transparency timeline (expected 2026)</w:t>
      </w:r>
    </w:p>
    <w:p>
      <w:r>
        <w:t>[Source: ESMA, "MiFIR Article 26 — Obligation to report transactions", accessed 2026-04-06]</w:t>
      </w:r>
    </w:p>
    <w:p>
      <w:r>
        <w:t>[Source: BaFin, "Transaction reporting (Article 26 of the MiFIR)", accessed 2026-04-06]</w:t>
      </w:r>
    </w:p>
    <w:p>
      <w:pPr>
        <w:pStyle w:val="Heading3"/>
      </w:pPr>
      <w:r>
        <w:t>5.2 Clock Synchronisation (RTS 25)</w:t>
      </w:r>
    </w:p>
    <w:p>
      <w:r>
        <w:t>Commission Delegated Regulation (EU) 2017/574 (RTS 25) requires: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Participant Type</w:t>
            </w:r>
          </w:p>
        </w:tc>
        <w:tc>
          <w:tcPr>
            <w:tcW w:type="dxa" w:w="2880"/>
          </w:tcPr>
          <w:p>
            <w:pPr/>
            <w:r>
              <w:rPr>
                <w:b/>
                <w:sz w:val="18"/>
              </w:rPr>
              <w:t>Maximum Divergence from UTC</w:t>
            </w:r>
          </w:p>
        </w:tc>
        <w:tc>
          <w:tcPr>
            <w:tcW w:type="dxa" w:w="2880"/>
          </w:tcPr>
          <w:p>
            <w:pPr/>
            <w:r>
              <w:rPr>
                <w:b/>
                <w:sz w:val="18"/>
              </w:rPr>
              <w:t>Timestamp Granularity</w:t>
            </w:r>
          </w:p>
        </w:tc>
      </w:tr>
      <w:tr>
        <w:tc>
          <w:tcPr>
            <w:tcW w:type="dxa" w:w="2880"/>
          </w:tcPr>
          <w:p>
            <w:pPr/>
            <w:r>
              <w:rPr>
                <w:sz w:val="18"/>
              </w:rPr>
              <w:t>Trading venues (voice/request for quote)</w:t>
            </w:r>
          </w:p>
        </w:tc>
        <w:tc>
          <w:tcPr>
            <w:tcW w:type="dxa" w:w="2880"/>
          </w:tcPr>
          <w:p>
            <w:pPr/>
            <w:r>
              <w:rPr>
                <w:sz w:val="18"/>
              </w:rPr>
              <w:t>1 second</w:t>
            </w:r>
          </w:p>
        </w:tc>
        <w:tc>
          <w:tcPr>
            <w:tcW w:type="dxa" w:w="2880"/>
          </w:tcPr>
          <w:p>
            <w:pPr/>
            <w:r>
              <w:rPr>
                <w:sz w:val="18"/>
              </w:rPr>
              <w:t>1 second</w:t>
            </w:r>
          </w:p>
        </w:tc>
      </w:tr>
      <w:tr>
        <w:tc>
          <w:tcPr>
            <w:tcW w:type="dxa" w:w="2880"/>
          </w:tcPr>
          <w:p>
            <w:pPr/>
            <w:r>
              <w:rPr>
                <w:sz w:val="18"/>
              </w:rPr>
              <w:t>Trading venues (continuous trading)</w:t>
            </w:r>
          </w:p>
        </w:tc>
        <w:tc>
          <w:tcPr>
            <w:tcW w:type="dxa" w:w="2880"/>
          </w:tcPr>
          <w:p>
            <w:pPr/>
            <w:r>
              <w:rPr>
                <w:sz w:val="18"/>
              </w:rPr>
              <w:t>100 microseconds</w:t>
            </w:r>
          </w:p>
        </w:tc>
        <w:tc>
          <w:tcPr>
            <w:tcW w:type="dxa" w:w="2880"/>
          </w:tcPr>
          <w:p>
            <w:pPr/>
            <w:r>
              <w:rPr>
                <w:sz w:val="18"/>
              </w:rPr>
              <w:t>1 microsecond</w:t>
            </w:r>
          </w:p>
        </w:tc>
      </w:tr>
      <w:tr>
        <w:tc>
          <w:tcPr>
            <w:tcW w:type="dxa" w:w="2880"/>
          </w:tcPr>
          <w:p>
            <w:pPr/>
            <w:r>
              <w:rPr>
                <w:sz w:val="18"/>
              </w:rPr>
              <w:t>High-frequency algorithmic trading</w:t>
            </w:r>
          </w:p>
        </w:tc>
        <w:tc>
          <w:tcPr>
            <w:tcW w:type="dxa" w:w="2880"/>
          </w:tcPr>
          <w:p>
            <w:pPr/>
            <w:r>
              <w:rPr>
                <w:sz w:val="18"/>
              </w:rPr>
              <w:t>100 microseconds</w:t>
            </w:r>
          </w:p>
        </w:tc>
        <w:tc>
          <w:tcPr>
            <w:tcW w:type="dxa" w:w="2880"/>
          </w:tcPr>
          <w:p>
            <w:pPr/>
            <w:r>
              <w:rPr>
                <w:sz w:val="18"/>
              </w:rPr>
              <w:t>1 microsecond</w:t>
            </w:r>
          </w:p>
        </w:tc>
      </w:tr>
      <w:tr>
        <w:tc>
          <w:tcPr>
            <w:tcW w:type="dxa" w:w="2880"/>
          </w:tcPr>
          <w:p>
            <w:pPr/>
            <w:r>
              <w:rPr>
                <w:sz w:val="18"/>
              </w:rPr>
              <w:t>Members/participants (non-HFT)</w:t>
            </w:r>
          </w:p>
        </w:tc>
        <w:tc>
          <w:tcPr>
            <w:tcW w:type="dxa" w:w="2880"/>
          </w:tcPr>
          <w:p>
            <w:pPr/>
            <w:r>
              <w:rPr>
                <w:sz w:val="18"/>
              </w:rPr>
              <w:t>1 second</w:t>
            </w:r>
          </w:p>
        </w:tc>
        <w:tc>
          <w:tcPr>
            <w:tcW w:type="dxa" w:w="2880"/>
          </w:tcPr>
          <w:p>
            <w:pPr/>
            <w:r>
              <w:rPr>
                <w:sz w:val="18"/>
              </w:rPr>
              <w:t>1 second</w:t>
            </w:r>
          </w:p>
        </w:tc>
      </w:tr>
    </w:tbl>
    <w:p/>
    <w:p>
      <w:r>
        <w:t>All business clocks used to timestamp reportable events must be synchronised to the UTC timescale disseminated by national metrology institutes or UTC from the Bureau International des Poids et Mesures (BIPM).</w:t>
      </w:r>
    </w:p>
    <w:p>
      <w:r>
        <w:t>[Source: ESMA, "RTS 25 — Clock synchronisation", accessed 2026-04-06]</w:t>
      </w:r>
    </w:p>
    <w:p>
      <w:pPr>
        <w:pStyle w:val="Heading3"/>
      </w:pPr>
      <w:r>
        <w:t>5.3 Order Record Keeping (RTS 24/25)</w:t>
      </w:r>
    </w:p>
    <w:p>
      <w:r>
        <w:t>MiFID II Article 25(1) requires investment firms to keep records of all services, activities, and transactions sufficient to enable the NCA to fulfil its supervisory tasks. For orders, this includes:</w:t>
      </w:r>
    </w:p>
    <w:p>
      <w:pPr>
        <w:pStyle w:val="ListBullet"/>
      </w:pPr>
      <w:r>
        <w:t>All orders received from clients or generated internally (including algorithmic orders)</w:t>
      </w:r>
    </w:p>
    <w:p>
      <w:pPr>
        <w:pStyle w:val="ListBullet"/>
      </w:pPr>
      <w:r>
        <w:t>Time of receipt, modification, cancellation, and execution</w:t>
      </w:r>
    </w:p>
    <w:p>
      <w:pPr>
        <w:pStyle w:val="ListBullet"/>
      </w:pPr>
      <w:r>
        <w:t>Client identification</w:t>
      </w:r>
    </w:p>
    <w:p>
      <w:pPr>
        <w:pStyle w:val="ListBullet"/>
      </w:pPr>
      <w:r>
        <w:t>The algorithmic trading strategy that generated the order (where applicable)</w:t>
      </w:r>
    </w:p>
    <w:p>
      <w:pPr>
        <w:pStyle w:val="ListBullet"/>
      </w:pPr>
      <w:r>
        <w:t>Order-to-trade linkages</w:t>
      </w:r>
    </w:p>
    <w:p>
      <w:r>
        <w:t>RTS 24 specifies the data fields for order record keeping at trading venues (the "order data" that venues must maintain). This includes:</w:t>
      </w:r>
    </w:p>
    <w:p>
      <w:pPr>
        <w:pStyle w:val="ListBullet"/>
      </w:pPr>
      <w:r>
        <w:t>Order priority timestamp (to the granularity specified in RTS 25)</w:t>
      </w:r>
    </w:p>
    <w:p>
      <w:pPr>
        <w:pStyle w:val="ListBullet"/>
      </w:pPr>
      <w:r>
        <w:t>Order type, validity period, and any specific instructions</w:t>
      </w:r>
    </w:p>
    <w:p>
      <w:pPr>
        <w:pStyle w:val="ListBullet"/>
      </w:pPr>
      <w:r>
        <w:t>Events (submission, modification, cancellation, execution, expiry)</w:t>
      </w:r>
    </w:p>
    <w:p>
      <w:pPr>
        <w:pStyle w:val="ListBullet"/>
      </w:pPr>
      <w:r>
        <w:t>Member/participant identifier and client identifier</w:t>
      </w:r>
    </w:p>
    <w:p>
      <w:r>
        <w:t>Records must be retained for at least 5 years and be provided to the NCA within a reasonable timeframe on request.</w:t>
      </w:r>
    </w:p>
    <w:p>
      <w:pPr>
        <w:pStyle w:val="Heading3"/>
      </w:pPr>
      <w:r>
        <w:t>5.4 ESMA Market Integrity Activities</w:t>
      </w:r>
    </w:p>
    <w:p>
      <w:r>
        <w:t>ESMA coordinates market integrity across the EU through several mechanisms:</w:t>
      </w:r>
    </w:p>
    <w:p>
      <w:r>
        <w:t>Suspicious Transaction and Order Reports (STORs):</w:t>
      </w:r>
    </w:p>
    <w:p>
      <w:pPr>
        <w:pStyle w:val="ListBullet"/>
      </w:pPr>
      <w:r>
        <w:t>Market operators, investment firms, and persons professionally arranging transactions must report to their NCA any order or transaction that could constitute insider dealing, market manipulation, or attempted insider dealing/manipulation (MAR Art. 16)</w:t>
      </w:r>
    </w:p>
    <w:p>
      <w:pPr>
        <w:pStyle w:val="ListBullet"/>
      </w:pPr>
      <w:r>
        <w:t>NCAs share STORs cross-border via ESMA's coordination framework</w:t>
      </w:r>
    </w:p>
    <w:p>
      <w:pPr>
        <w:pStyle w:val="ListBullet"/>
      </w:pPr>
      <w:r>
        <w:t>In 2024, ESMA reported that NCAs received thousands of STORs annually, with the majority relating to suspected insider dealing and market manipulation [estimated]</w:t>
      </w:r>
    </w:p>
    <w:p>
      <w:r>
        <w:t>ESMA peer reviews:</w:t>
      </w:r>
    </w:p>
    <w:p>
      <w:pPr>
        <w:pStyle w:val="ListBullet"/>
      </w:pPr>
      <w:r>
        <w:t>ESMA conducts periodic peer reviews of NCA enforcement practices under MAR</w:t>
      </w:r>
    </w:p>
    <w:p>
      <w:pPr>
        <w:pStyle w:val="ListBullet"/>
      </w:pPr>
      <w:r>
        <w:t>The 2024 consolidated sanctions report revealed "clear discrepancies" in national enforcement action, with some NCAs imposing significantly higher sanctions than others for comparable violations</w:t>
      </w:r>
    </w:p>
    <w:p>
      <w:r>
        <w:t>Market surveillance coordination:</w:t>
      </w:r>
    </w:p>
    <w:p>
      <w:pPr>
        <w:pStyle w:val="ListBullet"/>
      </w:pPr>
      <w:r>
        <w:t>ESMA facilitates NCA cooperation on cross-border market abuse cases</w:t>
      </w:r>
    </w:p>
    <w:p>
      <w:pPr>
        <w:pStyle w:val="ListBullet"/>
      </w:pPr>
      <w:r>
        <w:t>The ESMA Board of Supervisors can issue warnings, recommendations, and emergency measures under Article 9 of the ESMA Regulation</w:t>
      </w:r>
    </w:p>
    <w:p>
      <w:r>
        <w:t>[Source: ESMA, "Consolidated Report on Sanctions and Measures 2024", accessed 2026-04-06]</w:t>
      </w:r>
    </w:p>
    <w:p>
      <w:r>
        <w:t>────────────────────────────────────────────────────────────</w:t>
      </w:r>
    </w:p>
    <w:p>
      <w:pPr>
        <w:pStyle w:val="Heading2"/>
      </w:pPr>
      <w:r>
        <w:t>6. Reporting Requirements</w:t>
      </w:r>
    </w:p>
    <w:p>
      <w:pPr>
        <w:pStyle w:val="Heading3"/>
      </w:pPr>
      <w:r>
        <w:t>6.1 MiFIR Article 26 Transaction Reporting (Summary)</w:t>
      </w:r>
    </w:p>
    <w:p>
      <w:r>
        <w:t>As detailed in Section 5.1, investment firms must report 65-field transaction reports to their NCA by close of business on T+1. This section summarises the reporting chain:</w:t>
      </w:r>
    </w:p>
    <w:p>
      <w:r>
        <w:t>Who reports:</w:t>
      </w:r>
    </w:p>
    <w:p>
      <w:pPr>
        <w:pStyle w:val="ListBullet"/>
      </w:pPr>
      <w:r>
        <w:t>The executing investment firm (firm that executed the transaction)</w:t>
      </w:r>
    </w:p>
    <w:p>
      <w:pPr>
        <w:pStyle w:val="ListBullet"/>
      </w:pPr>
      <w:r>
        <w:t>Alternatively, via an Approved Reporting Mechanism (ARM) on behalf of the firm</w:t>
      </w:r>
    </w:p>
    <w:p>
      <w:pPr>
        <w:pStyle w:val="ListBullet"/>
      </w:pPr>
      <w:r>
        <w:t>Trading venues may report on behalf of their members (venue reporting)</w:t>
      </w:r>
    </w:p>
    <w:p>
      <w:r>
        <w:t>Reporting chain:</w:t>
      </w:r>
    </w:p>
    <w:p>
      <w:pPr/>
      <w:r>
        <w:rPr>
          <w:rFonts w:ascii="Consolas" w:hAnsi="Consolas"/>
          <w:color w:val="333333"/>
          <w:sz w:val="16"/>
        </w:rPr>
        <w:t>Investment Firm → ARM → NCA → ESMA (for cross-border data sharing)</w:t>
        <w:br/>
        <w:t xml:space="preserve">        or</w:t>
        <w:br/>
        <w:t>Trading Venue → NCA → ESMA (for on-venue trades, if venue reports on behalf of member)</w:t>
      </w:r>
    </w:p>
    <w:p>
      <w:r>
        <w:t>Key identifiers:</w:t>
      </w:r>
    </w:p>
    <w:p>
      <w:pPr>
        <w:pStyle w:val="ListBullet"/>
      </w:pPr>
      <w:r>
        <w:t>Legal Entity Identifier (LEI): mandatory for all legal entities in the reporting chain</w:t>
      </w:r>
    </w:p>
    <w:p>
      <w:pPr>
        <w:pStyle w:val="ListBullet"/>
      </w:pPr>
      <w:r>
        <w:t>National client identifier: for natural person clients (passport number, national ID, tax ID — varies by Member State, concatenated with country code)</w:t>
      </w:r>
    </w:p>
    <w:p>
      <w:pPr>
        <w:pStyle w:val="ListBullet"/>
      </w:pPr>
      <w:r>
        <w:t>ISIN: mandatory instrument identifier</w:t>
      </w:r>
    </w:p>
    <w:p>
      <w:pPr>
        <w:pStyle w:val="ListBullet"/>
      </w:pPr>
      <w:r>
        <w:t>MIC code: identifies the trading venue</w:t>
      </w:r>
    </w:p>
    <w:p>
      <w:pPr>
        <w:pStyle w:val="Heading3"/>
      </w:pPr>
      <w:r>
        <w:t>6.2 Position Reporting</w:t>
      </w:r>
    </w:p>
    <w:p>
      <w:pPr>
        <w:pStyle w:val="Heading4"/>
      </w:pPr>
      <w:r>
        <w:t>6.2.1 Commodity Derivatives Position Reporting (MiFID II Art. 57-58)</w:t>
      </w:r>
    </w:p>
    <w:p>
      <w:r>
        <w:t>Trading venues trading commodity derivatives must apply position limits and report position data to NCAs and ESMA:</w:t>
      </w:r>
    </w:p>
    <w:p>
      <w:pPr>
        <w:pStyle w:val="ListBullet"/>
      </w:pPr>
      <w:r>
        <w:t>Weekly reports: Aggregated positions by category of position holder</w:t>
      </w:r>
    </w:p>
    <w:p>
      <w:pPr>
        <w:pStyle w:val="ListBullet"/>
      </w:pPr>
      <w:r>
        <w:t>Daily reports: Individual positions of members/participants and their clients when positions breach certain thresholds</w:t>
      </w:r>
    </w:p>
    <w:p>
      <w:pPr>
        <w:pStyle w:val="ListBullet"/>
      </w:pPr>
      <w:r>
        <w:t>ESMA publishes aggregate position data</w:t>
      </w:r>
    </w:p>
    <w:p>
      <w:r>
        <w:t>This is less directly relevant to equities but can affect equity-linked derivatives and structured products.</w:t>
      </w:r>
    </w:p>
    <w:p>
      <w:pPr>
        <w:pStyle w:val="Heading4"/>
      </w:pPr>
      <w:r>
        <w:t>6.2.2 Net Short Position Reporting (SSR)</w:t>
      </w:r>
    </w:p>
    <w:p>
      <w:r>
        <w:t>As detailed in Section 2.5:</w:t>
      </w:r>
    </w:p>
    <w:p>
      <w:pPr>
        <w:pStyle w:val="ListBullet"/>
      </w:pPr>
      <w:r>
        <w:t>NCA reporting threshold: 0.1% of issued share capital (and each 0.1% increment above)</w:t>
      </w:r>
    </w:p>
    <w:p>
      <w:pPr>
        <w:pStyle w:val="ListBullet"/>
      </w:pPr>
      <w:r>
        <w:t>Public disclosure threshold: 0.5% of issued share capital (and each 0.1% above)</w:t>
      </w:r>
    </w:p>
    <w:p>
      <w:pPr>
        <w:pStyle w:val="ListBullet"/>
      </w:pPr>
      <w:r>
        <w:t>Reports must be made to the NCA of the Member State where the share was first admitted to trading on a regulated market</w:t>
      </w:r>
    </w:p>
    <w:p>
      <w:pPr>
        <w:pStyle w:val="ListBullet"/>
      </w:pPr>
      <w:r>
        <w:t>ESMA publishes aggregated net short position data</w:t>
      </w:r>
    </w:p>
    <w:p>
      <w:pPr>
        <w:pStyle w:val="Heading3"/>
      </w:pPr>
      <w:r>
        <w:t>6.3 Short Selling Disclosure</w:t>
      </w:r>
    </w:p>
    <w:p>
      <w:r>
        <w:t>The Short Selling Regulation requires: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Obligation</w:t>
            </w:r>
          </w:p>
        </w:tc>
        <w:tc>
          <w:tcPr>
            <w:tcW w:type="dxa" w:w="2160"/>
          </w:tcPr>
          <w:p>
            <w:pPr/>
            <w:r>
              <w:rPr>
                <w:b/>
                <w:sz w:val="18"/>
              </w:rPr>
              <w:t>Threshold</w:t>
            </w:r>
          </w:p>
        </w:tc>
        <w:tc>
          <w:tcPr>
            <w:tcW w:type="dxa" w:w="2160"/>
          </w:tcPr>
          <w:p>
            <w:pPr/>
            <w:r>
              <w:rPr>
                <w:b/>
                <w:sz w:val="18"/>
              </w:rPr>
              <w:t>Recipient</w:t>
            </w:r>
          </w:p>
        </w:tc>
        <w:tc>
          <w:tcPr>
            <w:tcW w:type="dxa" w:w="2160"/>
          </w:tcPr>
          <w:p>
            <w:pPr/>
            <w:r>
              <w:rPr>
                <w:b/>
                <w:sz w:val="18"/>
              </w:rPr>
              <w:t>Timing</w:t>
            </w:r>
          </w:p>
        </w:tc>
      </w:tr>
      <w:tr>
        <w:tc>
          <w:tcPr>
            <w:tcW w:type="dxa" w:w="2160"/>
          </w:tcPr>
          <w:p>
            <w:pPr/>
            <w:r>
              <w:rPr>
                <w:sz w:val="18"/>
              </w:rPr>
              <w:t>Private notification to NCA</w:t>
            </w:r>
          </w:p>
        </w:tc>
        <w:tc>
          <w:tcPr>
            <w:tcW w:type="dxa" w:w="2160"/>
          </w:tcPr>
          <w:p>
            <w:pPr/>
            <w:r>
              <w:rPr>
                <w:sz w:val="18"/>
              </w:rPr>
              <w:t>0.1% (and each 0.1% above)</w:t>
            </w:r>
          </w:p>
        </w:tc>
        <w:tc>
          <w:tcPr>
            <w:tcW w:type="dxa" w:w="2160"/>
          </w:tcPr>
          <w:p>
            <w:pPr/>
            <w:r>
              <w:rPr>
                <w:sz w:val="18"/>
              </w:rPr>
              <w:t>Relevant NCA</w:t>
            </w:r>
          </w:p>
        </w:tc>
        <w:tc>
          <w:tcPr>
            <w:tcW w:type="dxa" w:w="2160"/>
          </w:tcPr>
          <w:p>
            <w:pPr/>
            <w:r>
              <w:rPr>
                <w:sz w:val="18"/>
              </w:rPr>
              <w:t>By 15:30 on the next trading day</w:t>
            </w:r>
          </w:p>
        </w:tc>
      </w:tr>
      <w:tr>
        <w:tc>
          <w:tcPr>
            <w:tcW w:type="dxa" w:w="2160"/>
          </w:tcPr>
          <w:p>
            <w:pPr/>
            <w:r>
              <w:rPr>
                <w:sz w:val="18"/>
              </w:rPr>
              <w:t>Public disclosure</w:t>
            </w:r>
          </w:p>
        </w:tc>
        <w:tc>
          <w:tcPr>
            <w:tcW w:type="dxa" w:w="2160"/>
          </w:tcPr>
          <w:p>
            <w:pPr/>
            <w:r>
              <w:rPr>
                <w:sz w:val="18"/>
              </w:rPr>
              <w:t>0.5% (and each 0.1% above)</w:t>
            </w:r>
          </w:p>
        </w:tc>
        <w:tc>
          <w:tcPr>
            <w:tcW w:type="dxa" w:w="2160"/>
          </w:tcPr>
          <w:p>
            <w:pPr/>
            <w:r>
              <w:rPr>
                <w:sz w:val="18"/>
              </w:rPr>
              <w:t>Public (via NCA publication)</w:t>
            </w:r>
          </w:p>
        </w:tc>
        <w:tc>
          <w:tcPr>
            <w:tcW w:type="dxa" w:w="2160"/>
          </w:tcPr>
          <w:p>
            <w:pPr/>
            <w:r>
              <w:rPr>
                <w:sz w:val="18"/>
              </w:rPr>
              <w:t>By 15:30 on the next trading day</w:t>
            </w:r>
          </w:p>
        </w:tc>
      </w:tr>
      <w:tr>
        <w:tc>
          <w:tcPr>
            <w:tcW w:type="dxa" w:w="2160"/>
          </w:tcPr>
          <w:p>
            <w:pPr/>
            <w:r>
              <w:rPr>
                <w:sz w:val="18"/>
              </w:rPr>
              <w:t>Sovereign CDS disclosure</w:t>
            </w:r>
          </w:p>
        </w:tc>
        <w:tc>
          <w:tcPr>
            <w:tcW w:type="dxa" w:w="2160"/>
          </w:tcPr>
          <w:p>
            <w:pPr/>
            <w:r>
              <w:rPr>
                <w:sz w:val="18"/>
              </w:rPr>
              <w:t>Thresholds published by ESMA per issuer</w:t>
            </w:r>
          </w:p>
        </w:tc>
        <w:tc>
          <w:tcPr>
            <w:tcW w:type="dxa" w:w="2160"/>
          </w:tcPr>
          <w:p>
            <w:pPr/>
            <w:r>
              <w:rPr>
                <w:sz w:val="18"/>
              </w:rPr>
              <w:t>Relevant NCA</w:t>
            </w:r>
          </w:p>
        </w:tc>
        <w:tc>
          <w:tcPr>
            <w:tcW w:type="dxa" w:w="2160"/>
          </w:tcPr>
          <w:p>
            <w:pPr/>
            <w:r>
              <w:rPr>
                <w:sz w:val="18"/>
              </w:rPr>
              <w:t>By 15:30 on the next trading day</w:t>
            </w:r>
          </w:p>
        </w:tc>
      </w:tr>
    </w:tbl>
    <w:p/>
    <w:p>
      <w:r>
        <w:t>ESMA reform proposals: ESMA has proposed an EU-wide centralised publication system and the obligation for NCAs to periodically publish aggregated net short positions per issuer.</w:t>
      </w:r>
    </w:p>
    <w:p>
      <w:r>
        <w:t>UK approach: The UK Short Selling Regulations 2025 removed the public disclosure requirement. Positions are reported to the FCA only. The FCA may publish aggregate anonymised data.</w:t>
      </w:r>
    </w:p>
    <w:p>
      <w:r>
        <w:t>[Source: ESMA, "SSR Reporting", accessed 2026-04-06]</w:t>
      </w:r>
    </w:p>
    <w:p>
      <w:r>
        <w:t>[Source: FCA, "Notification and disclosure of net short positions", accessed 2026-04-06]</w:t>
      </w:r>
    </w:p>
    <w:p>
      <w:pPr>
        <w:pStyle w:val="Heading3"/>
      </w:pPr>
      <w:r>
        <w:t>6.4 Trade Repository Reporting</w:t>
      </w:r>
    </w:p>
    <w:p>
      <w:r>
        <w:t>While primarily governed by EMIR (for derivatives), trade repository reporting interacts with equities markets through:</w:t>
      </w:r>
    </w:p>
    <w:p>
      <w:pPr>
        <w:pStyle w:val="ListBullet"/>
      </w:pPr>
      <w:r>
        <w:t>Securities Financing Transactions Regulation (SFTR): Requires reporting of securities lending, repos, buy-sell back transactions, and margin lending transactions to registered trade repositories (since 2020). This captures the securities lending and borrowing market that underpins short selling, market making, and collateral management for equities.</w:t>
      </w:r>
    </w:p>
    <w:p>
      <w:pPr>
        <w:pStyle w:val="ListBullet"/>
      </w:pPr>
      <w:r>
        <w:t>EMIR: Any OTC derivatives with equity underlyings must be reported to trade repositories.</w:t>
      </w:r>
    </w:p>
    <w:p>
      <w:r>
        <w:t>────────────────────────────────────────────────────────────</w:t>
      </w:r>
    </w:p>
    <w:p>
      <w:pPr>
        <w:pStyle w:val="Heading2"/>
      </w:pPr>
      <w:r>
        <w:t>7. Cross-border Arrangements</w:t>
      </w:r>
    </w:p>
    <w:p>
      <w:pPr>
        <w:pStyle w:val="Heading3"/>
      </w:pPr>
      <w:r>
        <w:t>7.1 EU Passporting (Intra-EU)</w:t>
      </w:r>
    </w:p>
    <w:p>
      <w:r>
        <w:t>Within the EU, the "passport" system allows investment firms authorised in one Member State to provide services across all 27 Member States without needing separate local authorisation.</w:t>
      </w:r>
    </w:p>
    <w:p>
      <w:r>
        <w:t>How it works:</w:t>
      </w:r>
    </w:p>
    <w:p>
      <w:pPr>
        <w:pStyle w:val="ListBullet"/>
      </w:pPr>
      <w:r>
        <w:t>An investment firm authorised in its home Member State notifies its NCA of its intention to provide cross-border services or establish a branch in another Member State</w:t>
      </w:r>
    </w:p>
    <w:p>
      <w:pPr>
        <w:pStyle w:val="ListBullet"/>
      </w:pPr>
      <w:r>
        <w:t>The home NCA transmits the notification to the host NCA</w:t>
      </w:r>
    </w:p>
    <w:p>
      <w:pPr>
        <w:pStyle w:val="ListBullet"/>
      </w:pPr>
      <w:r>
        <w:t>The firm can begin providing services (notification-based, not approval-based)</w:t>
      </w:r>
    </w:p>
    <w:p>
      <w:pPr>
        <w:pStyle w:val="ListBullet"/>
      </w:pPr>
      <w:r>
        <w:t>Home NCA retains primary supervisory responsibility; host NCA has jurisdiction over conduct-of-business rules in some areas</w:t>
      </w:r>
    </w:p>
    <w:p>
      <w:r>
        <w:t>Passporting under MiFID II applies to:</w:t>
      </w:r>
    </w:p>
    <w:p>
      <w:pPr>
        <w:pStyle w:val="ListBullet"/>
      </w:pPr>
      <w:r>
        <w:t>Investment services and activities (dealing, brokerage, portfolio management, investment advice)</w:t>
      </w:r>
    </w:p>
    <w:p>
      <w:pPr>
        <w:pStyle w:val="ListBullet"/>
      </w:pPr>
      <w:r>
        <w:t>Operation of MTFs and OTFs</w:t>
      </w:r>
    </w:p>
    <w:p>
      <w:pPr>
        <w:pStyle w:val="ListBullet"/>
      </w:pPr>
      <w:r>
        <w:t>Ancillary services</w:t>
      </w:r>
    </w:p>
    <w:p>
      <w:r>
        <w:t>Does NOT apply to:</w:t>
      </w:r>
    </w:p>
    <w:p>
      <w:pPr>
        <w:pStyle w:val="ListBullet"/>
      </w:pPr>
      <w:r>
        <w:t>Operation of a Regulated Market (RMs require separate authorisation in each Member State where they wish to operate)</w:t>
      </w:r>
    </w:p>
    <w:p>
      <w:pPr>
        <w:pStyle w:val="ListBullet"/>
      </w:pPr>
      <w:r>
        <w:t>Activities outside MiFID II scope</w:t>
      </w:r>
    </w:p>
    <w:p>
      <w:pPr>
        <w:pStyle w:val="Heading3"/>
      </w:pPr>
      <w:r>
        <w:t>7.2 Third-Country Equivalence (EU Framework)</w:t>
      </w:r>
    </w:p>
    <w:p>
      <w:r>
        <w:t>For firms from non-EU countries (including the UK post-Brexit), access to EU markets is governed by the MiFIR third-country regime:</w:t>
      </w:r>
    </w:p>
    <w:p>
      <w:r>
        <w:t>Equivalence-based access (MiFIR Art. 46-49):</w:t>
      </w:r>
    </w:p>
    <w:p>
      <w:pPr>
        <w:pStyle w:val="ListBullet"/>
      </w:pPr>
      <w:r>
        <w:t>The European Commission may adopt an equivalence decision if a third country's regulatory and supervisory framework is considered equivalent to the EU's</w:t>
      </w:r>
    </w:p>
    <w:p>
      <w:pPr>
        <w:pStyle w:val="ListBullet"/>
      </w:pPr>
      <w:r>
        <w:t>Once equivalence is granted, third-country firms can register with ESMA and provide investment services to professional clients and eligible counterparties in the EU without establishing a branch</w:t>
      </w:r>
    </w:p>
    <w:p>
      <w:pPr>
        <w:pStyle w:val="ListBullet"/>
      </w:pPr>
      <w:r>
        <w:t>Equivalence decisions are unilateral, can be withdrawn at any time, and are politically charged</w:t>
      </w:r>
    </w:p>
    <w:p>
      <w:r>
        <w:t>Current UK status:</w:t>
      </w:r>
    </w:p>
    <w:p>
      <w:pPr>
        <w:pStyle w:val="ListBullet"/>
      </w:pPr>
      <w:r>
        <w:t>The EU has granted very limited equivalence to the UK:</w:t>
      </w:r>
    </w:p>
    <w:p>
      <w:pPr>
        <w:pStyle w:val="ListBullet"/>
      </w:pPr>
      <w:r>
        <w:t>Temporary equivalence for CCPs (LCH, ICE Clear Europe) — extended multiple times</w:t>
      </w:r>
    </w:p>
    <w:p>
      <w:pPr>
        <w:pStyle w:val="ListBullet"/>
      </w:pPr>
      <w:r>
        <w:t>Temporary equivalence for CSDs (limited scope)</w:t>
      </w:r>
    </w:p>
    <w:p>
      <w:pPr>
        <w:pStyle w:val="ListBullet"/>
      </w:pPr>
      <w:r>
        <w:t>No equivalence for investment services — UK firms cannot passport into the EU for MiFID services</w:t>
      </w:r>
    </w:p>
    <w:p>
      <w:pPr>
        <w:pStyle w:val="ListBullet"/>
      </w:pPr>
      <w:r>
        <w:t>UK firms serving EU clients must either: (a) establish an EU-authorised subsidiary, (b) rely on Member State national regimes (where available), or (c) serve only reverse-solicited clients</w:t>
      </w:r>
    </w:p>
    <w:p>
      <w:r>
        <w:t>MiFIR Review changes to third-country regime:</w:t>
      </w:r>
    </w:p>
    <w:p>
      <w:pPr>
        <w:pStyle w:val="ListBullet"/>
      </w:pPr>
      <w:r>
        <w:t>Strengthened conditions for equivalence decisions</w:t>
      </w:r>
    </w:p>
    <w:p>
      <w:pPr>
        <w:pStyle w:val="ListBullet"/>
      </w:pPr>
      <w:r>
        <w:t>ESMA given enhanced powers to monitor third-country firm activities</w:t>
      </w:r>
    </w:p>
    <w:p>
      <w:pPr>
        <w:pStyle w:val="ListBullet"/>
      </w:pPr>
      <w:r>
        <w:t>New requirements for third-country firms to report their EU activities to ESMA</w:t>
      </w:r>
    </w:p>
    <w:p>
      <w:pPr>
        <w:pStyle w:val="ListBullet"/>
      </w:pPr>
      <w:r>
        <w:t>Provisions for withdrawal of equivalence where conditions are no longer met</w:t>
      </w:r>
    </w:p>
    <w:p>
      <w:r>
        <w:t>[Source: UK Finance, "What the MiFIR third-country regime means for UK-EU cross-border services", accessed 2026-04-06]</w:t>
      </w:r>
    </w:p>
    <w:p>
      <w:r>
        <w:t>[Source: ESMA, "Assessment of third-country venues under MiFID II and MiFIR", accessed 2026-04-06]</w:t>
      </w:r>
    </w:p>
    <w:p>
      <w:pPr>
        <w:pStyle w:val="Heading3"/>
      </w:pPr>
      <w:r>
        <w:t>7.3 UK-EU Cooperation Post-Brexit</w:t>
      </w:r>
    </w:p>
    <w:p>
      <w:r>
        <w:t>Memorandum of Understanding (MoU):</w:t>
      </w:r>
    </w:p>
    <w:p>
      <w:pPr>
        <w:pStyle w:val="ListBullet"/>
      </w:pPr>
      <w:r>
        <w:t>A non-binding MoU on regulatory cooperation was agreed between the UK and EU in June 2023</w:t>
      </w:r>
    </w:p>
    <w:p>
      <w:pPr>
        <w:pStyle w:val="ListBullet"/>
      </w:pPr>
      <w:r>
        <w:t>Covers information sharing, supervisory cooperation, and early notification of regulatory changes</w:t>
      </w:r>
    </w:p>
    <w:p>
      <w:pPr>
        <w:pStyle w:val="ListBullet"/>
      </w:pPr>
      <w:r>
        <w:t>Does not confer any market access rights</w:t>
      </w:r>
    </w:p>
    <w:p>
      <w:r>
        <w:t>UK approach to EU equivalence:</w:t>
      </w:r>
    </w:p>
    <w:p>
      <w:pPr>
        <w:pStyle w:val="ListBullet"/>
      </w:pPr>
      <w:r>
        <w:t>The UK has been more generous in granting equivalence to the EU</w:t>
      </w:r>
    </w:p>
    <w:p>
      <w:pPr>
        <w:pStyle w:val="ListBullet"/>
      </w:pPr>
      <w:r>
        <w:t>Most EU equivalence determinations made under the Temporary Transitional Power (TTP) have been retained or made permanent</w:t>
      </w:r>
    </w:p>
    <w:p>
      <w:pPr>
        <w:pStyle w:val="ListBullet"/>
      </w:pPr>
      <w:r>
        <w:t>EU-authorised firms can access UK markets more easily than UK firms can access EU markets</w:t>
      </w:r>
    </w:p>
    <w:p>
      <w:r>
        <w:t>Practical impact on equity markets:</w:t>
      </w:r>
    </w:p>
    <w:p>
      <w:pPr>
        <w:pStyle w:val="ListBullet"/>
      </w:pPr>
      <w:r>
        <w:t>Post-Brexit, significant equity trading volume shifted from London to EU venues (particularly Amsterdam) due to the "share trading obligation" (STO), which requires EU investment firms to trade EU shares on EU venues</w:t>
      </w:r>
    </w:p>
    <w:p>
      <w:pPr>
        <w:pStyle w:val="ListBullet"/>
      </w:pPr>
      <w:r>
        <w:t>The UK applies its own STO, requiring UK firms to trade UK shares on UK venues or equivalent venues</w:t>
      </w:r>
    </w:p>
    <w:p>
      <w:pPr>
        <w:pStyle w:val="ListBullet"/>
      </w:pPr>
      <w:r>
        <w:t>This has created a fragmented landscape where the same share (e.g., a dual-listed company) may be traded under different regulatory regimes depending on the client's location</w:t>
      </w:r>
    </w:p>
    <w:p>
      <w:r>
        <w:t>[Source: European Commission, "EU-UK relations — Financial Services", accessed 2026-04-06] [unverified — based on general knowledge of the MoU framework]</w:t>
      </w:r>
    </w:p>
    <w:p>
      <w:r>
        <w:t>────────────────────────────────────────────────────────────</w:t>
      </w:r>
    </w:p>
    <w:p>
      <w:pPr>
        <w:pStyle w:val="Heading2"/>
      </w:pPr>
      <w:r>
        <w:t>8. Recent Changes (2021-2026)</w:t>
      </w:r>
    </w:p>
    <w:p>
      <w:pPr>
        <w:pStyle w:val="Heading3"/>
      </w:pPr>
      <w:r>
        <w:t>8.1 MiFID II/MiFIR Review (MiFIR Refit)</w:t>
      </w:r>
    </w:p>
    <w:p>
      <w:r>
        <w:t>Timeline:</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Date</w:t>
            </w:r>
          </w:p>
        </w:tc>
        <w:tc>
          <w:tcPr>
            <w:tcW w:type="dxa" w:w="4320"/>
          </w:tcPr>
          <w:p>
            <w:pPr/>
            <w:r>
              <w:rPr>
                <w:b/>
                <w:sz w:val="18"/>
              </w:rPr>
              <w:t>Event</w:t>
            </w:r>
          </w:p>
        </w:tc>
      </w:tr>
      <w:tr>
        <w:tc>
          <w:tcPr>
            <w:tcW w:type="dxa" w:w="4320"/>
          </w:tcPr>
          <w:p>
            <w:pPr/>
            <w:r>
              <w:rPr>
                <w:sz w:val="18"/>
              </w:rPr>
              <w:t>November 2021</w:t>
            </w:r>
          </w:p>
        </w:tc>
        <w:tc>
          <w:tcPr>
            <w:tcW w:type="dxa" w:w="4320"/>
          </w:tcPr>
          <w:p>
            <w:pPr/>
            <w:r>
              <w:rPr>
                <w:sz w:val="18"/>
              </w:rPr>
              <w:t>European Commission publishes legislative proposal for MiFIR Review</w:t>
            </w:r>
          </w:p>
        </w:tc>
      </w:tr>
      <w:tr>
        <w:tc>
          <w:tcPr>
            <w:tcW w:type="dxa" w:w="4320"/>
          </w:tcPr>
          <w:p>
            <w:pPr/>
            <w:r>
              <w:rPr>
                <w:sz w:val="18"/>
              </w:rPr>
              <w:t>February 2024</w:t>
            </w:r>
          </w:p>
        </w:tc>
        <w:tc>
          <w:tcPr>
            <w:tcW w:type="dxa" w:w="4320"/>
          </w:tcPr>
          <w:p>
            <w:pPr/>
            <w:r>
              <w:rPr>
                <w:sz w:val="18"/>
              </w:rPr>
              <w:t>Political agreement reached between European Parliament and Council</w:t>
            </w:r>
          </w:p>
        </w:tc>
      </w:tr>
      <w:tr>
        <w:tc>
          <w:tcPr>
            <w:tcW w:type="dxa" w:w="4320"/>
          </w:tcPr>
          <w:p>
            <w:pPr/>
            <w:r>
              <w:rPr>
                <w:sz w:val="18"/>
              </w:rPr>
              <w:t>28 March 2024</w:t>
            </w:r>
          </w:p>
        </w:tc>
        <w:tc>
          <w:tcPr>
            <w:tcW w:type="dxa" w:w="4320"/>
          </w:tcPr>
          <w:p>
            <w:pPr/>
            <w:r>
              <w:rPr>
                <w:sz w:val="18"/>
              </w:rPr>
              <w:t>MiFIR Review (Regulation (EU) 2024/791) enters into force</w:t>
            </w:r>
          </w:p>
        </w:tc>
      </w:tr>
      <w:tr>
        <w:tc>
          <w:tcPr>
            <w:tcW w:type="dxa" w:w="4320"/>
          </w:tcPr>
          <w:p>
            <w:pPr/>
            <w:r>
              <w:rPr>
                <w:sz w:val="18"/>
              </w:rPr>
              <w:t>29 September 2025</w:t>
            </w:r>
          </w:p>
        </w:tc>
        <w:tc>
          <w:tcPr>
            <w:tcW w:type="dxa" w:w="4320"/>
          </w:tcPr>
          <w:p>
            <w:pPr/>
            <w:r>
              <w:rPr>
                <w:sz w:val="18"/>
              </w:rPr>
              <w:t>Transposition deadline for MiFID II amendments</w:t>
            </w:r>
          </w:p>
        </w:tc>
      </w:tr>
      <w:tr>
        <w:tc>
          <w:tcPr>
            <w:tcW w:type="dxa" w:w="4320"/>
          </w:tcPr>
          <w:p>
            <w:pPr/>
            <w:r>
              <w:rPr>
                <w:sz w:val="18"/>
              </w:rPr>
              <w:t>October 2025</w:t>
            </w:r>
          </w:p>
        </w:tc>
        <w:tc>
          <w:tcPr>
            <w:tcW w:type="dxa" w:w="4320"/>
          </w:tcPr>
          <w:p>
            <w:pPr/>
            <w:r>
              <w:rPr>
                <w:sz w:val="18"/>
              </w:rPr>
              <w:t>Single Volume Cap (SVC) replaces Double Volume Cap (DVC)</w:t>
            </w:r>
          </w:p>
        </w:tc>
      </w:tr>
      <w:tr>
        <w:tc>
          <w:tcPr>
            <w:tcW w:type="dxa" w:w="4320"/>
          </w:tcPr>
          <w:p>
            <w:pPr/>
            <w:r>
              <w:rPr>
                <w:sz w:val="18"/>
              </w:rPr>
              <w:t>2 March 2026</w:t>
            </w:r>
          </w:p>
        </w:tc>
        <w:tc>
          <w:tcPr>
            <w:tcW w:type="dxa" w:w="4320"/>
          </w:tcPr>
          <w:p>
            <w:pPr/>
            <w:r>
              <w:rPr>
                <w:sz w:val="18"/>
              </w:rPr>
              <w:t>New transparency obligations under amended RTS 1 and RTS 2 take general effect</w:t>
            </w:r>
          </w:p>
        </w:tc>
      </w:tr>
      <w:tr>
        <w:tc>
          <w:tcPr>
            <w:tcW w:type="dxa" w:w="4320"/>
          </w:tcPr>
          <w:p>
            <w:pPr/>
            <w:r>
              <w:rPr>
                <w:sz w:val="18"/>
              </w:rPr>
              <w:t>2025-2026</w:t>
            </w:r>
          </w:p>
        </w:tc>
        <w:tc>
          <w:tcPr>
            <w:tcW w:type="dxa" w:w="4320"/>
          </w:tcPr>
          <w:p>
            <w:pPr/>
            <w:r>
              <w:rPr>
                <w:sz w:val="18"/>
              </w:rPr>
              <w:t>ESMA delivers Level 2 technical standards (RTS/ITS) in multiple packages</w:t>
            </w:r>
          </w:p>
        </w:tc>
      </w:tr>
    </w:tbl>
    <w:p/>
    <w:p>
      <w:r>
        <w:t>Key changes summary:</w:t>
      </w:r>
    </w:p>
    <w:p>
      <w:pPr>
        <w:pStyle w:val="ListNumber"/>
      </w:pPr>
      <w:r>
        <w:t>Consolidated tape: Mandatory CTP regime with ESMA selection process (see Section 4.1)</w:t>
      </w:r>
    </w:p>
    <w:p>
      <w:pPr>
        <w:pStyle w:val="ListNumber"/>
      </w:pPr>
      <w:r>
        <w:t>Volume cap: DVC replaced with SVC (7% single cap on reference price waiver only)</w:t>
      </w:r>
    </w:p>
    <w:p>
      <w:pPr>
        <w:pStyle w:val="ListNumber"/>
      </w:pPr>
      <w:r>
        <w:t>Transparency: Revised pre- and post-trade transparency calibrations; new liquidity definitions</w:t>
      </w:r>
    </w:p>
    <w:p>
      <w:pPr>
        <w:pStyle w:val="ListNumber"/>
      </w:pPr>
      <w:r>
        <w:t>SI regime: Quantitative thresholds for SI designation replaced with qualitative self-assessment; revised quoting obligations</w:t>
      </w:r>
    </w:p>
    <w:p>
      <w:pPr>
        <w:pStyle w:val="ListNumber"/>
      </w:pPr>
      <w:r>
        <w:t>Market data: Binding RCB technical standards; mandatory data contribution to CTP</w:t>
      </w:r>
    </w:p>
    <w:p>
      <w:pPr>
        <w:pStyle w:val="ListNumber"/>
      </w:pPr>
      <w:r>
        <w:t>Transaction reporting: Enhanced Article 26 scope and revised RTS 22</w:t>
      </w:r>
    </w:p>
    <w:p>
      <w:pPr>
        <w:pStyle w:val="ListNumber"/>
      </w:pPr>
      <w:r>
        <w:t>Third-country regime: Strengthened conditions and ESMA oversight</w:t>
      </w:r>
    </w:p>
    <w:p>
      <w:pPr>
        <w:pStyle w:val="ListNumber"/>
      </w:pPr>
      <w:r>
        <w:t>Designated publishing entities (DPE): New concept replacing APAs for certain publishing functions</w:t>
      </w:r>
    </w:p>
    <w:p>
      <w:r>
        <w:t>[Source: ESMA, "MiFID II and MiFIR review", accessed 2026-04-06]</w:t>
      </w:r>
    </w:p>
    <w:p>
      <w:r>
        <w:t>[Source: Ashurst, "ESMA final reports on MiFIR reform: Another piece of the jigsaw", accessed 2026-04-06]</w:t>
      </w:r>
    </w:p>
    <w:p>
      <w:pPr>
        <w:pStyle w:val="Heading3"/>
      </w:pPr>
      <w:r>
        <w:t>8.2 Edinburgh Reforms and UK Wholesale Markets Review</w:t>
      </w:r>
    </w:p>
    <w:p>
      <w:r>
        <w:t>The UK government's "Edinburgh Reforms" (December 2022) and subsequent "Leeds Reforms" set the strategic direction for UK financial services post-Brexit, with the overarching goal of enhancing UK competitiveness.</w:t>
      </w:r>
    </w:p>
    <w:p>
      <w:r>
        <w:t>Key developments: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Reform</w:t>
            </w:r>
          </w:p>
        </w:tc>
        <w:tc>
          <w:tcPr>
            <w:tcW w:type="dxa" w:w="2880"/>
          </w:tcPr>
          <w:p>
            <w:pPr/>
            <w:r>
              <w:rPr>
                <w:b/>
                <w:sz w:val="18"/>
              </w:rPr>
              <w:t>Status</w:t>
            </w:r>
          </w:p>
        </w:tc>
        <w:tc>
          <w:tcPr>
            <w:tcW w:type="dxa" w:w="2880"/>
          </w:tcPr>
          <w:p>
            <w:pPr/>
            <w:r>
              <w:rPr>
                <w:b/>
                <w:sz w:val="18"/>
              </w:rPr>
              <w:t>Details</w:t>
            </w:r>
          </w:p>
        </w:tc>
      </w:tr>
      <w:tr>
        <w:tc>
          <w:tcPr>
            <w:tcW w:type="dxa" w:w="2880"/>
          </w:tcPr>
          <w:p>
            <w:pPr/>
            <w:r>
              <w:rPr>
                <w:sz w:val="18"/>
              </w:rPr>
              <w:t>**Wholesale Markets Review**</w:t>
            </w:r>
          </w:p>
        </w:tc>
        <w:tc>
          <w:tcPr>
            <w:tcW w:type="dxa" w:w="2880"/>
          </w:tcPr>
          <w:p>
            <w:pPr/>
            <w:r>
              <w:rPr>
                <w:sz w:val="18"/>
              </w:rPr>
              <w:t>Ongoing (multiple phases)</w:t>
            </w:r>
          </w:p>
        </w:tc>
        <w:tc>
          <w:tcPr>
            <w:tcW w:type="dxa" w:w="2880"/>
          </w:tcPr>
          <w:p>
            <w:pPr/>
            <w:r>
              <w:rPr>
                <w:sz w:val="18"/>
              </w:rPr>
              <w:t>FCA implementing changes to MiFID-derived rules: removing fixed-income SI regime, reviewing equity transparency, streamlining reporting</w:t>
            </w:r>
          </w:p>
        </w:tc>
      </w:tr>
      <w:tr>
        <w:tc>
          <w:tcPr>
            <w:tcW w:type="dxa" w:w="2880"/>
          </w:tcPr>
          <w:p>
            <w:pPr/>
            <w:r>
              <w:rPr>
                <w:sz w:val="18"/>
              </w:rPr>
              <w:t>**FSMA 2023**</w:t>
            </w:r>
          </w:p>
        </w:tc>
        <w:tc>
          <w:tcPr>
            <w:tcW w:type="dxa" w:w="2880"/>
          </w:tcPr>
          <w:p>
            <w:pPr/>
            <w:r>
              <w:rPr>
                <w:sz w:val="18"/>
              </w:rPr>
              <w:t>In force (29 June 2023)</w:t>
            </w:r>
          </w:p>
        </w:tc>
        <w:tc>
          <w:tcPr>
            <w:tcW w:type="dxa" w:w="2880"/>
          </w:tcPr>
          <w:p>
            <w:pPr/>
            <w:r>
              <w:rPr>
                <w:sz w:val="18"/>
              </w:rPr>
              <w:t>Grants FCA/PRA rulemaking power to replace retained EU law; adds secondary competitiveness objective</w:t>
            </w:r>
          </w:p>
        </w:tc>
      </w:tr>
      <w:tr>
        <w:tc>
          <w:tcPr>
            <w:tcW w:type="dxa" w:w="2880"/>
          </w:tcPr>
          <w:p>
            <w:pPr/>
            <w:r>
              <w:rPr>
                <w:sz w:val="18"/>
              </w:rPr>
              <w:t>**UK Listing Rules (UKLR)**</w:t>
            </w:r>
          </w:p>
        </w:tc>
        <w:tc>
          <w:tcPr>
            <w:tcW w:type="dxa" w:w="2880"/>
          </w:tcPr>
          <w:p>
            <w:pPr/>
            <w:r>
              <w:rPr>
                <w:sz w:val="18"/>
              </w:rPr>
              <w:t>In force (29 July 2024)</w:t>
            </w:r>
          </w:p>
        </w:tc>
        <w:tc>
          <w:tcPr>
            <w:tcW w:type="dxa" w:w="2880"/>
          </w:tcPr>
          <w:p>
            <w:pPr/>
            <w:r>
              <w:rPr>
                <w:sz w:val="18"/>
              </w:rPr>
              <w:t>See Section 8.3 below</w:t>
            </w:r>
          </w:p>
        </w:tc>
      </w:tr>
      <w:tr>
        <w:tc>
          <w:tcPr>
            <w:tcW w:type="dxa" w:w="2880"/>
          </w:tcPr>
          <w:p>
            <w:pPr/>
            <w:r>
              <w:rPr>
                <w:sz w:val="18"/>
              </w:rPr>
              <w:t>**UK Prospectus Regime**</w:t>
            </w:r>
          </w:p>
        </w:tc>
        <w:tc>
          <w:tcPr>
            <w:tcW w:type="dxa" w:w="2880"/>
          </w:tcPr>
          <w:p>
            <w:pPr/>
            <w:r>
              <w:rPr>
                <w:sz w:val="18"/>
              </w:rPr>
              <w:t>In force (19 January 2026)</w:t>
            </w:r>
          </w:p>
        </w:tc>
        <w:tc>
          <w:tcPr>
            <w:tcW w:type="dxa" w:w="2880"/>
          </w:tcPr>
          <w:p>
            <w:pPr/>
            <w:r>
              <w:rPr>
                <w:sz w:val="18"/>
              </w:rPr>
              <w:t>New PRM sourcebook replaces retained EU Prospectus Regulation</w:t>
            </w:r>
          </w:p>
        </w:tc>
      </w:tr>
      <w:tr>
        <w:tc>
          <w:tcPr>
            <w:tcW w:type="dxa" w:w="2880"/>
          </w:tcPr>
          <w:p>
            <w:pPr/>
            <w:r>
              <w:rPr>
                <w:sz w:val="18"/>
              </w:rPr>
              <w:t>**Short Selling Regulations 2025**</w:t>
            </w:r>
          </w:p>
        </w:tc>
        <w:tc>
          <w:tcPr>
            <w:tcW w:type="dxa" w:w="2880"/>
          </w:tcPr>
          <w:p>
            <w:pPr/>
            <w:r>
              <w:rPr>
                <w:sz w:val="18"/>
              </w:rPr>
              <w:t>In force (2025)</w:t>
            </w:r>
          </w:p>
        </w:tc>
        <w:tc>
          <w:tcPr>
            <w:tcW w:type="dxa" w:w="2880"/>
          </w:tcPr>
          <w:p>
            <w:pPr/>
            <w:r>
              <w:rPr>
                <w:sz w:val="18"/>
              </w:rPr>
              <w:t>Lighter-touch UK regime; no public disclosure</w:t>
            </w:r>
          </w:p>
        </w:tc>
      </w:tr>
      <w:tr>
        <w:tc>
          <w:tcPr>
            <w:tcW w:type="dxa" w:w="2880"/>
          </w:tcPr>
          <w:p>
            <w:pPr/>
            <w:r>
              <w:rPr>
                <w:sz w:val="18"/>
              </w:rPr>
              <w:t>**Equity CT**</w:t>
            </w:r>
          </w:p>
        </w:tc>
        <w:tc>
          <w:tcPr>
            <w:tcW w:type="dxa" w:w="2880"/>
          </w:tcPr>
          <w:p>
            <w:pPr/>
            <w:r>
              <w:rPr>
                <w:sz w:val="18"/>
              </w:rPr>
              <w:t>Consultation (CP25/31, Nov 2025)</w:t>
            </w:r>
          </w:p>
        </w:tc>
        <w:tc>
          <w:tcPr>
            <w:tcW w:type="dxa" w:w="2880"/>
          </w:tcPr>
          <w:p>
            <w:pPr/>
            <w:r>
              <w:rPr>
                <w:sz w:val="18"/>
              </w:rPr>
              <w:t>Framework for UK equity CT; targeted launch 2027</w:t>
            </w:r>
          </w:p>
        </w:tc>
      </w:tr>
      <w:tr>
        <w:tc>
          <w:tcPr>
            <w:tcW w:type="dxa" w:w="2880"/>
          </w:tcPr>
          <w:p>
            <w:pPr/>
            <w:r>
              <w:rPr>
                <w:sz w:val="18"/>
              </w:rPr>
              <w:t>**Bond CT**</w:t>
            </w:r>
          </w:p>
        </w:tc>
        <w:tc>
          <w:tcPr>
            <w:tcW w:type="dxa" w:w="2880"/>
          </w:tcPr>
          <w:p>
            <w:pPr/>
            <w:r>
              <w:rPr>
                <w:sz w:val="18"/>
              </w:rPr>
              <w:t>Contract signed (Jan 2026)</w:t>
            </w:r>
          </w:p>
        </w:tc>
        <w:tc>
          <w:tcPr>
            <w:tcW w:type="dxa" w:w="2880"/>
          </w:tcPr>
          <w:p>
            <w:pPr/>
            <w:r>
              <w:rPr>
                <w:sz w:val="18"/>
              </w:rPr>
              <w:t>ETS selected; launch targeted 22 June 2026</w:t>
            </w:r>
          </w:p>
        </w:tc>
      </w:tr>
    </w:tbl>
    <w:p/>
    <w:p>
      <w:r>
        <w:t>[Source: FCA, "FCA statement on market reforms and what's to come", accessed 2026-04-06]</w:t>
      </w:r>
    </w:p>
    <w:p>
      <w:pPr>
        <w:pStyle w:val="Heading3"/>
      </w:pPr>
      <w:r>
        <w:t>8.3 UK Listing Rules Reform 2024 (UKLR)</w:t>
      </w:r>
    </w:p>
    <w:p>
      <w:r>
        <w:t>The FCA published the most significant overhaul of UK listing rules in over three decades, effective 29 July 2024.</w:t>
      </w:r>
    </w:p>
    <w:p>
      <w:r>
        <w:t>Core changes: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Old Regime</w:t>
            </w:r>
          </w:p>
        </w:tc>
        <w:tc>
          <w:tcPr>
            <w:tcW w:type="dxa" w:w="4320"/>
          </w:tcPr>
          <w:p>
            <w:pPr/>
            <w:r>
              <w:rPr>
                <w:b/>
                <w:sz w:val="18"/>
              </w:rPr>
              <w:t>New Regime (UKLR)</w:t>
            </w:r>
          </w:p>
        </w:tc>
      </w:tr>
      <w:tr>
        <w:tc>
          <w:tcPr>
            <w:tcW w:type="dxa" w:w="4320"/>
          </w:tcPr>
          <w:p>
            <w:pPr/>
            <w:r>
              <w:rPr>
                <w:sz w:val="18"/>
              </w:rPr>
              <w:t>Premium listing category</w:t>
            </w:r>
          </w:p>
        </w:tc>
        <w:tc>
          <w:tcPr>
            <w:tcW w:type="dxa" w:w="4320"/>
          </w:tcPr>
          <w:p>
            <w:pPr/>
            <w:r>
              <w:rPr>
                <w:sz w:val="18"/>
              </w:rPr>
              <w:t>Equity Shares (Commercial Companies) — **ESCC**</w:t>
            </w:r>
          </w:p>
        </w:tc>
      </w:tr>
      <w:tr>
        <w:tc>
          <w:tcPr>
            <w:tcW w:type="dxa" w:w="4320"/>
          </w:tcPr>
          <w:p>
            <w:pPr/>
            <w:r>
              <w:rPr>
                <w:sz w:val="18"/>
              </w:rPr>
              <w:t>Standard listing category</w:t>
            </w:r>
          </w:p>
        </w:tc>
        <w:tc>
          <w:tcPr>
            <w:tcW w:type="dxa" w:w="4320"/>
          </w:tcPr>
          <w:p>
            <w:pPr/>
            <w:r>
              <w:rPr>
                <w:sz w:val="18"/>
              </w:rPr>
              <w:t>**Transition category** (closed to new entrants; existing standard-listed companies mapped automatically)</w:t>
            </w:r>
          </w:p>
        </w:tc>
      </w:tr>
      <w:tr>
        <w:tc>
          <w:tcPr>
            <w:tcW w:type="dxa" w:w="4320"/>
          </w:tcPr>
          <w:p>
            <w:pPr/>
            <w:r>
              <w:rPr>
                <w:sz w:val="18"/>
              </w:rPr>
              <w:t>Dual-class share structures heavily restricted</w:t>
            </w:r>
          </w:p>
        </w:tc>
        <w:tc>
          <w:tcPr>
            <w:tcW w:type="dxa" w:w="4320"/>
          </w:tcPr>
          <w:p>
            <w:pPr/>
            <w:r>
              <w:rPr>
                <w:sz w:val="18"/>
              </w:rPr>
              <w:t>Dual-class shares permitted with enhanced voting rights for up to 10 years (previously 5 years for premium)</w:t>
            </w:r>
          </w:p>
        </w:tc>
      </w:tr>
      <w:tr>
        <w:tc>
          <w:tcPr>
            <w:tcW w:type="dxa" w:w="4320"/>
          </w:tcPr>
          <w:p>
            <w:pPr/>
            <w:r>
              <w:rPr>
                <w:sz w:val="18"/>
              </w:rPr>
              <w:t>Sponsor required at IPO and for significant transactions</w:t>
            </w:r>
          </w:p>
        </w:tc>
        <w:tc>
          <w:tcPr>
            <w:tcW w:type="dxa" w:w="4320"/>
          </w:tcPr>
          <w:p>
            <w:pPr/>
            <w:r>
              <w:rPr>
                <w:sz w:val="18"/>
              </w:rPr>
              <w:t>Sponsor required at IPO; reduced ongoing role</w:t>
            </w:r>
          </w:p>
        </w:tc>
      </w:tr>
      <w:tr>
        <w:tc>
          <w:tcPr>
            <w:tcW w:type="dxa" w:w="4320"/>
          </w:tcPr>
          <w:p>
            <w:pPr/>
            <w:r>
              <w:rPr>
                <w:sz w:val="18"/>
              </w:rPr>
              <w:t>Mandatory shareholder vote on significant transactions, related party transactions</w:t>
            </w:r>
          </w:p>
        </w:tc>
        <w:tc>
          <w:tcPr>
            <w:tcW w:type="dxa" w:w="4320"/>
          </w:tcPr>
          <w:p>
            <w:pPr/>
            <w:r>
              <w:rPr>
                <w:sz w:val="18"/>
              </w:rPr>
              <w:t>No mandatory shareholder vote for significant transactions; related party transactions subject to board approval (with independent oversight)</w:t>
            </w:r>
          </w:p>
        </w:tc>
      </w:tr>
      <w:tr>
        <w:tc>
          <w:tcPr>
            <w:tcW w:type="dxa" w:w="4320"/>
          </w:tcPr>
          <w:p>
            <w:pPr/>
            <w:r>
              <w:rPr>
                <w:sz w:val="18"/>
              </w:rPr>
              <w:t>3-year track record required (premium)</w:t>
            </w:r>
          </w:p>
        </w:tc>
        <w:tc>
          <w:tcPr>
            <w:tcW w:type="dxa" w:w="4320"/>
          </w:tcPr>
          <w:p>
            <w:pPr/>
            <w:r>
              <w:rPr>
                <w:sz w:val="18"/>
              </w:rPr>
              <w:t>No minimum track record required</w:t>
            </w:r>
          </w:p>
        </w:tc>
      </w:tr>
      <w:tr>
        <w:tc>
          <w:tcPr>
            <w:tcW w:type="dxa" w:w="4320"/>
          </w:tcPr>
          <w:p>
            <w:pPr/>
            <w:r>
              <w:rPr>
                <w:sz w:val="18"/>
              </w:rPr>
              <w:t>25% minimum free float (premium)</w:t>
            </w:r>
          </w:p>
        </w:tc>
        <w:tc>
          <w:tcPr>
            <w:tcW w:type="dxa" w:w="4320"/>
          </w:tcPr>
          <w:p>
            <w:pPr/>
            <w:r>
              <w:rPr>
                <w:sz w:val="18"/>
              </w:rPr>
              <w:t>10% minimum free float</w:t>
            </w:r>
          </w:p>
        </w:tc>
      </w:tr>
    </w:tbl>
    <w:p/>
    <w:p>
      <w:r>
        <w:t>Additional categories:</w:t>
      </w:r>
    </w:p>
    <w:p>
      <w:pPr>
        <w:pStyle w:val="ListBullet"/>
      </w:pPr>
      <w:r>
        <w:t>Shell companies (SPACs): Dedicated category with tailored rules</w:t>
      </w:r>
    </w:p>
    <w:p>
      <w:pPr>
        <w:pStyle w:val="ListBullet"/>
      </w:pPr>
      <w:r>
        <w:t>Secondary listings: For companies primarily listed overseas</w:t>
      </w:r>
    </w:p>
    <w:p>
      <w:pPr>
        <w:pStyle w:val="ListBullet"/>
      </w:pPr>
      <w:r>
        <w:t>Non-equity shares and non-voting equity shares</w:t>
      </w:r>
    </w:p>
    <w:p>
      <w:pPr>
        <w:pStyle w:val="ListBullet"/>
      </w:pPr>
      <w:r>
        <w:t>Closed-ended investment funds</w:t>
      </w:r>
    </w:p>
    <w:p>
      <w:r>
        <w:t>Rationale: The reforms aim to attract more IPOs to London by reducing the regulatory burden of listing while maintaining investor protections through disclosure and governance requirements. The FCA will conduct a post-implementation review in 5 years.</w:t>
      </w:r>
    </w:p>
    <w:p>
      <w:r>
        <w:t>[Source: FCA, "PS24/6: Primary Markets Effectiveness Review", accessed 2026-04-06]</w:t>
      </w:r>
    </w:p>
    <w:p>
      <w:r>
        <w:t>[Source: FCA, "FCA overhauls listing rules to boost growth and innovation on UK stock markets", accessed 2026-04-06]</w:t>
      </w:r>
    </w:p>
    <w:p>
      <w:pPr>
        <w:pStyle w:val="Heading3"/>
      </w:pPr>
      <w:r>
        <w:t>8.4 T+1 Settlement Transition</w:t>
      </w:r>
    </w:p>
    <w:p>
      <w:r>
        <w:t>The move from T+2 to T+1 settlement is the most significant post-trade structural change in European markets.</w:t>
      </w:r>
    </w:p>
    <w:p>
      <w:r>
        <w:t>Background: Following the US and Canada's successful move to T+1 on 28 May 2024, pressure grew on European markets to follow suit to reduce settlement risk and maintain competitiveness.</w:t>
      </w:r>
    </w:p>
    <w:p>
      <w:r>
        <w:t>EU timeline: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Phase</w:t>
            </w:r>
          </w:p>
        </w:tc>
        <w:tc>
          <w:tcPr>
            <w:tcW w:type="dxa" w:w="2880"/>
          </w:tcPr>
          <w:p>
            <w:pPr/>
            <w:r>
              <w:rPr>
                <w:b/>
                <w:sz w:val="18"/>
              </w:rPr>
              <w:t>Period</w:t>
            </w:r>
          </w:p>
        </w:tc>
        <w:tc>
          <w:tcPr>
            <w:tcW w:type="dxa" w:w="2880"/>
          </w:tcPr>
          <w:p>
            <w:pPr/>
            <w:r>
              <w:rPr>
                <w:b/>
                <w:sz w:val="18"/>
              </w:rPr>
              <w:t>Activities</w:t>
            </w:r>
          </w:p>
        </w:tc>
      </w:tr>
      <w:tr>
        <w:tc>
          <w:tcPr>
            <w:tcW w:type="dxa" w:w="2880"/>
          </w:tcPr>
          <w:p>
            <w:pPr/>
            <w:r>
              <w:rPr>
                <w:sz w:val="18"/>
              </w:rPr>
              <w:t>Planning</w:t>
            </w:r>
          </w:p>
        </w:tc>
        <w:tc>
          <w:tcPr>
            <w:tcW w:type="dxa" w:w="2880"/>
          </w:tcPr>
          <w:p>
            <w:pPr/>
            <w:r>
              <w:rPr>
                <w:sz w:val="18"/>
              </w:rPr>
              <w:t>2025</w:t>
            </w:r>
          </w:p>
        </w:tc>
        <w:tc>
          <w:tcPr>
            <w:tcW w:type="dxa" w:w="2880"/>
          </w:tcPr>
          <w:p>
            <w:pPr/>
            <w:r>
              <w:rPr>
                <w:sz w:val="18"/>
              </w:rPr>
              <w:t>Finalisation of technical solutions by industry</w:t>
            </w:r>
          </w:p>
        </w:tc>
      </w:tr>
      <w:tr>
        <w:tc>
          <w:tcPr>
            <w:tcW w:type="dxa" w:w="2880"/>
          </w:tcPr>
          <w:p>
            <w:pPr/>
            <w:r>
              <w:rPr>
                <w:sz w:val="18"/>
              </w:rPr>
              <w:t>Development</w:t>
            </w:r>
          </w:p>
        </w:tc>
        <w:tc>
          <w:tcPr>
            <w:tcW w:type="dxa" w:w="2880"/>
          </w:tcPr>
          <w:p>
            <w:pPr/>
            <w:r>
              <w:rPr>
                <w:sz w:val="18"/>
              </w:rPr>
              <w:t>2026</w:t>
            </w:r>
          </w:p>
        </w:tc>
        <w:tc>
          <w:tcPr>
            <w:tcW w:type="dxa" w:w="2880"/>
          </w:tcPr>
          <w:p>
            <w:pPr/>
            <w:r>
              <w:rPr>
                <w:sz w:val="18"/>
              </w:rPr>
              <w:t>Industry implementation; new requirements for allocations, confirmations, data standards take effect 7 December 2026; enhanced reporting and disclosure rules from 1 July 2027</w:t>
            </w:r>
          </w:p>
        </w:tc>
      </w:tr>
      <w:tr>
        <w:tc>
          <w:tcPr>
            <w:tcW w:type="dxa" w:w="2880"/>
          </w:tcPr>
          <w:p>
            <w:pPr/>
            <w:r>
              <w:rPr>
                <w:sz w:val="18"/>
              </w:rPr>
              <w:t>Testing</w:t>
            </w:r>
          </w:p>
        </w:tc>
        <w:tc>
          <w:tcPr>
            <w:tcW w:type="dxa" w:w="2880"/>
          </w:tcPr>
          <w:p>
            <w:pPr/>
            <w:r>
              <w:rPr>
                <w:sz w:val="18"/>
              </w:rPr>
              <w:t>2027 (until October)</w:t>
            </w:r>
          </w:p>
        </w:tc>
        <w:tc>
          <w:tcPr>
            <w:tcW w:type="dxa" w:w="2880"/>
          </w:tcPr>
          <w:p>
            <w:pPr/>
            <w:r>
              <w:rPr>
                <w:sz w:val="18"/>
              </w:rPr>
              <w:t>Industry testing ahead of go-live</w:t>
            </w:r>
          </w:p>
        </w:tc>
      </w:tr>
      <w:tr>
        <w:tc>
          <w:tcPr>
            <w:tcW w:type="dxa" w:w="2880"/>
          </w:tcPr>
          <w:p>
            <w:pPr/>
            <w:r>
              <w:rPr>
                <w:sz w:val="18"/>
              </w:rPr>
              <w:t>**Go-live**</w:t>
            </w:r>
          </w:p>
        </w:tc>
        <w:tc>
          <w:tcPr>
            <w:tcW w:type="dxa" w:w="2880"/>
          </w:tcPr>
          <w:p>
            <w:pPr/>
            <w:r>
              <w:rPr>
                <w:sz w:val="18"/>
              </w:rPr>
              <w:t>**11 October 2027**</w:t>
            </w:r>
          </w:p>
        </w:tc>
        <w:tc>
          <w:tcPr>
            <w:tcW w:type="dxa" w:w="2880"/>
          </w:tcPr>
          <w:p>
            <w:pPr/>
            <w:r>
              <w:rPr>
                <w:sz w:val="18"/>
              </w:rPr>
              <w:t>EU securities markets move to T+1 settlement</w:t>
            </w:r>
          </w:p>
        </w:tc>
      </w:tr>
    </w:tbl>
    <w:p/>
    <w:p>
      <w:r>
        <w:t>Legal basis: CSDR Refit published in EU Official Journal on 14 October 2025, providing the binding legal requirement.</w:t>
      </w:r>
    </w:p>
    <w:p>
      <w:r>
        <w:t>UK timeline: The UK has committed to aligning with the EU's 11 October 2027 date, recognising the operational benefits of moving simultaneously with the EU. The UK's Accelerated Settlement Taskforce recommended this approach.</w:t>
      </w:r>
    </w:p>
    <w:p>
      <w:r>
        <w:t>Switzerland: Also aligning to the October 2027 date.</w:t>
      </w:r>
    </w:p>
    <w:p>
      <w:r>
        <w:t>Key challenges:</w:t>
      </w:r>
    </w:p>
    <w:p>
      <w:pPr>
        <w:pStyle w:val="ListBullet"/>
      </w:pPr>
      <w:r>
        <w:t>Cross-time-zone settlement for non-European investors (particularly Asian investors)</w:t>
      </w:r>
    </w:p>
    <w:p>
      <w:pPr>
        <w:pStyle w:val="ListBullet"/>
      </w:pPr>
      <w:r>
        <w:t>FX settlement for multi-currency transactions</w:t>
      </w:r>
    </w:p>
    <w:p>
      <w:pPr>
        <w:pStyle w:val="ListBullet"/>
      </w:pPr>
      <w:r>
        <w:t>Securities lending recall timing</w:t>
      </w:r>
    </w:p>
    <w:p>
      <w:pPr>
        <w:pStyle w:val="ListBullet"/>
      </w:pPr>
      <w:r>
        <w:t>Corporate actions processing</w:t>
      </w:r>
    </w:p>
    <w:p>
      <w:pPr>
        <w:pStyle w:val="ListBullet"/>
      </w:pPr>
      <w:r>
        <w:t>CSD interoperability</w:t>
      </w:r>
    </w:p>
    <w:p>
      <w:r>
        <w:t>[Source: European Commission, "T+1 settlement", February 2025, accessed 2026-04-06]</w:t>
      </w:r>
    </w:p>
    <w:p>
      <w:r>
        <w:t>[Source: BNP Paribas Securities Services, "T+1 in Europe: what's next for the EU, the UK and Switzerland?", accessed 2026-04-06]</w:t>
      </w:r>
    </w:p>
    <w:p>
      <w:pPr>
        <w:pStyle w:val="Heading3"/>
      </w:pPr>
      <w:r>
        <w:t>8.5 DORA (Digital Operational Resilience Act)</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**Full name**</w:t>
            </w:r>
          </w:p>
        </w:tc>
        <w:tc>
          <w:tcPr>
            <w:tcW w:type="dxa" w:w="4320"/>
          </w:tcPr>
          <w:p>
            <w:pPr/>
            <w:r>
              <w:rPr>
                <w:sz w:val="18"/>
              </w:rPr>
              <w:t>Regulation (EU) 2022/2554 — Digital Operational Resilience Act</w:t>
            </w:r>
          </w:p>
        </w:tc>
      </w:tr>
      <w:tr>
        <w:tc>
          <w:tcPr>
            <w:tcW w:type="dxa" w:w="4320"/>
          </w:tcPr>
          <w:p>
            <w:pPr/>
            <w:r>
              <w:rPr>
                <w:sz w:val="18"/>
              </w:rPr>
              <w:t>**Application date**</w:t>
            </w:r>
          </w:p>
        </w:tc>
        <w:tc>
          <w:tcPr>
            <w:tcW w:type="dxa" w:w="4320"/>
          </w:tcPr>
          <w:p>
            <w:pPr/>
            <w:r>
              <w:rPr>
                <w:sz w:val="18"/>
              </w:rPr>
              <w:t>17 January 2025</w:t>
            </w:r>
          </w:p>
        </w:tc>
      </w:tr>
      <w:tr>
        <w:tc>
          <w:tcPr>
            <w:tcW w:type="dxa" w:w="4320"/>
          </w:tcPr>
          <w:p>
            <w:pPr/>
            <w:r>
              <w:rPr>
                <w:sz w:val="18"/>
              </w:rPr>
              <w:t>**Scope**</w:t>
            </w:r>
          </w:p>
        </w:tc>
        <w:tc>
          <w:tcPr>
            <w:tcW w:type="dxa" w:w="4320"/>
          </w:tcPr>
          <w:p>
            <w:pPr/>
            <w:r>
              <w:rPr>
                <w:sz w:val="18"/>
              </w:rPr>
              <w:t>20+ types of financial entities including banks, investment firms, trading venues, CCPs, CSDs, payment institutions, crypto-asset service providers, and critical ICT third-party service providers</w:t>
            </w:r>
          </w:p>
        </w:tc>
      </w:tr>
      <w:tr>
        <w:tc>
          <w:tcPr>
            <w:tcW w:type="dxa" w:w="4320"/>
          </w:tcPr>
          <w:p>
            <w:pPr/>
            <w:r>
              <w:rPr>
                <w:sz w:val="18"/>
              </w:rPr>
              <w:t>**Purpose**</w:t>
            </w:r>
          </w:p>
        </w:tc>
        <w:tc>
          <w:tcPr>
            <w:tcW w:type="dxa" w:w="4320"/>
          </w:tcPr>
          <w:p>
            <w:pPr/>
            <w:r>
              <w:rPr>
                <w:sz w:val="18"/>
              </w:rPr>
              <w:t>Harmonise ICT risk management, incident reporting, and operational resilience testing requirements across the EU financial sector</w:t>
            </w:r>
          </w:p>
        </w:tc>
      </w:tr>
    </w:tbl>
    <w:p/>
    <w:p>
      <w:r>
        <w:t>Five pillars of DORA:</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Pillar</w:t>
            </w:r>
          </w:p>
        </w:tc>
        <w:tc>
          <w:tcPr>
            <w:tcW w:type="dxa" w:w="4320"/>
          </w:tcPr>
          <w:p>
            <w:pPr/>
            <w:r>
              <w:rPr>
                <w:b/>
                <w:sz w:val="18"/>
              </w:rPr>
              <w:t>Description</w:t>
            </w:r>
          </w:p>
        </w:tc>
      </w:tr>
      <w:tr>
        <w:tc>
          <w:tcPr>
            <w:tcW w:type="dxa" w:w="4320"/>
          </w:tcPr>
          <w:p>
            <w:pPr/>
            <w:r>
              <w:rPr>
                <w:sz w:val="18"/>
              </w:rPr>
              <w:t>1. ICT risk management</w:t>
            </w:r>
          </w:p>
        </w:tc>
        <w:tc>
          <w:tcPr>
            <w:tcW w:type="dxa" w:w="4320"/>
          </w:tcPr>
          <w:p>
            <w:pPr/>
            <w:r>
              <w:rPr>
                <w:sz w:val="18"/>
              </w:rPr>
              <w:t>Comprehensive ICT risk management framework including governance, identification, protection, detection, response, recovery</w:t>
            </w:r>
          </w:p>
        </w:tc>
      </w:tr>
      <w:tr>
        <w:tc>
          <w:tcPr>
            <w:tcW w:type="dxa" w:w="4320"/>
          </w:tcPr>
          <w:p>
            <w:pPr/>
            <w:r>
              <w:rPr>
                <w:sz w:val="18"/>
              </w:rPr>
              <w:t>2. ICT incident reporting</w:t>
            </w:r>
          </w:p>
        </w:tc>
        <w:tc>
          <w:tcPr>
            <w:tcW w:type="dxa" w:w="4320"/>
          </w:tcPr>
          <w:p>
            <w:pPr/>
            <w:r>
              <w:rPr>
                <w:sz w:val="18"/>
              </w:rPr>
              <w:t>Mandatory reporting of major ICT-related incidents to competent authorities within specified timeframes</w:t>
            </w:r>
          </w:p>
        </w:tc>
      </w:tr>
      <w:tr>
        <w:tc>
          <w:tcPr>
            <w:tcW w:type="dxa" w:w="4320"/>
          </w:tcPr>
          <w:p>
            <w:pPr/>
            <w:r>
              <w:rPr>
                <w:sz w:val="18"/>
              </w:rPr>
              <w:t>3. Digital operational resilience testing</w:t>
            </w:r>
          </w:p>
        </w:tc>
        <w:tc>
          <w:tcPr>
            <w:tcW w:type="dxa" w:w="4320"/>
          </w:tcPr>
          <w:p>
            <w:pPr/>
            <w:r>
              <w:rPr>
                <w:sz w:val="18"/>
              </w:rPr>
              <w:t>Regular testing of ICT systems; advanced threat-led penetration testing (TLPT) for significant entities (at least every 3 years)</w:t>
            </w:r>
          </w:p>
        </w:tc>
      </w:tr>
      <w:tr>
        <w:tc>
          <w:tcPr>
            <w:tcW w:type="dxa" w:w="4320"/>
          </w:tcPr>
          <w:p>
            <w:pPr/>
            <w:r>
              <w:rPr>
                <w:sz w:val="18"/>
              </w:rPr>
              <w:t>4. ICT third-party risk management</w:t>
            </w:r>
          </w:p>
        </w:tc>
        <w:tc>
          <w:tcPr>
            <w:tcW w:type="dxa" w:w="4320"/>
          </w:tcPr>
          <w:p>
            <w:pPr/>
            <w:r>
              <w:rPr>
                <w:sz w:val="18"/>
              </w:rPr>
              <w:t>Management of risks from ICT third-party service providers; registers of information on all ICT third-party arrangements</w:t>
            </w:r>
          </w:p>
        </w:tc>
      </w:tr>
      <w:tr>
        <w:tc>
          <w:tcPr>
            <w:tcW w:type="dxa" w:w="4320"/>
          </w:tcPr>
          <w:p>
            <w:pPr/>
            <w:r>
              <w:rPr>
                <w:sz w:val="18"/>
              </w:rPr>
              <w:t>5. Information sharing</w:t>
            </w:r>
          </w:p>
        </w:tc>
        <w:tc>
          <w:tcPr>
            <w:tcW w:type="dxa" w:w="4320"/>
          </w:tcPr>
          <w:p>
            <w:pPr/>
            <w:r>
              <w:rPr>
                <w:sz w:val="18"/>
              </w:rPr>
              <w:t>Voluntary arrangements for sharing cyber threat intelligence among financial entities</w:t>
            </w:r>
          </w:p>
        </w:tc>
      </w:tr>
    </w:tbl>
    <w:p/>
    <w:p>
      <w:r>
        <w:t>Enforcement:</w:t>
      </w:r>
    </w:p>
    <w:p>
      <w:pPr>
        <w:pStyle w:val="ListBullet"/>
      </w:pPr>
      <w:r>
        <w:t>Penalties up to 2% of annual worldwide turnover for financial entities</w:t>
      </w:r>
    </w:p>
    <w:p>
      <w:pPr>
        <w:pStyle w:val="ListBullet"/>
      </w:pPr>
      <w:r>
        <w:t>Up to 1% of average daily worldwide turnover for critical ICT third-party providers</w:t>
      </w:r>
    </w:p>
    <w:p>
      <w:pPr>
        <w:pStyle w:val="ListBullet"/>
      </w:pPr>
      <w:r>
        <w:t>ESAs (EBA, ESMA, EIOPA) designated as "lead overseers" for critical ICT third-party providers</w:t>
      </w:r>
    </w:p>
    <w:p>
      <w:r>
        <w:t>UK equivalent: The UK has its own operational resilience framework (PRA SS1/21 and FCA PS21/3, effective March 2022, full compliance by March 2025), which predates DORA but is narrower in scope. The UK framework focuses on "important business services" and impact tolerances rather than DORA's prescriptive ICT risk management requirements.</w:t>
      </w:r>
    </w:p>
    <w:p>
      <w:r>
        <w:t>[Source: EIOPA, "Digital Operational Resilience Act (DORA)", accessed 2026-04-06]</w:t>
      </w:r>
    </w:p>
    <w:p>
      <w:pPr>
        <w:pStyle w:val="Heading3"/>
      </w:pPr>
      <w:r>
        <w:t>8.6 EU Listing Act</w:t>
      </w:r>
    </w:p>
    <w:p>
      <w:r>
        <w:t>The EU Listing Act (adopted 2024, phased implementation 2024-2026) is a package of amendments to the Prospectus Regulation, MAR, and MiFID II aimed at making EU public markets more attractive for companies, particularly SMEs.</w:t>
      </w:r>
    </w:p>
    <w:p>
      <w:r>
        <w:t>Key changes: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Area</w:t>
            </w:r>
          </w:p>
        </w:tc>
        <w:tc>
          <w:tcPr>
            <w:tcW w:type="dxa" w:w="4320"/>
          </w:tcPr>
          <w:p>
            <w:pPr/>
            <w:r>
              <w:rPr>
                <w:b/>
                <w:sz w:val="18"/>
              </w:rPr>
              <w:t>Change</w:t>
            </w:r>
          </w:p>
        </w:tc>
      </w:tr>
      <w:tr>
        <w:tc>
          <w:tcPr>
            <w:tcW w:type="dxa" w:w="4320"/>
          </w:tcPr>
          <w:p>
            <w:pPr/>
            <w:r>
              <w:rPr>
                <w:sz w:val="18"/>
              </w:rPr>
              <w:t>**Prospectus**</w:t>
            </w:r>
          </w:p>
        </w:tc>
        <w:tc>
          <w:tcPr>
            <w:tcW w:type="dxa" w:w="4320"/>
          </w:tcPr>
          <w:p>
            <w:pPr/>
            <w:r>
              <w:rPr>
                <w:sz w:val="18"/>
              </w:rPr>
              <w:t>Small offering exemption raised to EUR 12M; secondary issuance threshold raised to 30%; standard prospectus capped at 300 pages with 2-year financials; new streamlined "EU Follow-on" prospectus</w:t>
            </w:r>
          </w:p>
        </w:tc>
      </w:tr>
      <w:tr>
        <w:tc>
          <w:tcPr>
            <w:tcW w:type="dxa" w:w="4320"/>
          </w:tcPr>
          <w:p>
            <w:pPr/>
            <w:r>
              <w:rPr>
                <w:sz w:val="18"/>
              </w:rPr>
              <w:t>**MAR**</w:t>
            </w:r>
          </w:p>
        </w:tc>
        <w:tc>
          <w:tcPr>
            <w:tcW w:type="dxa" w:w="4320"/>
          </w:tcPr>
          <w:p>
            <w:pPr/>
            <w:r>
              <w:rPr>
                <w:sz w:val="18"/>
              </w:rPr>
              <w:t>Clarified protracted process rules for inside information; delay conditions refined; reduced scope of insider lists for SME growth markets</w:t>
            </w:r>
          </w:p>
        </w:tc>
      </w:tr>
      <w:tr>
        <w:tc>
          <w:tcPr>
            <w:tcW w:type="dxa" w:w="4320"/>
          </w:tcPr>
          <w:p>
            <w:pPr/>
            <w:r>
              <w:rPr>
                <w:sz w:val="18"/>
              </w:rPr>
              <w:t>**MiFID II**</w:t>
            </w:r>
          </w:p>
        </w:tc>
        <w:tc>
          <w:tcPr>
            <w:tcW w:type="dxa" w:w="4320"/>
          </w:tcPr>
          <w:p>
            <w:pPr/>
            <w:r>
              <w:rPr>
                <w:sz w:val="18"/>
              </w:rPr>
              <w:t>New "SME Research" regime to incentivise research coverage of smaller companies</w:t>
            </w:r>
          </w:p>
        </w:tc>
      </w:tr>
      <w:tr>
        <w:tc>
          <w:tcPr>
            <w:tcW w:type="dxa" w:w="4320"/>
          </w:tcPr>
          <w:p>
            <w:pPr/>
            <w:r>
              <w:rPr>
                <w:sz w:val="18"/>
              </w:rPr>
              <w:t>**Multiple vote shares**</w:t>
            </w:r>
          </w:p>
        </w:tc>
        <w:tc>
          <w:tcPr>
            <w:tcW w:type="dxa" w:w="4320"/>
          </w:tcPr>
          <w:p>
            <w:pPr/>
            <w:r>
              <w:rPr>
                <w:sz w:val="18"/>
              </w:rPr>
              <w:t>Member States required to allow companies seeking admission to MTFs (SME growth markets) to adopt multiple vote share structures</w:t>
            </w:r>
          </w:p>
        </w:tc>
      </w:tr>
    </w:tbl>
    <w:p/>
    <w:p>
      <w:r>
        <w:t>[Source: AMF, "The Listing Act: Facilitating Companies' Access to European Capital Markets", accessed 2026-04-06]</w:t>
      </w:r>
    </w:p>
    <w:p>
      <w:r>
        <w:t>[Source: Davis Polk, "Changes to EU Prospectus Regulation under new EU Listing Act effective today", accessed 2026-04-06]</w:t>
      </w:r>
    </w:p>
    <w:p>
      <w:pPr>
        <w:pStyle w:val="Heading3"/>
      </w:pPr>
      <w:r>
        <w:t>8.7 EU Consolidated Tape Progress</w:t>
      </w:r>
    </w:p>
    <w:p>
      <w:r>
        <w:t>As detailed in Section 4.1, the consolidated tape is now becoming a reality after over a decade of debate:</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Milestone</w:t>
            </w:r>
          </w:p>
        </w:tc>
        <w:tc>
          <w:tcPr>
            <w:tcW w:type="dxa" w:w="4320"/>
          </w:tcPr>
          <w:p>
            <w:pPr/>
            <w:r>
              <w:rPr>
                <w:b/>
                <w:sz w:val="18"/>
              </w:rPr>
              <w:t>Date</w:t>
            </w:r>
          </w:p>
        </w:tc>
      </w:tr>
      <w:tr>
        <w:tc>
          <w:tcPr>
            <w:tcW w:type="dxa" w:w="4320"/>
          </w:tcPr>
          <w:p>
            <w:pPr/>
            <w:r>
              <w:rPr>
                <w:sz w:val="18"/>
              </w:rPr>
              <w:t>MiFIR Review enters into force (legal basis for mandatory CTP)</w:t>
            </w:r>
          </w:p>
        </w:tc>
        <w:tc>
          <w:tcPr>
            <w:tcW w:type="dxa" w:w="4320"/>
          </w:tcPr>
          <w:p>
            <w:pPr/>
            <w:r>
              <w:rPr>
                <w:sz w:val="18"/>
              </w:rPr>
              <w:t>28 March 2024</w:t>
            </w:r>
          </w:p>
        </w:tc>
      </w:tr>
      <w:tr>
        <w:tc>
          <w:tcPr>
            <w:tcW w:type="dxa" w:w="4320"/>
          </w:tcPr>
          <w:p>
            <w:pPr/>
            <w:r>
              <w:rPr>
                <w:sz w:val="18"/>
              </w:rPr>
              <w:t>Bond CTP selection launched</w:t>
            </w:r>
          </w:p>
        </w:tc>
        <w:tc>
          <w:tcPr>
            <w:tcW w:type="dxa" w:w="4320"/>
          </w:tcPr>
          <w:p>
            <w:pPr/>
            <w:r>
              <w:rPr>
                <w:sz w:val="18"/>
              </w:rPr>
              <w:t>3 February 2025</w:t>
            </w:r>
          </w:p>
        </w:tc>
      </w:tr>
      <w:tr>
        <w:tc>
          <w:tcPr>
            <w:tcW w:type="dxa" w:w="4320"/>
          </w:tcPr>
          <w:p>
            <w:pPr/>
            <w:r>
              <w:rPr>
                <w:sz w:val="18"/>
              </w:rPr>
              <w:t>Equity CTP selection launched</w:t>
            </w:r>
          </w:p>
        </w:tc>
        <w:tc>
          <w:tcPr>
            <w:tcW w:type="dxa" w:w="4320"/>
          </w:tcPr>
          <w:p>
            <w:pPr/>
            <w:r>
              <w:rPr>
                <w:sz w:val="18"/>
              </w:rPr>
              <w:t>20 June 2025</w:t>
            </w:r>
          </w:p>
        </w:tc>
      </w:tr>
      <w:tr>
        <w:tc>
          <w:tcPr>
            <w:tcW w:type="dxa" w:w="4320"/>
          </w:tcPr>
          <w:p>
            <w:pPr/>
            <w:r>
              <w:rPr>
                <w:sz w:val="18"/>
              </w:rPr>
              <w:t>ESMA publishes first list of data contributors for equity CT</w:t>
            </w:r>
          </w:p>
        </w:tc>
        <w:tc>
          <w:tcPr>
            <w:tcW w:type="dxa" w:w="4320"/>
          </w:tcPr>
          <w:p>
            <w:pPr/>
            <w:r>
              <w:rPr>
                <w:sz w:val="18"/>
              </w:rPr>
              <w:t>10 July 2025</w:t>
            </w:r>
          </w:p>
        </w:tc>
      </w:tr>
      <w:tr>
        <w:tc>
          <w:tcPr>
            <w:tcW w:type="dxa" w:w="4320"/>
          </w:tcPr>
          <w:p>
            <w:pPr/>
            <w:r>
              <w:rPr>
                <w:sz w:val="18"/>
              </w:rPr>
              <w:t>**EuroCTP selected for equities (shares and ETFs)**</w:t>
            </w:r>
          </w:p>
        </w:tc>
        <w:tc>
          <w:tcPr>
            <w:tcW w:type="dxa" w:w="4320"/>
          </w:tcPr>
          <w:p>
            <w:pPr/>
            <w:r>
              <w:rPr>
                <w:sz w:val="18"/>
              </w:rPr>
              <w:t>**19 December 2025**</w:t>
            </w:r>
          </w:p>
        </w:tc>
      </w:tr>
      <w:tr>
        <w:tc>
          <w:tcPr>
            <w:tcW w:type="dxa" w:w="4320"/>
          </w:tcPr>
          <w:p>
            <w:pPr/>
            <w:r>
              <w:rPr>
                <w:sz w:val="18"/>
              </w:rPr>
              <w:t>OTC derivatives CTP selection launched</w:t>
            </w:r>
          </w:p>
        </w:tc>
        <w:tc>
          <w:tcPr>
            <w:tcW w:type="dxa" w:w="4320"/>
          </w:tcPr>
          <w:p>
            <w:pPr/>
            <w:r>
              <w:rPr>
                <w:sz w:val="18"/>
              </w:rPr>
              <w:t>5 January 2026</w:t>
            </w:r>
          </w:p>
        </w:tc>
      </w:tr>
      <w:tr>
        <w:tc>
          <w:tcPr>
            <w:tcW w:type="dxa" w:w="4320"/>
          </w:tcPr>
          <w:p>
            <w:pPr/>
            <w:r>
              <w:rPr>
                <w:sz w:val="18"/>
              </w:rPr>
              <w:t>OTC derivatives CTP decision expected</w:t>
            </w:r>
          </w:p>
        </w:tc>
        <w:tc>
          <w:tcPr>
            <w:tcW w:type="dxa" w:w="4320"/>
          </w:tcPr>
          <w:p>
            <w:pPr/>
            <w:r>
              <w:rPr>
                <w:sz w:val="18"/>
              </w:rPr>
              <w:t>Early July 2026</w:t>
            </w:r>
          </w:p>
        </w:tc>
      </w:tr>
      <w:tr>
        <w:tc>
          <w:tcPr>
            <w:tcW w:type="dxa" w:w="4320"/>
          </w:tcPr>
          <w:p>
            <w:pPr/>
            <w:r>
              <w:rPr>
                <w:sz w:val="18"/>
              </w:rPr>
              <w:t>Equity CT expected to go live</w:t>
            </w:r>
          </w:p>
        </w:tc>
        <w:tc>
          <w:tcPr>
            <w:tcW w:type="dxa" w:w="4320"/>
          </w:tcPr>
          <w:p>
            <w:pPr/>
            <w:r>
              <w:rPr>
                <w:sz w:val="18"/>
              </w:rPr>
              <w:t>2026-2027 [estimated]</w:t>
            </w:r>
          </w:p>
        </w:tc>
      </w:tr>
    </w:tbl>
    <w:p/>
    <w:p>
      <w:r>
        <w:t>────────────────────────────────────────────────────────────</w:t>
      </w:r>
    </w:p>
    <w:p>
      <w:pPr>
        <w:pStyle w:val="Heading2"/>
      </w:pPr>
      <w:r>
        <w:t>9. Comparison with Korean Framework</w:t>
      </w:r>
    </w:p>
    <w:p>
      <w:pPr>
        <w:pStyle w:val="Heading3"/>
      </w:pPr>
      <w:r>
        <w:t>9.1 Regulatory Authority Comparison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Dimension</w:t>
            </w:r>
          </w:p>
        </w:tc>
        <w:tc>
          <w:tcPr>
            <w:tcW w:type="dxa" w:w="2880"/>
          </w:tcPr>
          <w:p>
            <w:pPr/>
            <w:r>
              <w:rPr>
                <w:b/>
                <w:sz w:val="18"/>
              </w:rPr>
              <w:t>EU/UK</w:t>
            </w:r>
          </w:p>
        </w:tc>
        <w:tc>
          <w:tcPr>
            <w:tcW w:type="dxa" w:w="2880"/>
          </w:tcPr>
          <w:p>
            <w:pPr/>
            <w:r>
              <w:rPr>
                <w:b/>
                <w:sz w:val="18"/>
              </w:rPr>
              <w:t>Korea</w:t>
            </w:r>
          </w:p>
        </w:tc>
      </w:tr>
      <w:tr>
        <w:tc>
          <w:tcPr>
            <w:tcW w:type="dxa" w:w="2880"/>
          </w:tcPr>
          <w:p>
            <w:pPr/>
            <w:r>
              <w:rPr>
                <w:sz w:val="18"/>
              </w:rPr>
              <w:t>**Policy-maker**</w:t>
            </w:r>
          </w:p>
        </w:tc>
        <w:tc>
          <w:tcPr>
            <w:tcW w:type="dxa" w:w="2880"/>
          </w:tcPr>
          <w:p>
            <w:pPr/>
            <w:r>
              <w:rPr>
                <w:sz w:val="18"/>
              </w:rPr>
              <w:t>European Commission / HM Treasury</w:t>
            </w:r>
          </w:p>
        </w:tc>
        <w:tc>
          <w:tcPr>
            <w:tcW w:type="dxa" w:w="2880"/>
          </w:tcPr>
          <w:p>
            <w:pPr/>
            <w:r>
              <w:rPr>
                <w:sz w:val="18"/>
              </w:rPr>
              <w:t>Financial Services Commission (FSC, 금융위원회)</w:t>
            </w:r>
          </w:p>
        </w:tc>
      </w:tr>
      <w:tr>
        <w:tc>
          <w:tcPr>
            <w:tcW w:type="dxa" w:w="2880"/>
          </w:tcPr>
          <w:p>
            <w:pPr/>
            <w:r>
              <w:rPr>
                <w:sz w:val="18"/>
              </w:rPr>
              <w:t>**Supervisor**</w:t>
            </w:r>
          </w:p>
        </w:tc>
        <w:tc>
          <w:tcPr>
            <w:tcW w:type="dxa" w:w="2880"/>
          </w:tcPr>
          <w:p>
            <w:pPr/>
            <w:r>
              <w:rPr>
                <w:sz w:val="18"/>
              </w:rPr>
              <w:t>ESMA + 27 NCAs (EU) / FCA (UK)</w:t>
            </w:r>
          </w:p>
        </w:tc>
        <w:tc>
          <w:tcPr>
            <w:tcW w:type="dxa" w:w="2880"/>
          </w:tcPr>
          <w:p>
            <w:pPr/>
            <w:r>
              <w:rPr>
                <w:sz w:val="18"/>
              </w:rPr>
              <w:t>Financial Supervisory Service (FSS, 금융감독원)</w:t>
            </w:r>
          </w:p>
        </w:tc>
      </w:tr>
      <w:tr>
        <w:tc>
          <w:tcPr>
            <w:tcW w:type="dxa" w:w="2880"/>
          </w:tcPr>
          <w:p>
            <w:pPr/>
            <w:r>
              <w:rPr>
                <w:sz w:val="18"/>
              </w:rPr>
              <w:t>**Exchange oversight**</w:t>
            </w:r>
          </w:p>
        </w:tc>
        <w:tc>
          <w:tcPr>
            <w:tcW w:type="dxa" w:w="2880"/>
          </w:tcPr>
          <w:p>
            <w:pPr/>
            <w:r>
              <w:rPr>
                <w:sz w:val="18"/>
              </w:rPr>
              <w:t>NCAs authorise and supervise individual venues</w:t>
            </w:r>
          </w:p>
        </w:tc>
        <w:tc>
          <w:tcPr>
            <w:tcW w:type="dxa" w:w="2880"/>
          </w:tcPr>
          <w:p>
            <w:pPr/>
            <w:r>
              <w:rPr>
                <w:sz w:val="18"/>
              </w:rPr>
              <w:t>FSC/FSS supervise KRX; KRX itself has self-regulatory functions (market surveillance, listed company oversight)</w:t>
            </w:r>
          </w:p>
        </w:tc>
      </w:tr>
      <w:tr>
        <w:tc>
          <w:tcPr>
            <w:tcW w:type="dxa" w:w="2880"/>
          </w:tcPr>
          <w:p>
            <w:pPr/>
            <w:r>
              <w:rPr>
                <w:sz w:val="18"/>
              </w:rPr>
              <w:t>**Structure**</w:t>
            </w:r>
          </w:p>
        </w:tc>
        <w:tc>
          <w:tcPr>
            <w:tcW w:type="dxa" w:w="2880"/>
          </w:tcPr>
          <w:p>
            <w:pPr/>
            <w:r>
              <w:rPr>
                <w:sz w:val="18"/>
              </w:rPr>
              <w:t>Multi-layered: supranational (ESMA) → national (NCAs) → SRO (limited)</w:t>
            </w:r>
          </w:p>
        </w:tc>
        <w:tc>
          <w:tcPr>
            <w:tcW w:type="dxa" w:w="2880"/>
          </w:tcPr>
          <w:p>
            <w:pPr/>
            <w:r>
              <w:rPr>
                <w:sz w:val="18"/>
              </w:rPr>
              <w:t>Centralised: FSC (policy) → FSS (supervision) → KRX (self-regulation under FSC oversight)</w:t>
            </w:r>
          </w:p>
        </w:tc>
      </w:tr>
      <w:tr>
        <w:tc>
          <w:tcPr>
            <w:tcW w:type="dxa" w:w="2880"/>
          </w:tcPr>
          <w:p>
            <w:pPr/>
            <w:r>
              <w:rPr>
                <w:sz w:val="18"/>
              </w:rPr>
              <w:t>**Independence**</w:t>
            </w:r>
          </w:p>
        </w:tc>
        <w:tc>
          <w:tcPr>
            <w:tcW w:type="dxa" w:w="2880"/>
          </w:tcPr>
          <w:p>
            <w:pPr/>
            <w:r>
              <w:rPr>
                <w:sz w:val="18"/>
              </w:rPr>
              <w:t>ESMA is an EU agency; NCAs are generally independent from government</w:t>
            </w:r>
          </w:p>
        </w:tc>
        <w:tc>
          <w:tcPr>
            <w:tcW w:type="dxa" w:w="2880"/>
          </w:tcPr>
          <w:p>
            <w:pPr/>
            <w:r>
              <w:rPr>
                <w:sz w:val="18"/>
              </w:rPr>
              <w:t>FSC is a government commission (under the Prime Minister's Office); FSS is a special legal entity funded by industry</w:t>
            </w:r>
          </w:p>
        </w:tc>
      </w:tr>
    </w:tbl>
    <w:p/>
    <w:p>
      <w:r>
        <w:t>Key structural differences:</w:t>
      </w:r>
    </w:p>
    <w:p>
      <w:pPr>
        <w:pStyle w:val="ListBullet"/>
      </w:pPr>
      <w:r>
        <w:t>The EU has a fragmented supervisory architecture with 27 NCAs, creating coordination challenges that ESMA seeks to address. Korea has a unified supervisory structure under FSC/FSS.</w:t>
      </w:r>
    </w:p>
    <w:p>
      <w:pPr>
        <w:pStyle w:val="ListBullet"/>
      </w:pPr>
      <w:r>
        <w:t>In the EU, exchanges are private commercial entities (Euronext, Deutsche Borse, LSEG) regulated by NCAs. In Korea, KRX is a single, integrated exchange that is a special legal entity (not a listed company), combining functions that in Europe are split across multiple venues.</w:t>
      </w:r>
    </w:p>
    <w:p>
      <w:pPr>
        <w:pStyle w:val="ListBullet"/>
      </w:pPr>
      <w:r>
        <w:t>The EU's regulatory framework is built on harmonised legislation (directives/regulations) applied across 27 jurisdictions. Korea's framework is built on the Financial Investment Services and Capital Markets Act (FSCMA, 자본시장법), a single consolidated statute.</w:t>
      </w:r>
    </w:p>
    <w:p>
      <w:r>
        <w:t>[Source: FSC, "Introduction", accessed 2026-04-06]</w:t>
      </w:r>
    </w:p>
    <w:p>
      <w:r>
        <w:t>[Source: Chambers and Partners, "Financial Services Regulation 2025 — South Korea", accessed 2026-04-06]</w:t>
      </w:r>
    </w:p>
    <w:p>
      <w:pPr>
        <w:pStyle w:val="Heading3"/>
      </w:pPr>
      <w:r>
        <w:t>9.2 Market Structure Comparison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Dimension</w:t>
            </w:r>
          </w:p>
        </w:tc>
        <w:tc>
          <w:tcPr>
            <w:tcW w:type="dxa" w:w="2880"/>
          </w:tcPr>
          <w:p>
            <w:pPr/>
            <w:r>
              <w:rPr>
                <w:b/>
                <w:sz w:val="18"/>
              </w:rPr>
              <w:t>EU/UK</w:t>
            </w:r>
          </w:p>
        </w:tc>
        <w:tc>
          <w:tcPr>
            <w:tcW w:type="dxa" w:w="2880"/>
          </w:tcPr>
          <w:p>
            <w:pPr/>
            <w:r>
              <w:rPr>
                <w:b/>
                <w:sz w:val="18"/>
              </w:rPr>
              <w:t>Korea (KRX)</w:t>
            </w:r>
          </w:p>
        </w:tc>
      </w:tr>
      <w:tr>
        <w:tc>
          <w:tcPr>
            <w:tcW w:type="dxa" w:w="2880"/>
          </w:tcPr>
          <w:p>
            <w:pPr/>
            <w:r>
              <w:rPr>
                <w:sz w:val="18"/>
              </w:rPr>
              <w:t>**Number of equity venues**</w:t>
            </w:r>
          </w:p>
        </w:tc>
        <w:tc>
          <w:tcPr>
            <w:tcW w:type="dxa" w:w="2880"/>
          </w:tcPr>
          <w:p>
            <w:pPr/>
            <w:r>
              <w:rPr>
                <w:sz w:val="18"/>
              </w:rPr>
              <w:t>Dozens: ~20+ RMs, ~30+ MTFs, ~15+ SIs (for equities) [estimated]</w:t>
            </w:r>
          </w:p>
        </w:tc>
        <w:tc>
          <w:tcPr>
            <w:tcW w:type="dxa" w:w="2880"/>
          </w:tcPr>
          <w:p>
            <w:pPr/>
            <w:r>
              <w:rPr>
                <w:sz w:val="18"/>
              </w:rPr>
              <w:t>1 exchange (KRX) with 3 markets (KOSPI, KOSDAQ, KONEX)</w:t>
            </w:r>
          </w:p>
        </w:tc>
      </w:tr>
      <w:tr>
        <w:tc>
          <w:tcPr>
            <w:tcW w:type="dxa" w:w="2880"/>
          </w:tcPr>
          <w:p>
            <w:pPr/>
            <w:r>
              <w:rPr>
                <w:sz w:val="18"/>
              </w:rPr>
              <w:t>**Fragmentation**</w:t>
            </w:r>
          </w:p>
        </w:tc>
        <w:tc>
          <w:tcPr>
            <w:tcW w:type="dxa" w:w="2880"/>
          </w:tcPr>
          <w:p>
            <w:pPr/>
            <w:r>
              <w:rPr>
                <w:sz w:val="18"/>
              </w:rPr>
              <w:t>High — same stock traded on multiple venues; best execution obligation drives venue competition</w:t>
            </w:r>
          </w:p>
        </w:tc>
        <w:tc>
          <w:tcPr>
            <w:tcW w:type="dxa" w:w="2880"/>
          </w:tcPr>
          <w:p>
            <w:pPr/>
            <w:r>
              <w:rPr>
                <w:sz w:val="18"/>
              </w:rPr>
              <w:t>Low — centralised order book; no competing venues</w:t>
            </w:r>
          </w:p>
        </w:tc>
      </w:tr>
      <w:tr>
        <w:tc>
          <w:tcPr>
            <w:tcW w:type="dxa" w:w="2880"/>
          </w:tcPr>
          <w:p>
            <w:pPr/>
            <w:r>
              <w:rPr>
                <w:sz w:val="18"/>
              </w:rPr>
              <w:t>**Dark trading**</w:t>
            </w:r>
          </w:p>
        </w:tc>
        <w:tc>
          <w:tcPr>
            <w:tcW w:type="dxa" w:w="2880"/>
          </w:tcPr>
          <w:p>
            <w:pPr/>
            <w:r>
              <w:rPr>
                <w:sz w:val="18"/>
              </w:rPr>
              <w:t>Permitted under waivers (RPW, LIS, NTW); subject to volume cap (7% SVC)</w:t>
            </w:r>
          </w:p>
        </w:tc>
        <w:tc>
          <w:tcPr>
            <w:tcW w:type="dxa" w:w="2880"/>
          </w:tcPr>
          <w:p>
            <w:pPr/>
            <w:r>
              <w:rPr>
                <w:sz w:val="18"/>
              </w:rPr>
              <w:t>Limited; block trading available but no dark pool ecosystem comparable to EU</w:t>
            </w:r>
          </w:p>
        </w:tc>
      </w:tr>
      <w:tr>
        <w:tc>
          <w:tcPr>
            <w:tcW w:type="dxa" w:w="2880"/>
          </w:tcPr>
          <w:p>
            <w:pPr/>
            <w:r>
              <w:rPr>
                <w:sz w:val="18"/>
              </w:rPr>
              <w:t>**Tick sizes**</w:t>
            </w:r>
          </w:p>
        </w:tc>
        <w:tc>
          <w:tcPr>
            <w:tcW w:type="dxa" w:w="2880"/>
          </w:tcPr>
          <w:p>
            <w:pPr/>
            <w:r>
              <w:rPr>
                <w:sz w:val="18"/>
              </w:rPr>
              <w:t>RTS 11 regime (price + liquidity band matrix)</w:t>
            </w:r>
          </w:p>
        </w:tc>
        <w:tc>
          <w:tcPr>
            <w:tcW w:type="dxa" w:w="2880"/>
          </w:tcPr>
          <w:p>
            <w:pPr/>
            <w:r>
              <w:rPr>
                <w:sz w:val="18"/>
              </w:rPr>
              <w:t>KRX tick size table based on price level only (not liquidity-adjusted); different tables for KOSPI and KOSDAQ</w:t>
            </w:r>
          </w:p>
        </w:tc>
      </w:tr>
      <w:tr>
        <w:tc>
          <w:tcPr>
            <w:tcW w:type="dxa" w:w="2880"/>
          </w:tcPr>
          <w:p>
            <w:pPr/>
            <w:r>
              <w:rPr>
                <w:sz w:val="18"/>
              </w:rPr>
              <w:t>**Circuit breakers**</w:t>
            </w:r>
          </w:p>
        </w:tc>
        <w:tc>
          <w:tcPr>
            <w:tcW w:type="dxa" w:w="2880"/>
          </w:tcPr>
          <w:p>
            <w:pPr/>
            <w:r>
              <w:rPr>
                <w:sz w:val="18"/>
              </w:rPr>
              <w:t>Venue-level (instrument-specific); no harmonised EU-wide mechanism</w:t>
            </w:r>
          </w:p>
        </w:tc>
        <w:tc>
          <w:tcPr>
            <w:tcW w:type="dxa" w:w="2880"/>
          </w:tcPr>
          <w:p>
            <w:pPr/>
            <w:r>
              <w:rPr>
                <w:sz w:val="18"/>
              </w:rPr>
              <w:t>Market-wide SIDECAR (program trading halt) + individual stock price limits (±30% daily) + Volatility Interruption (VI) mechanisms</w:t>
            </w:r>
          </w:p>
        </w:tc>
      </w:tr>
      <w:tr>
        <w:tc>
          <w:tcPr>
            <w:tcW w:type="dxa" w:w="2880"/>
          </w:tcPr>
          <w:p>
            <w:pPr/>
            <w:r>
              <w:rPr>
                <w:sz w:val="18"/>
              </w:rPr>
              <w:t>**Trading hours**</w:t>
            </w:r>
          </w:p>
        </w:tc>
        <w:tc>
          <w:tcPr>
            <w:tcW w:type="dxa" w:w="2880"/>
          </w:tcPr>
          <w:p>
            <w:pPr/>
            <w:r>
              <w:rPr>
                <w:sz w:val="18"/>
              </w:rPr>
              <w:t>Varies by venue; typically 08:00-16:30 or 09:00-17:30 local time</w:t>
            </w:r>
          </w:p>
        </w:tc>
        <w:tc>
          <w:tcPr>
            <w:tcW w:type="dxa" w:w="2880"/>
          </w:tcPr>
          <w:p>
            <w:pPr/>
            <w:r>
              <w:rPr>
                <w:sz w:val="18"/>
              </w:rPr>
              <w:t>09:00-15:30 KST (single session)</w:t>
            </w:r>
          </w:p>
        </w:tc>
      </w:tr>
      <w:tr>
        <w:tc>
          <w:tcPr>
            <w:tcW w:type="dxa" w:w="2880"/>
          </w:tcPr>
          <w:p>
            <w:pPr/>
            <w:r>
              <w:rPr>
                <w:sz w:val="18"/>
              </w:rPr>
              <w:t>**Settlement cycle**</w:t>
            </w:r>
          </w:p>
        </w:tc>
        <w:tc>
          <w:tcPr>
            <w:tcW w:type="dxa" w:w="2880"/>
          </w:tcPr>
          <w:p>
            <w:pPr/>
            <w:r>
              <w:rPr>
                <w:sz w:val="18"/>
              </w:rPr>
              <w:t>T+2 (moving to T+1 on 11 October 2027)</w:t>
            </w:r>
          </w:p>
        </w:tc>
        <w:tc>
          <w:tcPr>
            <w:tcW w:type="dxa" w:w="2880"/>
          </w:tcPr>
          <w:p>
            <w:pPr/>
            <w:r>
              <w:rPr>
                <w:sz w:val="18"/>
              </w:rPr>
              <w:t>T+2</w:t>
            </w:r>
          </w:p>
        </w:tc>
      </w:tr>
      <w:tr>
        <w:tc>
          <w:tcPr>
            <w:tcW w:type="dxa" w:w="2880"/>
          </w:tcPr>
          <w:p>
            <w:pPr/>
            <w:r>
              <w:rPr>
                <w:sz w:val="18"/>
              </w:rPr>
              <w:t>**CCP**</w:t>
            </w:r>
          </w:p>
        </w:tc>
        <w:tc>
          <w:tcPr>
            <w:tcW w:type="dxa" w:w="2880"/>
          </w:tcPr>
          <w:p>
            <w:pPr/>
            <w:r>
              <w:rPr>
                <w:sz w:val="18"/>
              </w:rPr>
              <w:t>Multiple (LCH, Eurex Clearing, CC&amp;G, etc.)</w:t>
            </w:r>
          </w:p>
        </w:tc>
        <w:tc>
          <w:tcPr>
            <w:tcW w:type="dxa" w:w="2880"/>
          </w:tcPr>
          <w:p>
            <w:pPr/>
            <w:r>
              <w:rPr>
                <w:sz w:val="18"/>
              </w:rPr>
              <w:t>KRX CCP (Korea Securities Depository, KSD, handles settlement)</w:t>
            </w:r>
          </w:p>
        </w:tc>
      </w:tr>
    </w:tbl>
    <w:p/>
    <w:p>
      <w:pPr>
        <w:pStyle w:val="Heading3"/>
      </w:pPr>
      <w:r>
        <w:t>9.3 Regulatory Approach Comparison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Area</w:t>
            </w:r>
          </w:p>
        </w:tc>
        <w:tc>
          <w:tcPr>
            <w:tcW w:type="dxa" w:w="2880"/>
          </w:tcPr>
          <w:p>
            <w:pPr/>
            <w:r>
              <w:rPr>
                <w:b/>
                <w:sz w:val="18"/>
              </w:rPr>
              <w:t>EU/UK</w:t>
            </w:r>
          </w:p>
        </w:tc>
        <w:tc>
          <w:tcPr>
            <w:tcW w:type="dxa" w:w="2880"/>
          </w:tcPr>
          <w:p>
            <w:pPr/>
            <w:r>
              <w:rPr>
                <w:b/>
                <w:sz w:val="18"/>
              </w:rPr>
              <w:t>Korea</w:t>
            </w:r>
          </w:p>
        </w:tc>
      </w:tr>
      <w:tr>
        <w:tc>
          <w:tcPr>
            <w:tcW w:type="dxa" w:w="2880"/>
          </w:tcPr>
          <w:p>
            <w:pPr/>
            <w:r>
              <w:rPr>
                <w:sz w:val="18"/>
              </w:rPr>
              <w:t>**Market abuse**</w:t>
            </w:r>
          </w:p>
        </w:tc>
        <w:tc>
          <w:tcPr>
            <w:tcW w:type="dxa" w:w="2880"/>
          </w:tcPr>
          <w:p>
            <w:pPr/>
            <w:r>
              <w:rPr>
                <w:sz w:val="18"/>
              </w:rPr>
              <w:t>MAR: civil/administrative + criminal sanctions; NCA enforcement</w:t>
            </w:r>
          </w:p>
        </w:tc>
        <w:tc>
          <w:tcPr>
            <w:tcW w:type="dxa" w:w="2880"/>
          </w:tcPr>
          <w:p>
            <w:pPr/>
            <w:r>
              <w:rPr>
                <w:sz w:val="18"/>
              </w:rPr>
              <w:t>FSCMA Chapter 6: criminal-focused enforcement; FSS investigation → prosecution referral</w:t>
            </w:r>
          </w:p>
        </w:tc>
      </w:tr>
      <w:tr>
        <w:tc>
          <w:tcPr>
            <w:tcW w:type="dxa" w:w="2880"/>
          </w:tcPr>
          <w:p>
            <w:pPr/>
            <w:r>
              <w:rPr>
                <w:sz w:val="18"/>
              </w:rPr>
              <w:t>**Insider dealing**</w:t>
            </w:r>
          </w:p>
        </w:tc>
        <w:tc>
          <w:tcPr>
            <w:tcW w:type="dxa" w:w="2880"/>
          </w:tcPr>
          <w:p>
            <w:pPr/>
            <w:r>
              <w:rPr>
                <w:sz w:val="18"/>
              </w:rPr>
              <w:t>Broad definition under MAR Art. 7-8; covers all persons with inside information</w:t>
            </w:r>
          </w:p>
        </w:tc>
        <w:tc>
          <w:tcPr>
            <w:tcW w:type="dxa" w:w="2880"/>
          </w:tcPr>
          <w:p>
            <w:pPr/>
            <w:r>
              <w:rPr>
                <w:sz w:val="18"/>
              </w:rPr>
              <w:t>Similar breadth under FSCMA; historically stronger criminal penalties</w:t>
            </w:r>
          </w:p>
        </w:tc>
      </w:tr>
      <w:tr>
        <w:tc>
          <w:tcPr>
            <w:tcW w:type="dxa" w:w="2880"/>
          </w:tcPr>
          <w:p>
            <w:pPr/>
            <w:r>
              <w:rPr>
                <w:sz w:val="18"/>
              </w:rPr>
              <w:t>**Short selling**</w:t>
            </w:r>
          </w:p>
        </w:tc>
        <w:tc>
          <w:tcPr>
            <w:tcW w:type="dxa" w:w="2880"/>
          </w:tcPr>
          <w:p>
            <w:pPr/>
            <w:r>
              <w:rPr>
                <w:sz w:val="18"/>
              </w:rPr>
              <w:t>Allowed with restrictions (SSR); locate requirement; disclosure obligations</w:t>
            </w:r>
          </w:p>
        </w:tc>
        <w:tc>
          <w:tcPr>
            <w:tcW w:type="dxa" w:w="2880"/>
          </w:tcPr>
          <w:p>
            <w:pPr/>
            <w:r>
              <w:rPr>
                <w:sz w:val="18"/>
              </w:rPr>
              <w:t>Allowed with restrictions; periodic bans implemented (notably 2020 COVID ban through May 2021, and November 2023 ban through March 2025) [unverified — dates approximate]</w:t>
            </w:r>
          </w:p>
        </w:tc>
      </w:tr>
      <w:tr>
        <w:tc>
          <w:tcPr>
            <w:tcW w:type="dxa" w:w="2880"/>
          </w:tcPr>
          <w:p>
            <w:pPr/>
            <w:r>
              <w:rPr>
                <w:sz w:val="18"/>
              </w:rPr>
              <w:t>**Algorithmic/HFT trading**</w:t>
            </w:r>
          </w:p>
        </w:tc>
        <w:tc>
          <w:tcPr>
            <w:tcW w:type="dxa" w:w="2880"/>
          </w:tcPr>
          <w:p>
            <w:pPr/>
            <w:r>
              <w:rPr>
                <w:sz w:val="18"/>
              </w:rPr>
              <w:t>Comprehensive regulation under MiFID II Art. 17, 48; notification, risk controls, record-keeping</w:t>
            </w:r>
          </w:p>
        </w:tc>
        <w:tc>
          <w:tcPr>
            <w:tcW w:type="dxa" w:w="2880"/>
          </w:tcPr>
          <w:p>
            <w:pPr/>
            <w:r>
              <w:rPr>
                <w:sz w:val="18"/>
              </w:rPr>
              <w:t>Less prescriptive; KRX rules on program trading; SIDECAR mechanism; co-location services available but HFT-specific regulation less developed</w:t>
            </w:r>
          </w:p>
        </w:tc>
      </w:tr>
      <w:tr>
        <w:tc>
          <w:tcPr>
            <w:tcW w:type="dxa" w:w="2880"/>
          </w:tcPr>
          <w:p>
            <w:pPr/>
            <w:r>
              <w:rPr>
                <w:sz w:val="18"/>
              </w:rPr>
              <w:t>**Prospectus/disclosure**</w:t>
            </w:r>
          </w:p>
        </w:tc>
        <w:tc>
          <w:tcPr>
            <w:tcW w:type="dxa" w:w="2880"/>
          </w:tcPr>
          <w:p>
            <w:pPr/>
            <w:r>
              <w:rPr>
                <w:sz w:val="18"/>
              </w:rPr>
              <w:t>Prospectus Regulation (EU) / PRM sourcebook (UK)</w:t>
            </w:r>
          </w:p>
        </w:tc>
        <w:tc>
          <w:tcPr>
            <w:tcW w:type="dxa" w:w="2880"/>
          </w:tcPr>
          <w:p>
            <w:pPr/>
            <w:r>
              <w:rPr>
                <w:sz w:val="18"/>
              </w:rPr>
              <w:t>FSS review of registration statements; FSCMA disclosure requirements</w:t>
            </w:r>
          </w:p>
        </w:tc>
      </w:tr>
      <w:tr>
        <w:tc>
          <w:tcPr>
            <w:tcW w:type="dxa" w:w="2880"/>
          </w:tcPr>
          <w:p>
            <w:pPr/>
            <w:r>
              <w:rPr>
                <w:sz w:val="18"/>
              </w:rPr>
              <w:t>**Consolidated tape**</w:t>
            </w:r>
          </w:p>
        </w:tc>
        <w:tc>
          <w:tcPr>
            <w:tcW w:type="dxa" w:w="2880"/>
          </w:tcPr>
          <w:p>
            <w:pPr/>
            <w:r>
              <w:rPr>
                <w:sz w:val="18"/>
              </w:rPr>
              <w:t>Now being established (EuroCTP for equities, CTP for bonds)</w:t>
            </w:r>
          </w:p>
        </w:tc>
        <w:tc>
          <w:tcPr>
            <w:tcW w:type="dxa" w:w="2880"/>
          </w:tcPr>
          <w:p>
            <w:pPr/>
            <w:r>
              <w:rPr>
                <w:sz w:val="18"/>
              </w:rPr>
              <w:t>Not applicable — single exchange provides all data; KRX Information Services division</w:t>
            </w:r>
          </w:p>
        </w:tc>
      </w:tr>
      <w:tr>
        <w:tc>
          <w:tcPr>
            <w:tcW w:type="dxa" w:w="2880"/>
          </w:tcPr>
          <w:p>
            <w:pPr/>
            <w:r>
              <w:rPr>
                <w:sz w:val="18"/>
              </w:rPr>
              <w:t>**Market data costs**</w:t>
            </w:r>
          </w:p>
        </w:tc>
        <w:tc>
          <w:tcPr>
            <w:tcW w:type="dxa" w:w="2880"/>
          </w:tcPr>
          <w:p>
            <w:pPr/>
            <w:r>
              <w:rPr>
                <w:sz w:val="18"/>
              </w:rPr>
              <w:t>Contentious — RCB regulation, high exchange data fees, CTP debate</w:t>
            </w:r>
          </w:p>
        </w:tc>
        <w:tc>
          <w:tcPr>
            <w:tcW w:type="dxa" w:w="2880"/>
          </w:tcPr>
          <w:p>
            <w:pPr/>
            <w:r>
              <w:rPr>
                <w:sz w:val="18"/>
              </w:rPr>
              <w:t>Single source (KRX); data fees regulated; KOSCOM as data vendor</w:t>
            </w:r>
          </w:p>
        </w:tc>
      </w:tr>
    </w:tbl>
    <w:p/>
    <w:p>
      <w:pPr>
        <w:pStyle w:val="Heading3"/>
      </w:pPr>
      <w:r>
        <w:t>9.4 Key Takeaways for KRX Perspective</w:t>
      </w:r>
    </w:p>
    <w:p>
      <w:pPr>
        <w:pStyle w:val="ListNumber"/>
      </w:pPr>
      <w:r>
        <w:t>Fragmentation vs. consolidation: The EU's most persistent challenge — fragmentation of trading, data, and supervision — is a problem Korea does not face. The EU's CTP regime is essentially trying to recreate through regulation what Korea achieves naturally through a single centralised exchange.</w:t>
      </w:r>
    </w:p>
    <w:p>
      <w:pPr>
        <w:pStyle w:val="ListNumber"/>
      </w:pPr>
      <w:r>
        <w:t>Regulatory complexity: The EU's multi-layered system (Level 1 legislation → Level 2 RTS/ITS → Level 3 guidelines → NCA implementation) creates a regulatory burden that is orders of magnitude higher than Korea's single-statute approach. However, the EU approach may be more adaptable to diverse market structures.</w:t>
      </w:r>
    </w:p>
    <w:p>
      <w:pPr>
        <w:pStyle w:val="ListNumber"/>
      </w:pPr>
      <w:r>
        <w:t>Post-trade efficiency: The EU's T+1 transition is complicated by the multi-CSD, multi-CCP, multi-currency landscape. Korea's centralised post-trade infrastructure (KSD) makes settlement cycle changes more straightforward.</w:t>
      </w:r>
    </w:p>
    <w:p>
      <w:pPr>
        <w:pStyle w:val="ListNumber"/>
      </w:pPr>
      <w:r>
        <w:t>Dark trading and transparency: The EU's complex waiver and volume cap system reflects the tension between institutional investor demand for execution quality and the regulatory desire to protect lit market price formation. Korea's simpler approach avoids this complexity but also offers less execution flexibility for large institutional orders.</w:t>
      </w:r>
    </w:p>
    <w:p>
      <w:pPr>
        <w:pStyle w:val="ListNumber"/>
      </w:pPr>
      <w:r>
        <w:t>Technology regulation: The EU's MiFID II algo/HFT rules (Articles 17, 48) are the global benchmark for regulating electronic trading. Korea may consider whether similar levels of prescriptive regulation (kill switches, order-to-trade ratios, microsecond record-keeping) would benefit KRX.</w:t>
      </w:r>
    </w:p>
    <w:p>
      <w:pPr>
        <w:pStyle w:val="ListNumber"/>
      </w:pPr>
      <w:r>
        <w:t>Competitiveness focus: Both the EU (Listing Act, CTP) and UK (Edinburgh Reforms, UKLR) are currently focused on attracting listings and improving market competitiveness — a global theme that KRX also faces given competition from regional exchanges (HKEX, SGX, JPX).</w:t>
      </w:r>
    </w:p>
    <w:p>
      <w:r>
        <w:t>────────────────────────────────────────────────────────────</w:t>
      </w:r>
    </w:p>
    <w:p>
      <w:pPr>
        <w:pStyle w:val="Heading2"/>
      </w:pPr>
      <w:r>
        <w:t>Appendix A: Key Regulatory Documents Reference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Document</w:t>
            </w:r>
          </w:p>
        </w:tc>
        <w:tc>
          <w:tcPr>
            <w:tcW w:type="dxa" w:w="2880"/>
          </w:tcPr>
          <w:p>
            <w:pPr/>
            <w:r>
              <w:rPr>
                <w:b/>
                <w:sz w:val="18"/>
              </w:rPr>
              <w:t>Reference</w:t>
            </w:r>
          </w:p>
        </w:tc>
        <w:tc>
          <w:tcPr>
            <w:tcW w:type="dxa" w:w="2880"/>
          </w:tcPr>
          <w:p>
            <w:pPr/>
            <w:r>
              <w:rPr>
                <w:b/>
                <w:sz w:val="18"/>
              </w:rPr>
              <w:t>Description</w:t>
            </w:r>
          </w:p>
        </w:tc>
      </w:tr>
      <w:tr>
        <w:tc>
          <w:tcPr>
            <w:tcW w:type="dxa" w:w="2880"/>
          </w:tcPr>
          <w:p>
            <w:pPr/>
            <w:r>
              <w:rPr>
                <w:sz w:val="18"/>
              </w:rPr>
              <w:t>MiFID II</w:t>
            </w:r>
          </w:p>
        </w:tc>
        <w:tc>
          <w:tcPr>
            <w:tcW w:type="dxa" w:w="2880"/>
          </w:tcPr>
          <w:p>
            <w:pPr/>
            <w:r>
              <w:rPr>
                <w:sz w:val="18"/>
              </w:rPr>
              <w:t>Directive 2014/65/EU</w:t>
            </w:r>
          </w:p>
        </w:tc>
        <w:tc>
          <w:tcPr>
            <w:tcW w:type="dxa" w:w="2880"/>
          </w:tcPr>
          <w:p>
            <w:pPr/>
            <w:r>
              <w:rPr>
                <w:sz w:val="18"/>
              </w:rPr>
              <w:t>Markets in Financial Instruments Directive (recast)</w:t>
            </w:r>
          </w:p>
        </w:tc>
      </w:tr>
      <w:tr>
        <w:tc>
          <w:tcPr>
            <w:tcW w:type="dxa" w:w="2880"/>
          </w:tcPr>
          <w:p>
            <w:pPr/>
            <w:r>
              <w:rPr>
                <w:sz w:val="18"/>
              </w:rPr>
              <w:t>MiFIR</w:t>
            </w:r>
          </w:p>
        </w:tc>
        <w:tc>
          <w:tcPr>
            <w:tcW w:type="dxa" w:w="2880"/>
          </w:tcPr>
          <w:p>
            <w:pPr/>
            <w:r>
              <w:rPr>
                <w:sz w:val="18"/>
              </w:rPr>
              <w:t>Regulation (EU) No 600/2014</w:t>
            </w:r>
          </w:p>
        </w:tc>
        <w:tc>
          <w:tcPr>
            <w:tcW w:type="dxa" w:w="2880"/>
          </w:tcPr>
          <w:p>
            <w:pPr/>
            <w:r>
              <w:rPr>
                <w:sz w:val="18"/>
              </w:rPr>
              <w:t>Markets in Financial Instruments Regulation</w:t>
            </w:r>
          </w:p>
        </w:tc>
      </w:tr>
      <w:tr>
        <w:tc>
          <w:tcPr>
            <w:tcW w:type="dxa" w:w="2880"/>
          </w:tcPr>
          <w:p>
            <w:pPr/>
            <w:r>
              <w:rPr>
                <w:sz w:val="18"/>
              </w:rPr>
              <w:t>MiFIR Review</w:t>
            </w:r>
          </w:p>
        </w:tc>
        <w:tc>
          <w:tcPr>
            <w:tcW w:type="dxa" w:w="2880"/>
          </w:tcPr>
          <w:p>
            <w:pPr/>
            <w:r>
              <w:rPr>
                <w:sz w:val="18"/>
              </w:rPr>
              <w:t>Regulation (EU) 2024/791</w:t>
            </w:r>
          </w:p>
        </w:tc>
        <w:tc>
          <w:tcPr>
            <w:tcW w:type="dxa" w:w="2880"/>
          </w:tcPr>
          <w:p>
            <w:pPr/>
            <w:r>
              <w:rPr>
                <w:sz w:val="18"/>
              </w:rPr>
              <w:t>Amending MiFIR (consolidated tape, transparency, volume cap)</w:t>
            </w:r>
          </w:p>
        </w:tc>
      </w:tr>
      <w:tr>
        <w:tc>
          <w:tcPr>
            <w:tcW w:type="dxa" w:w="2880"/>
          </w:tcPr>
          <w:p>
            <w:pPr/>
            <w:r>
              <w:rPr>
                <w:sz w:val="18"/>
              </w:rPr>
              <w:t>MAR</w:t>
            </w:r>
          </w:p>
        </w:tc>
        <w:tc>
          <w:tcPr>
            <w:tcW w:type="dxa" w:w="2880"/>
          </w:tcPr>
          <w:p>
            <w:pPr/>
            <w:r>
              <w:rPr>
                <w:sz w:val="18"/>
              </w:rPr>
              <w:t>Regulation (EU) No 596/2014</w:t>
            </w:r>
          </w:p>
        </w:tc>
        <w:tc>
          <w:tcPr>
            <w:tcW w:type="dxa" w:w="2880"/>
          </w:tcPr>
          <w:p>
            <w:pPr/>
            <w:r>
              <w:rPr>
                <w:sz w:val="18"/>
              </w:rPr>
              <w:t>Market Abuse Regulation</w:t>
            </w:r>
          </w:p>
        </w:tc>
      </w:tr>
      <w:tr>
        <w:tc>
          <w:tcPr>
            <w:tcW w:type="dxa" w:w="2880"/>
          </w:tcPr>
          <w:p>
            <w:pPr/>
            <w:r>
              <w:rPr>
                <w:sz w:val="18"/>
              </w:rPr>
              <w:t>CSDR</w:t>
            </w:r>
          </w:p>
        </w:tc>
        <w:tc>
          <w:tcPr>
            <w:tcW w:type="dxa" w:w="2880"/>
          </w:tcPr>
          <w:p>
            <w:pPr/>
            <w:r>
              <w:rPr>
                <w:sz w:val="18"/>
              </w:rPr>
              <w:t>Regulation (EU) No 909/2014</w:t>
            </w:r>
          </w:p>
        </w:tc>
        <w:tc>
          <w:tcPr>
            <w:tcW w:type="dxa" w:w="2880"/>
          </w:tcPr>
          <w:p>
            <w:pPr/>
            <w:r>
              <w:rPr>
                <w:sz w:val="18"/>
              </w:rPr>
              <w:t>Central Securities Depositories Regulation</w:t>
            </w:r>
          </w:p>
        </w:tc>
      </w:tr>
      <w:tr>
        <w:tc>
          <w:tcPr>
            <w:tcW w:type="dxa" w:w="2880"/>
          </w:tcPr>
          <w:p>
            <w:pPr/>
            <w:r>
              <w:rPr>
                <w:sz w:val="18"/>
              </w:rPr>
              <w:t>CSDR Refit</w:t>
            </w:r>
          </w:p>
        </w:tc>
        <w:tc>
          <w:tcPr>
            <w:tcW w:type="dxa" w:w="2880"/>
          </w:tcPr>
          <w:p>
            <w:pPr/>
            <w:r>
              <w:rPr>
                <w:sz w:val="18"/>
              </w:rPr>
              <w:t>[OJ 14 October 2025]</w:t>
            </w:r>
          </w:p>
        </w:tc>
        <w:tc>
          <w:tcPr>
            <w:tcW w:type="dxa" w:w="2880"/>
          </w:tcPr>
          <w:p>
            <w:pPr/>
            <w:r>
              <w:rPr>
                <w:sz w:val="18"/>
              </w:rPr>
              <w:t>Amendments including T+1 mandate</w:t>
            </w:r>
          </w:p>
        </w:tc>
      </w:tr>
      <w:tr>
        <w:tc>
          <w:tcPr>
            <w:tcW w:type="dxa" w:w="2880"/>
          </w:tcPr>
          <w:p>
            <w:pPr/>
            <w:r>
              <w:rPr>
                <w:sz w:val="18"/>
              </w:rPr>
              <w:t>Prospectus Reg</w:t>
            </w:r>
          </w:p>
        </w:tc>
        <w:tc>
          <w:tcPr>
            <w:tcW w:type="dxa" w:w="2880"/>
          </w:tcPr>
          <w:p>
            <w:pPr/>
            <w:r>
              <w:rPr>
                <w:sz w:val="18"/>
              </w:rPr>
              <w:t>Regulation (EU) 2017/1129</w:t>
            </w:r>
          </w:p>
        </w:tc>
        <w:tc>
          <w:tcPr>
            <w:tcW w:type="dxa" w:w="2880"/>
          </w:tcPr>
          <w:p>
            <w:pPr/>
            <w:r>
              <w:rPr>
                <w:sz w:val="18"/>
              </w:rPr>
              <w:t>Prospectus Regulation</w:t>
            </w:r>
          </w:p>
        </w:tc>
      </w:tr>
      <w:tr>
        <w:tc>
          <w:tcPr>
            <w:tcW w:type="dxa" w:w="2880"/>
          </w:tcPr>
          <w:p>
            <w:pPr/>
            <w:r>
              <w:rPr>
                <w:sz w:val="18"/>
              </w:rPr>
              <w:t>SSR</w:t>
            </w:r>
          </w:p>
        </w:tc>
        <w:tc>
          <w:tcPr>
            <w:tcW w:type="dxa" w:w="2880"/>
          </w:tcPr>
          <w:p>
            <w:pPr/>
            <w:r>
              <w:rPr>
                <w:sz w:val="18"/>
              </w:rPr>
              <w:t>Regulation (EU) No 236/2012</w:t>
            </w:r>
          </w:p>
        </w:tc>
        <w:tc>
          <w:tcPr>
            <w:tcW w:type="dxa" w:w="2880"/>
          </w:tcPr>
          <w:p>
            <w:pPr/>
            <w:r>
              <w:rPr>
                <w:sz w:val="18"/>
              </w:rPr>
              <w:t>Short Selling Regulation</w:t>
            </w:r>
          </w:p>
        </w:tc>
      </w:tr>
      <w:tr>
        <w:tc>
          <w:tcPr>
            <w:tcW w:type="dxa" w:w="2880"/>
          </w:tcPr>
          <w:p>
            <w:pPr/>
            <w:r>
              <w:rPr>
                <w:sz w:val="18"/>
              </w:rPr>
              <w:t>DORA</w:t>
            </w:r>
          </w:p>
        </w:tc>
        <w:tc>
          <w:tcPr>
            <w:tcW w:type="dxa" w:w="2880"/>
          </w:tcPr>
          <w:p>
            <w:pPr/>
            <w:r>
              <w:rPr>
                <w:sz w:val="18"/>
              </w:rPr>
              <w:t>Regulation (EU) 2022/2554</w:t>
            </w:r>
          </w:p>
        </w:tc>
        <w:tc>
          <w:tcPr>
            <w:tcW w:type="dxa" w:w="2880"/>
          </w:tcPr>
          <w:p>
            <w:pPr/>
            <w:r>
              <w:rPr>
                <w:sz w:val="18"/>
              </w:rPr>
              <w:t>Digital Operational Resilience Act</w:t>
            </w:r>
          </w:p>
        </w:tc>
      </w:tr>
      <w:tr>
        <w:tc>
          <w:tcPr>
            <w:tcW w:type="dxa" w:w="2880"/>
          </w:tcPr>
          <w:p>
            <w:pPr/>
            <w:r>
              <w:rPr>
                <w:sz w:val="18"/>
              </w:rPr>
              <w:t>RTS 1</w:t>
            </w:r>
          </w:p>
        </w:tc>
        <w:tc>
          <w:tcPr>
            <w:tcW w:type="dxa" w:w="2880"/>
          </w:tcPr>
          <w:p>
            <w:pPr/>
            <w:r>
              <w:rPr>
                <w:sz w:val="18"/>
              </w:rPr>
              <w:t>Commission Delegated Reg (EU) 2017/587</w:t>
            </w:r>
          </w:p>
        </w:tc>
        <w:tc>
          <w:tcPr>
            <w:tcW w:type="dxa" w:w="2880"/>
          </w:tcPr>
          <w:p>
            <w:pPr/>
            <w:r>
              <w:rPr>
                <w:sz w:val="18"/>
              </w:rPr>
              <w:t>Equity transparency (pre-trade and post-trade)</w:t>
            </w:r>
          </w:p>
        </w:tc>
      </w:tr>
      <w:tr>
        <w:tc>
          <w:tcPr>
            <w:tcW w:type="dxa" w:w="2880"/>
          </w:tcPr>
          <w:p>
            <w:pPr/>
            <w:r>
              <w:rPr>
                <w:sz w:val="18"/>
              </w:rPr>
              <w:t>RTS 7</w:t>
            </w:r>
          </w:p>
        </w:tc>
        <w:tc>
          <w:tcPr>
            <w:tcW w:type="dxa" w:w="2880"/>
          </w:tcPr>
          <w:p>
            <w:pPr/>
            <w:r>
              <w:rPr>
                <w:sz w:val="18"/>
              </w:rPr>
              <w:t>Commission Delegated Reg (EU) 2017/584</w:t>
            </w:r>
          </w:p>
        </w:tc>
        <w:tc>
          <w:tcPr>
            <w:tcW w:type="dxa" w:w="2880"/>
          </w:tcPr>
          <w:p>
            <w:pPr/>
            <w:r>
              <w:rPr>
                <w:sz w:val="18"/>
              </w:rPr>
              <w:t>Trading venue organisational requirements</w:t>
            </w:r>
          </w:p>
        </w:tc>
      </w:tr>
      <w:tr>
        <w:tc>
          <w:tcPr>
            <w:tcW w:type="dxa" w:w="2880"/>
          </w:tcPr>
          <w:p>
            <w:pPr/>
            <w:r>
              <w:rPr>
                <w:sz w:val="18"/>
              </w:rPr>
              <w:t>RTS 11</w:t>
            </w:r>
          </w:p>
        </w:tc>
        <w:tc>
          <w:tcPr>
            <w:tcW w:type="dxa" w:w="2880"/>
          </w:tcPr>
          <w:p>
            <w:pPr/>
            <w:r>
              <w:rPr>
                <w:sz w:val="18"/>
              </w:rPr>
              <w:t>Commission Delegated Reg (EU) 2017/588</w:t>
            </w:r>
          </w:p>
        </w:tc>
        <w:tc>
          <w:tcPr>
            <w:tcW w:type="dxa" w:w="2880"/>
          </w:tcPr>
          <w:p>
            <w:pPr/>
            <w:r>
              <w:rPr>
                <w:sz w:val="18"/>
              </w:rPr>
              <w:t>Tick sizes</w:t>
            </w:r>
          </w:p>
        </w:tc>
      </w:tr>
      <w:tr>
        <w:tc>
          <w:tcPr>
            <w:tcW w:type="dxa" w:w="2880"/>
          </w:tcPr>
          <w:p>
            <w:pPr/>
            <w:r>
              <w:rPr>
                <w:sz w:val="18"/>
              </w:rPr>
              <w:t>RTS 22</w:t>
            </w:r>
          </w:p>
        </w:tc>
        <w:tc>
          <w:tcPr>
            <w:tcW w:type="dxa" w:w="2880"/>
          </w:tcPr>
          <w:p>
            <w:pPr/>
            <w:r>
              <w:rPr>
                <w:sz w:val="18"/>
              </w:rPr>
              <w:t>Commission Delegated Reg (EU) 2017/590</w:t>
            </w:r>
          </w:p>
        </w:tc>
        <w:tc>
          <w:tcPr>
            <w:tcW w:type="dxa" w:w="2880"/>
          </w:tcPr>
          <w:p>
            <w:pPr/>
            <w:r>
              <w:rPr>
                <w:sz w:val="18"/>
              </w:rPr>
              <w:t>Transaction reporting</w:t>
            </w:r>
          </w:p>
        </w:tc>
      </w:tr>
      <w:tr>
        <w:tc>
          <w:tcPr>
            <w:tcW w:type="dxa" w:w="2880"/>
          </w:tcPr>
          <w:p>
            <w:pPr/>
            <w:r>
              <w:rPr>
                <w:sz w:val="18"/>
              </w:rPr>
              <w:t>RTS 25</w:t>
            </w:r>
          </w:p>
        </w:tc>
        <w:tc>
          <w:tcPr>
            <w:tcW w:type="dxa" w:w="2880"/>
          </w:tcPr>
          <w:p>
            <w:pPr/>
            <w:r>
              <w:rPr>
                <w:sz w:val="18"/>
              </w:rPr>
              <w:t>Commission Delegated Reg (EU) 2017/574</w:t>
            </w:r>
          </w:p>
        </w:tc>
        <w:tc>
          <w:tcPr>
            <w:tcW w:type="dxa" w:w="2880"/>
          </w:tcPr>
          <w:p>
            <w:pPr/>
            <w:r>
              <w:rPr>
                <w:sz w:val="18"/>
              </w:rPr>
              <w:t>Clock synchronisation</w:t>
            </w:r>
          </w:p>
        </w:tc>
      </w:tr>
    </w:tbl>
    <w:p/>
    <w:p>
      <w:r>
        <w:t>────────────────────────────────────────────────────────────</w:t>
      </w:r>
    </w:p>
    <w:p>
      <w:pPr>
        <w:pStyle w:val="Heading2"/>
      </w:pPr>
      <w:r>
        <w:t>Appendix B: Sources</w:t>
      </w:r>
    </w:p>
    <w:p>
      <w:pPr>
        <w:pStyle w:val="ListBullet"/>
      </w:pPr>
      <w:r>
        <w:t>[ESMA — MiFID II and MiFIR review](https://www.esma.europa.eu/trading/mifid-ii-and-mifir-review), accessed 2026-04-06</w:t>
      </w:r>
    </w:p>
    <w:p>
      <w:pPr>
        <w:pStyle w:val="ListBullet"/>
      </w:pPr>
      <w:r>
        <w:t>[ESMA — Consolidated Tape Providers](https://www.esma.europa.eu/esmas-activities/markets-and-infrastructure/consolidated-tape-providers), accessed 2026-04-06</w:t>
      </w:r>
    </w:p>
    <w:p>
      <w:pPr>
        <w:pStyle w:val="ListBullet"/>
      </w:pPr>
      <w:r>
        <w:t>[ESMA — Short Selling](https://www.esma.europa.eu/esmas-activities/markets-and-infrastructure/short-selling), accessed 2026-04-06</w:t>
      </w:r>
    </w:p>
    <w:p>
      <w:pPr>
        <w:pStyle w:val="ListBullet"/>
      </w:pPr>
      <w:r>
        <w:t>[ESMA — Double Volume Cap Mechanism (Discontinued)](https://www.esma.europa.eu/double-volume-cap-mechanism), accessed 2026-04-06</w:t>
      </w:r>
    </w:p>
    <w:p>
      <w:pPr>
        <w:pStyle w:val="ListBullet"/>
      </w:pPr>
      <w:r>
        <w:t>[ESMA — MiFID II Article 17 — Algorithmic trading](https://www.esma.europa.eu/publications-and-data/interactive-single-rulebook/mifid-ii/article-17-algorithmic-trading), accessed 2026-04-06</w:t>
      </w:r>
    </w:p>
    <w:p>
      <w:pPr>
        <w:pStyle w:val="ListBullet"/>
      </w:pPr>
      <w:r>
        <w:t>[ESMA — MiFID II Article 48 — Systems resilience, circuit breakers and electronic trading](https://www.esma.europa.eu/publications-and-data/interactive-single-rulebook/mifid-ii/article-48-systems-resilience-circuit), accessed 2026-04-06</w:t>
      </w:r>
    </w:p>
    <w:p>
      <w:pPr>
        <w:pStyle w:val="ListBullet"/>
      </w:pPr>
      <w:r>
        <w:t>[ESMA — MiFIR Article 26 — Obligation to report transactions](https://www.esma.europa.eu/publications-and-data/interactive-single-rulebook/mifir/article-26-obligation-report-transactions), accessed 2026-04-06</w:t>
      </w:r>
    </w:p>
    <w:p>
      <w:pPr>
        <w:pStyle w:val="ListBullet"/>
      </w:pPr>
      <w:r>
        <w:t>[ESMA — Supervisory Briefing on Circuit Breakers, October 2023](https://www.esma.europa.eu/sites/default/files/2023-10/ESMA74-2134169708-6975_Supervisory_Briefing_Circuit_Breakers.pdf), accessed 2026-04-06</w:t>
      </w:r>
    </w:p>
    <w:p>
      <w:pPr>
        <w:pStyle w:val="ListBullet"/>
      </w:pPr>
      <w:r>
        <w:t>[ESMA — ESMA selects EuroCTP for shares and ETFs, December 2025](https://www.esma.europa.eu/press-news/esma-news/esma-selects-euroctp-become-first-consolidated-tape-provider-shares-and-etfs), accessed 2026-04-06</w:t>
      </w:r>
    </w:p>
    <w:p>
      <w:pPr>
        <w:pStyle w:val="ListBullet"/>
      </w:pPr>
      <w:r>
        <w:t>[ESMA — Consolidated Report on Sanctions and Measures 2024](https://www.esma.europa.eu/press-news/esma-news/esma-publishes-second-consolidated-report-sanctions), accessed 2026-04-06</w:t>
      </w:r>
    </w:p>
    <w:p>
      <w:pPr>
        <w:pStyle w:val="ListBullet"/>
      </w:pPr>
      <w:r>
        <w:t>[FCA — FCA overhauls listing rules](https://www.fca.org.uk/news/press-releases/fca-overhauls-listing-rules-boost-growth-and-innovation-uk-stock-markets), accessed 2026-04-06</w:t>
      </w:r>
    </w:p>
    <w:p>
      <w:pPr>
        <w:pStyle w:val="ListBullet"/>
      </w:pPr>
      <w:r>
        <w:t>[FCA — PS24/6: Primary Markets Effectiveness Review](https://www.fca.org.uk/publications/policy-statements/ps24-6-primary-markets-effectiveness-review-feedback-cp23-31-final-uk-listing-rules), accessed 2026-04-06</w:t>
      </w:r>
    </w:p>
    <w:p>
      <w:pPr>
        <w:pStyle w:val="ListBullet"/>
      </w:pPr>
      <w:r>
        <w:t>[FCA — CP25/31: The framework for a UK equity consolidated tape](https://www.fca.org.uk/publications/consultation-papers/cp25-31-framework-uk-equity-consolidated-tape), accessed 2026-04-06</w:t>
      </w:r>
    </w:p>
    <w:p>
      <w:pPr>
        <w:pStyle w:val="ListBullet"/>
      </w:pPr>
      <w:r>
        <w:t>[FCA — Bond consolidated tape](https://www.fca.org.uk/markets/data-reporting-services-providers/bond-consolidated-tape), accessed 2026-04-06</w:t>
      </w:r>
    </w:p>
    <w:p>
      <w:pPr>
        <w:pStyle w:val="ListBullet"/>
      </w:pPr>
      <w:r>
        <w:t>[FCA — Notification and disclosure of net short positions](https://www.fca.org.uk/markets/short-selling/notification-disclosure-net-short-positions), accessed 2026-04-06</w:t>
      </w:r>
    </w:p>
    <w:p>
      <w:pPr>
        <w:pStyle w:val="ListBullet"/>
      </w:pPr>
      <w:r>
        <w:t>[European Commission — T+1 settlement, February 2025](https://finance.ec.europa.eu/news/t1-settlement-2025-02-14_en), accessed 2026-04-06</w:t>
      </w:r>
    </w:p>
    <w:p>
      <w:pPr>
        <w:pStyle w:val="ListBullet"/>
      </w:pPr>
      <w:r>
        <w:t>[European Commission — A shorter settlement cycle, July 2025](https://finance.ec.europa.eu/news/shorter-settlement-cycle-2025-07-03_en), accessed 2026-04-06</w:t>
      </w:r>
    </w:p>
    <w:p>
      <w:pPr>
        <w:pStyle w:val="ListBullet"/>
      </w:pPr>
      <w:r>
        <w:t>[BaFin — Transaction reporting (Article 26 of the MiFIR)](https://www.bafin.de/EN/DieBaFin/Service/MVPportal/26MiFIR/26MiFIR_node_en.html), accessed 2026-04-06</w:t>
      </w:r>
    </w:p>
    <w:p>
      <w:pPr>
        <w:pStyle w:val="ListBullet"/>
      </w:pPr>
      <w:r>
        <w:t>[Norton Rose Fulbright — MiFID II: High frequency and algorithmic trading obligations](https://www.nortonrosefulbright.com/en/knowledge/publications/6d7b8497/mifid-ii-mifir-series), accessed 2026-04-06</w:t>
      </w:r>
    </w:p>
    <w:p>
      <w:pPr>
        <w:pStyle w:val="ListBullet"/>
      </w:pPr>
      <w:r>
        <w:t>[PwC Legal — MiFIR/MiFID II Review: making sense of the key amendments](https://legal.pwc.de/en/news/articles/mifir-mifid-ii-review-making-sense-of-the-key-amendments), accessed 2026-04-06</w:t>
      </w:r>
    </w:p>
    <w:p>
      <w:pPr>
        <w:pStyle w:val="ListBullet"/>
      </w:pPr>
      <w:r>
        <w:t>[Davis Polk — Capital markets reform in the UK](https://www.davispolk.com/insights/client-update/capital-markets-reform-uk), accessed 2026-04-06</w:t>
      </w:r>
    </w:p>
    <w:p>
      <w:pPr>
        <w:pStyle w:val="ListBullet"/>
      </w:pPr>
      <w:r>
        <w:t>[Osborne Clarke — The EU Listing Act: key changes to the Prospectus Regulation](https://www.osborneclarke.com/insights/eu-listing-act-what-are-key-changes-prospectus-regulation), accessed 2026-04-06</w:t>
      </w:r>
    </w:p>
    <w:p>
      <w:pPr>
        <w:pStyle w:val="ListBullet"/>
      </w:pPr>
      <w:r>
        <w:t>[AMF — The Listing Act: Facilitating Companies' Access to European Capital Markets](https://www.amf-france.org/en/news-publications/depth/listing-act), accessed 2026-04-06</w:t>
      </w:r>
    </w:p>
    <w:p>
      <w:pPr>
        <w:pStyle w:val="ListBullet"/>
      </w:pPr>
      <w:r>
        <w:t>[UK Legislation — The Short Selling Regulations 2025](https://www.legislation.gov.uk/uksi/2025/29), accessed 2026-04-06</w:t>
      </w:r>
    </w:p>
    <w:p>
      <w:pPr>
        <w:pStyle w:val="ListBullet"/>
      </w:pPr>
      <w:r>
        <w:t>[EIOPA — Digital Operational Resilience Act (DORA)](https://www.eiopa.europa.eu/digital-operational-resilience-act-dora_en), accessed 2026-04-06</w:t>
      </w:r>
    </w:p>
    <w:p>
      <w:pPr>
        <w:pStyle w:val="ListBullet"/>
      </w:pPr>
      <w:r>
        <w:t>[FSC Korea — Introduction](https://www.fsc.go.kr/eng/ab010101), accessed 2026-04-06</w:t>
      </w:r>
    </w:p>
    <w:p>
      <w:pPr>
        <w:pStyle w:val="ListBullet"/>
      </w:pPr>
      <w:r>
        <w:t>[Chambers and Partners — Financial Services Regulation 2025 — South Korea](https://practiceguides.chambers.com/practice-guides/financial-services-regulation-2025/south-korea), accessed 2026-04-06</w:t>
      </w:r>
    </w:p>
    <w:p>
      <w:pPr>
        <w:pStyle w:val="ListBullet"/>
      </w:pPr>
      <w:r>
        <w:t>[ESMA-FSC/FSS Korea MoU](https://www.esma.europa.eu/sites/default/files/library/revised_mou_esma-fsc_fss_korea_tc-ccps_-_final.pdf), accessed 2026-04-06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