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NASDAQ INET — NASDAQ Stock Market</w:t>
      </w:r>
    </w:p>
    <w:p>
      <w:r>
        <w:rPr>
          <w:i/>
          <w:sz w:val="18"/>
        </w:rPr>
        <w:t>**Last Updated:** 2026-04-06</w:t>
      </w:r>
    </w:p>
    <w:p>
      <w:r>
        <w:rPr>
          <w:i/>
          <w:sz w:val="18"/>
        </w:rPr>
        <w:t>**System Category:** Trading System</w:t>
      </w:r>
    </w:p>
    <w:p>
      <w:r>
        <w:t>────────────────────────────────────────────────────────────</w:t>
      </w:r>
    </w:p>
    <w:p>
      <w:pPr>
        <w:pStyle w:val="Heading2"/>
      </w:pPr>
      <w:r>
        <w:t>1. System Overview</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System Name</w:t>
            </w:r>
          </w:p>
        </w:tc>
        <w:tc>
          <w:tcPr>
            <w:tcW w:type="dxa" w:w="4320"/>
          </w:tcPr>
          <w:p>
            <w:pPr/>
            <w:r>
              <w:rPr>
                <w:sz w:val="18"/>
              </w:rPr>
              <w:t>NASDAQ INET (matching engine core); Nasdaq Eqlipse (4th-generation platform wrapper)</w:t>
            </w:r>
          </w:p>
        </w:tc>
      </w:tr>
      <w:tr>
        <w:tc>
          <w:tcPr>
            <w:tcW w:type="dxa" w:w="4320"/>
          </w:tcPr>
          <w:p>
            <w:pPr/>
            <w:r>
              <w:rPr>
                <w:sz w:val="18"/>
              </w:rPr>
              <w:t>Operated By</w:t>
            </w:r>
          </w:p>
        </w:tc>
        <w:tc>
          <w:tcPr>
            <w:tcW w:type="dxa" w:w="4320"/>
          </w:tcPr>
          <w:p>
            <w:pPr/>
            <w:r>
              <w:rPr>
                <w:sz w:val="18"/>
              </w:rPr>
              <w:t>Nasdaq, Inc. (NDAQ)</w:t>
            </w:r>
          </w:p>
        </w:tc>
      </w:tr>
      <w:tr>
        <w:tc>
          <w:tcPr>
            <w:tcW w:type="dxa" w:w="4320"/>
          </w:tcPr>
          <w:p>
            <w:pPr/>
            <w:r>
              <w:rPr>
                <w:sz w:val="18"/>
              </w:rPr>
              <w:t>Purpose</w:t>
            </w:r>
          </w:p>
        </w:tc>
        <w:tc>
          <w:tcPr>
            <w:tcW w:type="dxa" w:w="4320"/>
          </w:tcPr>
          <w:p>
            <w:pPr/>
            <w:r>
              <w:rPr>
                <w:sz w:val="18"/>
              </w:rPr>
              <w:t>Ultra-low latency order matching, market data dissemination, and trade execution for U.S. equities (Nasdaq, BX, PSX) and licensed globally to 130+ marketplaces</w:t>
            </w:r>
          </w:p>
        </w:tc>
      </w:tr>
      <w:tr>
        <w:tc>
          <w:tcPr>
            <w:tcW w:type="dxa" w:w="4320"/>
          </w:tcPr>
          <w:p>
            <w:pPr/>
            <w:r>
              <w:rPr>
                <w:sz w:val="18"/>
              </w:rPr>
              <w:t>Launch Year</w:t>
            </w:r>
          </w:p>
        </w:tc>
        <w:tc>
          <w:tcPr>
            <w:tcW w:type="dxa" w:w="4320"/>
          </w:tcPr>
          <w:p>
            <w:pPr/>
            <w:r>
              <w:rPr>
                <w:sz w:val="18"/>
              </w:rPr>
              <w:t>2006 (INET adopted as primary Nasdaq matching engine after Instinet acquisition); Eqlipse platform: 2024</w:t>
            </w:r>
          </w:p>
        </w:tc>
      </w:tr>
      <w:tr>
        <w:tc>
          <w:tcPr>
            <w:tcW w:type="dxa" w:w="4320"/>
          </w:tcPr>
          <w:p>
            <w:pPr/>
            <w:r>
              <w:rPr>
                <w:sz w:val="18"/>
              </w:rPr>
              <w:t>Current Version</w:t>
            </w:r>
          </w:p>
        </w:tc>
        <w:tc>
          <w:tcPr>
            <w:tcW w:type="dxa" w:w="4320"/>
          </w:tcPr>
          <w:p>
            <w:pPr/>
            <w:r>
              <w:rPr>
                <w:sz w:val="18"/>
              </w:rPr>
              <w:t>Nasdaq Eqlipse (4th generation), with INET matching engine at core</w:t>
            </w:r>
          </w:p>
        </w:tc>
      </w:tr>
      <w:tr>
        <w:tc>
          <w:tcPr>
            <w:tcW w:type="dxa" w:w="4320"/>
          </w:tcPr>
          <w:p>
            <w:pPr/>
            <w:r>
              <w:rPr>
                <w:sz w:val="18"/>
              </w:rPr>
              <w:t>Vendor / In-house</w:t>
            </w:r>
          </w:p>
        </w:tc>
        <w:tc>
          <w:tcPr>
            <w:tcW w:type="dxa" w:w="4320"/>
          </w:tcPr>
          <w:p>
            <w:pPr/>
            <w:r>
              <w:rPr>
                <w:sz w:val="18"/>
              </w:rPr>
              <w:t>In-house developed by Nasdaq, Inc. Original INET engine derived from Instinet/Island ECN technology (acquired 2005); subsequent generations developed in-house across offices in Stockholm (Genium INET), Sydney (X-Stream INET), and New York/Philadelphia</w:t>
            </w:r>
          </w:p>
        </w:tc>
      </w:tr>
    </w:tbl>
    <w:p/>
    <w:p>
      <w:pPr>
        <w:pStyle w:val="Heading3"/>
      </w:pPr>
      <w:r>
        <w:t>System Evolution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Period</w:t>
            </w:r>
          </w:p>
        </w:tc>
        <w:tc>
          <w:tcPr>
            <w:tcW w:type="dxa" w:w="2880"/>
          </w:tcPr>
          <w:p>
            <w:pPr/>
            <w:r>
              <w:rPr>
                <w:b/>
                <w:sz w:val="18"/>
              </w:rPr>
              <w:t>System Name</w:t>
            </w:r>
          </w:p>
        </w:tc>
        <w:tc>
          <w:tcPr>
            <w:tcW w:type="dxa" w:w="2880"/>
          </w:tcPr>
          <w:p>
            <w:pPr/>
            <w:r>
              <w:rPr>
                <w:b/>
                <w:sz w:val="18"/>
              </w:rPr>
              <w:t>Key Changes</w:t>
            </w:r>
          </w:p>
        </w:tc>
      </w:tr>
      <w:tr>
        <w:tc>
          <w:tcPr>
            <w:tcW w:type="dxa" w:w="2880"/>
          </w:tcPr>
          <w:p>
            <w:pPr/>
            <w:r>
              <w:rPr>
                <w:sz w:val="18"/>
              </w:rPr>
              <w:t>1971–1982</w:t>
            </w:r>
          </w:p>
        </w:tc>
        <w:tc>
          <w:tcPr>
            <w:tcW w:type="dxa" w:w="2880"/>
          </w:tcPr>
          <w:p>
            <w:pPr/>
            <w:r>
              <w:rPr>
                <w:sz w:val="18"/>
              </w:rPr>
              <w:t>NASDAQ Automated Quotation System</w:t>
            </w:r>
          </w:p>
        </w:tc>
        <w:tc>
          <w:tcPr>
            <w:tcW w:type="dxa" w:w="2880"/>
          </w:tcPr>
          <w:p>
            <w:pPr/>
            <w:r>
              <w:rPr>
                <w:sz w:val="18"/>
              </w:rPr>
              <w:t>Quote-only system with no execution capability; CRT terminals displaying bid/ask quotes from market makers</w:t>
            </w:r>
          </w:p>
        </w:tc>
      </w:tr>
      <w:tr>
        <w:tc>
          <w:tcPr>
            <w:tcW w:type="dxa" w:w="2880"/>
          </w:tcPr>
          <w:p>
            <w:pPr/>
            <w:r>
              <w:rPr>
                <w:sz w:val="18"/>
              </w:rPr>
              <w:t>1982–1990s</w:t>
            </w:r>
          </w:p>
        </w:tc>
        <w:tc>
          <w:tcPr>
            <w:tcW w:type="dxa" w:w="2880"/>
          </w:tcPr>
          <w:p>
            <w:pPr/>
            <w:r>
              <w:rPr>
                <w:sz w:val="18"/>
              </w:rPr>
              <w:t>SOES (Small Order Execution System)</w:t>
            </w:r>
          </w:p>
        </w:tc>
        <w:tc>
          <w:tcPr>
            <w:tcW w:type="dxa" w:w="2880"/>
          </w:tcPr>
          <w:p>
            <w:pPr/>
            <w:r>
              <w:rPr>
                <w:sz w:val="18"/>
              </w:rPr>
              <w:t>First electronic execution on NASDAQ; mandatory for market makers; small orders only</w:t>
            </w:r>
          </w:p>
        </w:tc>
      </w:tr>
      <w:tr>
        <w:tc>
          <w:tcPr>
            <w:tcW w:type="dxa" w:w="2880"/>
          </w:tcPr>
          <w:p>
            <w:pPr/>
            <w:r>
              <w:rPr>
                <w:sz w:val="18"/>
              </w:rPr>
              <w:t>1997–2002</w:t>
            </w:r>
          </w:p>
        </w:tc>
        <w:tc>
          <w:tcPr>
            <w:tcW w:type="dxa" w:w="2880"/>
          </w:tcPr>
          <w:p>
            <w:pPr/>
            <w:r>
              <w:rPr>
                <w:sz w:val="18"/>
              </w:rPr>
              <w:t>Island ECN / Instinet ECN</w:t>
            </w:r>
          </w:p>
        </w:tc>
        <w:tc>
          <w:tcPr>
            <w:tcW w:type="dxa" w:w="2880"/>
          </w:tcPr>
          <w:p>
            <w:pPr/>
            <w:r>
              <w:rPr>
                <w:sz w:val="18"/>
              </w:rPr>
              <w:t>Island ECN launched (1996) as one of the first fully electronic ECNs; merged with Instinet in 2002 to form Inet ECN; sub-second matching; pioneered displayed limit order book</w:t>
            </w:r>
          </w:p>
        </w:tc>
      </w:tr>
      <w:tr>
        <w:tc>
          <w:tcPr>
            <w:tcW w:type="dxa" w:w="2880"/>
          </w:tcPr>
          <w:p>
            <w:pPr/>
            <w:r>
              <w:rPr>
                <w:sz w:val="18"/>
              </w:rPr>
              <w:t>2002–2006</w:t>
            </w:r>
          </w:p>
        </w:tc>
        <w:tc>
          <w:tcPr>
            <w:tcW w:type="dxa" w:w="2880"/>
          </w:tcPr>
          <w:p>
            <w:pPr/>
            <w:r>
              <w:rPr>
                <w:sz w:val="18"/>
              </w:rPr>
              <w:t>SuperMontage</w:t>
            </w:r>
          </w:p>
        </w:tc>
        <w:tc>
          <w:tcPr>
            <w:tcW w:type="dxa" w:w="2880"/>
          </w:tcPr>
          <w:p>
            <w:pPr/>
            <w:r>
              <w:rPr>
                <w:sz w:val="18"/>
              </w:rPr>
              <w:t>NASDAQ's integrated limit order book merging market maker quotes with public limit orders; cost $107 million to develop; replaced by INET after acquisition</w:t>
            </w:r>
          </w:p>
        </w:tc>
      </w:tr>
      <w:tr>
        <w:tc>
          <w:tcPr>
            <w:tcW w:type="dxa" w:w="2880"/>
          </w:tcPr>
          <w:p>
            <w:pPr/>
            <w:r>
              <w:rPr>
                <w:sz w:val="18"/>
              </w:rPr>
              <w:t>2005–2006</w:t>
            </w:r>
          </w:p>
        </w:tc>
        <w:tc>
          <w:tcPr>
            <w:tcW w:type="dxa" w:w="2880"/>
          </w:tcPr>
          <w:p>
            <w:pPr/>
            <w:r>
              <w:rPr>
                <w:sz w:val="18"/>
              </w:rPr>
              <w:t>INET Adoption</w:t>
            </w:r>
          </w:p>
        </w:tc>
        <w:tc>
          <w:tcPr>
            <w:tcW w:type="dxa" w:w="2880"/>
          </w:tcPr>
          <w:p>
            <w:pPr/>
            <w:r>
              <w:rPr>
                <w:sz w:val="18"/>
              </w:rPr>
              <w:t>NASDAQ acquired Instinet for $1.88 billion (completed December 2005); retained Inet ECN matching engine; migrated all Nasdaq trading from SuperMontage to INET platform (completed 2006); SuperMontage retired</w:t>
            </w:r>
          </w:p>
        </w:tc>
      </w:tr>
      <w:tr>
        <w:tc>
          <w:tcPr>
            <w:tcW w:type="dxa" w:w="2880"/>
          </w:tcPr>
          <w:p>
            <w:pPr/>
            <w:r>
              <w:rPr>
                <w:sz w:val="18"/>
              </w:rPr>
              <w:t>2007–2010</w:t>
            </w:r>
          </w:p>
        </w:tc>
        <w:tc>
          <w:tcPr>
            <w:tcW w:type="dxa" w:w="2880"/>
          </w:tcPr>
          <w:p>
            <w:pPr/>
            <w:r>
              <w:rPr>
                <w:sz w:val="18"/>
              </w:rPr>
              <w:t>INET + OMX Technology Merger</w:t>
            </w:r>
          </w:p>
        </w:tc>
        <w:tc>
          <w:tcPr>
            <w:tcW w:type="dxa" w:w="2880"/>
          </w:tcPr>
          <w:p>
            <w:pPr/>
            <w:r>
              <w:rPr>
                <w:sz w:val="18"/>
              </w:rPr>
              <w:t>NASDAQ acquired OMX Group (2007), gaining access to Genium trading platform (Swedish origin); combined with INET to create **Genium INET** for global licensing; also developed **X-Stream INET** variant (Australian development)</w:t>
            </w:r>
          </w:p>
        </w:tc>
      </w:tr>
      <w:tr>
        <w:tc>
          <w:tcPr>
            <w:tcW w:type="dxa" w:w="2880"/>
          </w:tcPr>
          <w:p>
            <w:pPr/>
            <w:r>
              <w:rPr>
                <w:sz w:val="18"/>
              </w:rPr>
              <w:t>2010–2016</w:t>
            </w:r>
          </w:p>
        </w:tc>
        <w:tc>
          <w:tcPr>
            <w:tcW w:type="dxa" w:w="2880"/>
          </w:tcPr>
          <w:p>
            <w:pPr/>
            <w:r>
              <w:rPr>
                <w:sz w:val="18"/>
              </w:rPr>
              <w:t>Genium INET / X-Stream INET</w:t>
            </w:r>
          </w:p>
        </w:tc>
        <w:tc>
          <w:tcPr>
            <w:tcW w:type="dxa" w:w="2880"/>
          </w:tcPr>
          <w:p>
            <w:pPr/>
            <w:r>
              <w:rPr>
                <w:sz w:val="18"/>
              </w:rPr>
              <w:t>Two parallel product lines: Genium INET (complex multi-asset markets; deployed at SGX, HKEX, BrokerTec, Nasdaq Nordic) and X-Stream INET (high-performance single-asset focus; deployed at SIX Swiss Exchange achieving &lt;40 μs matching). Matching latency improved from milliseconds to sub-100 microseconds</w:t>
            </w:r>
          </w:p>
        </w:tc>
      </w:tr>
      <w:tr>
        <w:tc>
          <w:tcPr>
            <w:tcW w:type="dxa" w:w="2880"/>
          </w:tcPr>
          <w:p>
            <w:pPr/>
            <w:r>
              <w:rPr>
                <w:sz w:val="18"/>
              </w:rPr>
              <w:t>2016–2018</w:t>
            </w:r>
          </w:p>
        </w:tc>
        <w:tc>
          <w:tcPr>
            <w:tcW w:type="dxa" w:w="2880"/>
          </w:tcPr>
          <w:p>
            <w:pPr/>
            <w:r>
              <w:rPr>
                <w:sz w:val="18"/>
              </w:rPr>
              <w:t>Nasdaq Financial Framework (NFF)</w:t>
            </w:r>
          </w:p>
        </w:tc>
        <w:tc>
          <w:tcPr>
            <w:tcW w:type="dxa" w:w="2880"/>
          </w:tcPr>
          <w:p>
            <w:pPr/>
            <w:r>
              <w:rPr>
                <w:sz w:val="18"/>
              </w:rPr>
              <w:t>Modular platform architecture introduced; single operational core powering multiple business applications; microservices model adopted; cloud deployment capabilities added</w:t>
            </w:r>
          </w:p>
        </w:tc>
      </w:tr>
      <w:tr>
        <w:tc>
          <w:tcPr>
            <w:tcW w:type="dxa" w:w="2880"/>
          </w:tcPr>
          <w:p>
            <w:pPr/>
            <w:r>
              <w:rPr>
                <w:sz w:val="18"/>
              </w:rPr>
              <w:t>2018–2024</w:t>
            </w:r>
          </w:p>
        </w:tc>
        <w:tc>
          <w:tcPr>
            <w:tcW w:type="dxa" w:w="2880"/>
          </w:tcPr>
          <w:p>
            <w:pPr/>
            <w:r>
              <w:rPr>
                <w:sz w:val="18"/>
              </w:rPr>
              <w:t>NFF Maturation</w:t>
            </w:r>
          </w:p>
        </w:tc>
        <w:tc>
          <w:tcPr>
            <w:tcW w:type="dxa" w:w="2880"/>
          </w:tcPr>
          <w:p>
            <w:pPr/>
            <w:r>
              <w:rPr>
                <w:sz w:val="18"/>
              </w:rPr>
              <w:t>Extended NFF to banks and brokers; continuous engine optimization achieving sub-40 μs door-to-door latency; FPGA acceleration introduced for market data processing; 10G/40G connectivity rollout</w:t>
            </w:r>
          </w:p>
        </w:tc>
      </w:tr>
      <w:tr>
        <w:tc>
          <w:tcPr>
            <w:tcW w:type="dxa" w:w="2880"/>
          </w:tcPr>
          <w:p>
            <w:pPr/>
            <w:r>
              <w:rPr>
                <w:sz w:val="18"/>
              </w:rPr>
              <w:t>2024–Present</w:t>
            </w:r>
          </w:p>
        </w:tc>
        <w:tc>
          <w:tcPr>
            <w:tcW w:type="dxa" w:w="2880"/>
          </w:tcPr>
          <w:p>
            <w:pPr/>
            <w:r>
              <w:rPr>
                <w:sz w:val="18"/>
              </w:rPr>
              <w:t>**Nasdaq Eqlipse** (4th Generation)</w:t>
            </w:r>
          </w:p>
        </w:tc>
        <w:tc>
          <w:tcPr>
            <w:tcW w:type="dxa" w:w="2880"/>
          </w:tcPr>
          <w:p>
            <w:pPr/>
            <w:r>
              <w:rPr>
                <w:sz w:val="18"/>
              </w:rPr>
              <w:t>Unified suite spanning trading, clearing, CSD, and data intelligence; microservice architecture on cloud-ready platform; "evergreen" quarterly upgrade model replacing multi-year release cycles; AWS partnership for hybrid cloud deployment; Nasdaq Eqlipse Intelligence (cloud-based analytics/AI); deployed to Johannesburg Stock Exchange, Grupo BMV (Mexico), Nasdaq Nordic; Osaka Exchange (OSE) selected Eqlipse for next-gen derivatives platform (announced Feb 2026)</w:t>
            </w:r>
          </w:p>
        </w:tc>
      </w:tr>
    </w:tbl>
    <w:p/>
    <w:p>
      <w:r>
        <w:t>────────────────────────────────────────────────────────────</w:t>
      </w:r>
    </w:p>
    <w:p>
      <w:pPr>
        <w:pStyle w:val="Heading2"/>
      </w:pPr>
      <w:r>
        <w:t>2. Architecture</w:t>
      </w:r>
    </w:p>
    <w:p>
      <w:pPr>
        <w:pStyle w:val="Heading3"/>
      </w:pPr>
      <w:r>
        <w:t>2.1 High-Level Design</w:t>
      </w:r>
    </w:p>
    <w:p>
      <w:r>
        <w:t>NASDAQ INET follows a single-threaded, event-driven architecture for its matching engine core, ensuring deterministic order processing with strict sequencing. The broader Eqlipse platform wraps this core in a modern microservices framework.</w:t>
      </w:r>
    </w:p>
    <w:p>
      <w:r>
        <w:t>Design Principles:</w:t>
      </w:r>
    </w:p>
    <w:p>
      <w:pPr>
        <w:pStyle w:val="ListBullet"/>
      </w:pPr>
      <w:r>
        <w:t>Pure electronic matching — no human intervention (no specialists/DMMs, unlike NYSE)</w:t>
      </w:r>
    </w:p>
    <w:p>
      <w:pPr>
        <w:pStyle w:val="ListBullet"/>
      </w:pPr>
      <w:r>
        <w:t>Strict price-time priority — orders matched first by price, then by time of entry at the same price level</w:t>
      </w:r>
    </w:p>
    <w:p>
      <w:pPr>
        <w:pStyle w:val="ListBullet"/>
      </w:pPr>
      <w:r>
        <w:t>Single-threaded matching — one thread processes all orders for a given symbol, eliminating lock contention and ensuring deterministic behavior</w:t>
      </w:r>
    </w:p>
    <w:p>
      <w:pPr>
        <w:pStyle w:val="ListBullet"/>
      </w:pPr>
      <w:r>
        <w:t>Kernel bypass networking — user-space networking stack bypasses the Linux kernel to eliminate context-switching overhead</w:t>
      </w:r>
    </w:p>
    <w:p>
      <w:pPr>
        <w:pStyle w:val="ListBullet"/>
      </w:pPr>
      <w:r>
        <w:t>Hardware acceleration — FPGA cards handle critical feed processing and parsing operations</w:t>
      </w:r>
    </w:p>
    <w:p>
      <w:pPr>
        <w:pStyle w:val="ListBullet"/>
      </w:pPr>
      <w:r>
        <w:t>Immutable sequencing — every event receives a monotonically increasing sequence number, enabling reliable replay and recovery</w:t>
      </w:r>
    </w:p>
    <w:p>
      <w:r>
        <w:t>Data Flow (simplified):</w:t>
      </w:r>
    </w:p>
    <w:p>
      <w:pPr>
        <w:pStyle w:val="ListNumber"/>
      </w:pPr>
      <w:r>
        <w:t>Order arrives via gateway (OUCH/FIX/RASH/FLITE) over SoupBinTCP</w:t>
      </w:r>
    </w:p>
    <w:p>
      <w:pPr>
        <w:pStyle w:val="ListNumber"/>
      </w:pPr>
      <w:r>
        <w:t>Risk/validation checks applied (price reasonability, credit limits, fat-finger guards)</w:t>
      </w:r>
    </w:p>
    <w:p>
      <w:pPr>
        <w:pStyle w:val="ListNumber"/>
      </w:pPr>
      <w:r>
        <w:t>Order dispatched to symbol-specific matching thread</w:t>
      </w:r>
    </w:p>
    <w:p>
      <w:pPr>
        <w:pStyle w:val="ListNumber"/>
      </w:pPr>
      <w:r>
        <w:t>Matching engine executes price-time priority algorithm</w:t>
      </w:r>
    </w:p>
    <w:p>
      <w:pPr>
        <w:pStyle w:val="ListNumber"/>
      </w:pPr>
      <w:r>
        <w:t>Execution reports returned to participant via same protocol</w:t>
      </w:r>
    </w:p>
    <w:p>
      <w:pPr>
        <w:pStyle w:val="ListNumber"/>
      </w:pPr>
      <w:r>
        <w:t>Market data update published via ITCH over MoldUDP64 (multicast) and SoupBinTCP (unicast)</w:t>
      </w:r>
    </w:p>
    <w:p>
      <w:pPr>
        <w:pStyle w:val="Heading3"/>
      </w:pPr>
      <w:r>
        <w:t>2.2 Core Components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Component</w:t>
            </w:r>
          </w:p>
        </w:tc>
        <w:tc>
          <w:tcPr>
            <w:tcW w:type="dxa" w:w="2880"/>
          </w:tcPr>
          <w:p>
            <w:pPr/>
            <w:r>
              <w:rPr>
                <w:b/>
                <w:sz w:val="18"/>
              </w:rPr>
              <w:t>Function</w:t>
            </w:r>
          </w:p>
        </w:tc>
        <w:tc>
          <w:tcPr>
            <w:tcW w:type="dxa" w:w="2880"/>
          </w:tcPr>
          <w:p>
            <w:pPr/>
            <w:r>
              <w:rPr>
                <w:b/>
                <w:sz w:val="18"/>
              </w:rPr>
              <w:t>Technology</w:t>
            </w:r>
          </w:p>
        </w:tc>
      </w:tr>
      <w:tr>
        <w:tc>
          <w:tcPr>
            <w:tcW w:type="dxa" w:w="2880"/>
          </w:tcPr>
          <w:p>
            <w:pPr/>
            <w:r>
              <w:rPr>
                <w:sz w:val="18"/>
              </w:rPr>
              <w:t>**INET Matching Engine**</w:t>
            </w:r>
          </w:p>
        </w:tc>
        <w:tc>
          <w:tcPr>
            <w:tcW w:type="dxa" w:w="2880"/>
          </w:tcPr>
          <w:p>
            <w:pPr/>
            <w:r>
              <w:rPr>
                <w:sz w:val="18"/>
              </w:rPr>
              <w:t>Core order matching using price-time priority algorithm; processes new orders, cancels, modifications; handles auctions (Opening/Closing/Halt Cross)</w:t>
            </w:r>
          </w:p>
        </w:tc>
        <w:tc>
          <w:tcPr>
            <w:tcW w:type="dxa" w:w="2880"/>
          </w:tcPr>
          <w:p>
            <w:pPr/>
            <w:r>
              <w:rPr>
                <w:sz w:val="18"/>
              </w:rPr>
              <w:t>Custom C/C++ engine; single-threaded per symbol; kernel-bypass networking; runs on commodity Linux servers</w:t>
            </w:r>
          </w:p>
        </w:tc>
      </w:tr>
      <w:tr>
        <w:tc>
          <w:tcPr>
            <w:tcW w:type="dxa" w:w="2880"/>
          </w:tcPr>
          <w:p>
            <w:pPr/>
            <w:r>
              <w:rPr>
                <w:sz w:val="18"/>
              </w:rPr>
              <w:t>**Order Gateway**</w:t>
            </w:r>
          </w:p>
        </w:tc>
        <w:tc>
          <w:tcPr>
            <w:tcW w:type="dxa" w:w="2880"/>
          </w:tcPr>
          <w:p>
            <w:pPr/>
            <w:r>
              <w:rPr>
                <w:sz w:val="18"/>
              </w:rPr>
              <w:t>Accepts and validates inbound orders from participants; protocol translation (FIX → internal format); session management and authentication</w:t>
            </w:r>
          </w:p>
        </w:tc>
        <w:tc>
          <w:tcPr>
            <w:tcW w:type="dxa" w:w="2880"/>
          </w:tcPr>
          <w:p>
            <w:pPr/>
            <w:r>
              <w:rPr>
                <w:sz w:val="18"/>
              </w:rPr>
              <w:t>Supports OUCH 4.2 (native binary), FIX 4.0/4.1/4.2 (industry standard), RASH (proprietary with routing strategies), FLITE (FIX Lite — FIX subset with OUCH-like speed)</w:t>
            </w:r>
          </w:p>
        </w:tc>
      </w:tr>
      <w:tr>
        <w:tc>
          <w:tcPr>
            <w:tcW w:type="dxa" w:w="2880"/>
          </w:tcPr>
          <w:p>
            <w:pPr/>
            <w:r>
              <w:rPr>
                <w:sz w:val="18"/>
              </w:rPr>
              <w:t>**Market Data Engine**</w:t>
            </w:r>
          </w:p>
        </w:tc>
        <w:tc>
          <w:tcPr>
            <w:tcW w:type="dxa" w:w="2880"/>
          </w:tcPr>
          <w:p>
            <w:pPr/>
            <w:r>
              <w:rPr>
                <w:sz w:val="18"/>
              </w:rPr>
              <w:t>Generates and disseminates real-time market data from matching engine events; full depth-of-book (TotalView) and BBO (Nasdaq Basic)</w:t>
            </w:r>
          </w:p>
        </w:tc>
        <w:tc>
          <w:tcPr>
            <w:tcW w:type="dxa" w:w="2880"/>
          </w:tcPr>
          <w:p>
            <w:pPr/>
            <w:r>
              <w:rPr>
                <w:sz w:val="18"/>
              </w:rPr>
              <w:t>ITCH 5.0 protocol; FPGA-accelerated feed generation; MoldUDP64 multicast delivery; SoupBinTCP unicast option</w:t>
            </w:r>
          </w:p>
        </w:tc>
      </w:tr>
      <w:tr>
        <w:tc>
          <w:tcPr>
            <w:tcW w:type="dxa" w:w="2880"/>
          </w:tcPr>
          <w:p>
            <w:pPr/>
            <w:r>
              <w:rPr>
                <w:sz w:val="18"/>
              </w:rPr>
              <w:t>**FPGA Feed Handler**</w:t>
            </w:r>
          </w:p>
        </w:tc>
        <w:tc>
          <w:tcPr>
            <w:tcW w:type="dxa" w:w="2880"/>
          </w:tcPr>
          <w:p>
            <w:pPr/>
            <w:r>
              <w:rPr>
                <w:sz w:val="18"/>
              </w:rPr>
              <w:t>Hardware-accelerated parsing and generation of market data messages; provides lowest-latency data path</w:t>
            </w:r>
          </w:p>
        </w:tc>
        <w:tc>
          <w:tcPr>
            <w:tcW w:type="dxa" w:w="2880"/>
          </w:tcPr>
          <w:p>
            <w:pPr/>
            <w:r>
              <w:rPr>
                <w:sz w:val="18"/>
              </w:rPr>
              <w:t>Custom FPGA cards; available via 10G and 40G connections at colocation facility</w:t>
            </w:r>
          </w:p>
        </w:tc>
      </w:tr>
      <w:tr>
        <w:tc>
          <w:tcPr>
            <w:tcW w:type="dxa" w:w="2880"/>
          </w:tcPr>
          <w:p>
            <w:pPr/>
            <w:r>
              <w:rPr>
                <w:sz w:val="18"/>
              </w:rPr>
              <w:t>**Auction Engine**</w:t>
            </w:r>
          </w:p>
        </w:tc>
        <w:tc>
          <w:tcPr>
            <w:tcW w:type="dxa" w:w="2880"/>
          </w:tcPr>
          <w:p>
            <w:pPr/>
            <w:r>
              <w:rPr>
                <w:sz w:val="18"/>
              </w:rPr>
              <w:t>Manages Opening Cross, Closing Cross, IPO Cross, and Halt Cross price discovery processes</w:t>
            </w:r>
          </w:p>
        </w:tc>
        <w:tc>
          <w:tcPr>
            <w:tcW w:type="dxa" w:w="2880"/>
          </w:tcPr>
          <w:p>
            <w:pPr/>
            <w:r>
              <w:rPr>
                <w:sz w:val="18"/>
              </w:rPr>
              <w:t>Integrated with matching engine; disseminates NOII (Net Order Imbalance Indicator) pre-auction</w:t>
            </w:r>
          </w:p>
        </w:tc>
      </w:tr>
      <w:tr>
        <w:tc>
          <w:tcPr>
            <w:tcW w:type="dxa" w:w="2880"/>
          </w:tcPr>
          <w:p>
            <w:pPr/>
            <w:r>
              <w:rPr>
                <w:sz w:val="18"/>
              </w:rPr>
              <w:t>**Risk Management Gateway**</w:t>
            </w:r>
          </w:p>
        </w:tc>
        <w:tc>
          <w:tcPr>
            <w:tcW w:type="dxa" w:w="2880"/>
          </w:tcPr>
          <w:p>
            <w:pPr/>
            <w:r>
              <w:rPr>
                <w:sz w:val="18"/>
              </w:rPr>
              <w:t>Pre-trade risk controls including max order value, accumulated value checks, credit exposure monitoring, kill switch</w:t>
            </w:r>
          </w:p>
        </w:tc>
        <w:tc>
          <w:tcPr>
            <w:tcW w:type="dxa" w:w="2880"/>
          </w:tcPr>
          <w:p>
            <w:pPr/>
            <w:r>
              <w:rPr>
                <w:sz w:val="18"/>
              </w:rPr>
              <w:t>Real-time processing; configurable per participant; automatic order cancellation on threshold breach</w:t>
            </w:r>
          </w:p>
        </w:tc>
      </w:tr>
      <w:tr>
        <w:tc>
          <w:tcPr>
            <w:tcW w:type="dxa" w:w="2880"/>
          </w:tcPr>
          <w:p>
            <w:pPr/>
            <w:r>
              <w:rPr>
                <w:sz w:val="18"/>
              </w:rPr>
              <w:t>**Drop Copy Server**</w:t>
            </w:r>
          </w:p>
        </w:tc>
        <w:tc>
          <w:tcPr>
            <w:tcW w:type="dxa" w:w="2880"/>
          </w:tcPr>
          <w:p>
            <w:pPr/>
            <w:r>
              <w:rPr>
                <w:sz w:val="18"/>
              </w:rPr>
              <w:t>Provides real-time execution copies to participants for compliance and reconciliation</w:t>
            </w:r>
          </w:p>
        </w:tc>
        <w:tc>
          <w:tcPr>
            <w:tcW w:type="dxa" w:w="2880"/>
          </w:tcPr>
          <w:p>
            <w:pPr/>
            <w:r>
              <w:rPr>
                <w:sz w:val="18"/>
              </w:rPr>
              <w:t>FIX DROP protocol; configurable filtering by MMID, INET port, SenderSubID</w:t>
            </w:r>
          </w:p>
        </w:tc>
      </w:tr>
      <w:tr>
        <w:tc>
          <w:tcPr>
            <w:tcW w:type="dxa" w:w="2880"/>
          </w:tcPr>
          <w:p>
            <w:pPr/>
            <w:r>
              <w:rPr>
                <w:sz w:val="18"/>
              </w:rPr>
              <w:t>**Session/Transport Layer**</w:t>
            </w:r>
          </w:p>
        </w:tc>
        <w:tc>
          <w:tcPr>
            <w:tcW w:type="dxa" w:w="2880"/>
          </w:tcPr>
          <w:p>
            <w:pPr/>
            <w:r>
              <w:rPr>
                <w:sz w:val="18"/>
              </w:rPr>
              <w:t>Manages TCP connections, framing, sequencing, heartbeats, authentication, and message recovery</w:t>
            </w:r>
          </w:p>
        </w:tc>
        <w:tc>
          <w:tcPr>
            <w:tcW w:type="dxa" w:w="2880"/>
          </w:tcPr>
          <w:p>
            <w:pPr/>
            <w:r>
              <w:rPr>
                <w:sz w:val="18"/>
              </w:rPr>
              <w:t>SoupBinTCP 3.0/4.0 (point-to-point); MoldUDP64 (multicast); provides gap detection and replay</w:t>
            </w:r>
          </w:p>
        </w:tc>
      </w:tr>
      <w:tr>
        <w:tc>
          <w:tcPr>
            <w:tcW w:type="dxa" w:w="2880"/>
          </w:tcPr>
          <w:p>
            <w:pPr/>
            <w:r>
              <w:rPr>
                <w:sz w:val="18"/>
              </w:rPr>
              <w:t>**Reference Data Server**</w:t>
            </w:r>
          </w:p>
        </w:tc>
        <w:tc>
          <w:tcPr>
            <w:tcW w:type="dxa" w:w="2880"/>
          </w:tcPr>
          <w:p>
            <w:pPr/>
            <w:r>
              <w:rPr>
                <w:sz w:val="18"/>
              </w:rPr>
              <w:t>Distributes security master data, trading schedules, and system event notifications</w:t>
            </w:r>
          </w:p>
        </w:tc>
        <w:tc>
          <w:tcPr>
            <w:tcW w:type="dxa" w:w="2880"/>
          </w:tcPr>
          <w:p>
            <w:pPr/>
            <w:r>
              <w:rPr>
                <w:sz w:val="18"/>
              </w:rPr>
              <w:t>ITCH System Event and Stock Directory messages; distributed daily before market open</w:t>
            </w:r>
          </w:p>
        </w:tc>
      </w:tr>
      <w:tr>
        <w:tc>
          <w:tcPr>
            <w:tcW w:type="dxa" w:w="2880"/>
          </w:tcPr>
          <w:p>
            <w:pPr/>
            <w:r>
              <w:rPr>
                <w:sz w:val="18"/>
              </w:rPr>
              <w:t>**Surveillance Interface**</w:t>
            </w:r>
          </w:p>
        </w:tc>
        <w:tc>
          <w:tcPr>
            <w:tcW w:type="dxa" w:w="2880"/>
          </w:tcPr>
          <w:p>
            <w:pPr/>
            <w:r>
              <w:rPr>
                <w:sz w:val="18"/>
              </w:rPr>
              <w:t>Real-time feed of all order and trade activity to Nasdaq MarketWatch surveillance systems</w:t>
            </w:r>
          </w:p>
        </w:tc>
        <w:tc>
          <w:tcPr>
            <w:tcW w:type="dxa" w:w="2880"/>
          </w:tcPr>
          <w:p>
            <w:pPr/>
            <w:r>
              <w:rPr>
                <w:sz w:val="18"/>
              </w:rPr>
              <w:t>Feeds into Nasdaq's SMARTS surveillance technology</w:t>
            </w:r>
          </w:p>
        </w:tc>
      </w:tr>
    </w:tbl>
    <w:p/>
    <w:p>
      <w:pPr>
        <w:pStyle w:val="Heading3"/>
      </w:pPr>
      <w:r>
        <w:t>2.3 Technology Stack</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Layer</w:t>
            </w:r>
          </w:p>
        </w:tc>
        <w:tc>
          <w:tcPr>
            <w:tcW w:type="dxa" w:w="4320"/>
          </w:tcPr>
          <w:p>
            <w:pPr/>
            <w:r>
              <w:rPr>
                <w:b/>
                <w:sz w:val="18"/>
              </w:rPr>
              <w:t>Technology</w:t>
            </w:r>
          </w:p>
        </w:tc>
      </w:tr>
      <w:tr>
        <w:tc>
          <w:tcPr>
            <w:tcW w:type="dxa" w:w="4320"/>
          </w:tcPr>
          <w:p>
            <w:pPr/>
            <w:r>
              <w:rPr>
                <w:sz w:val="18"/>
              </w:rPr>
              <w:t>**Programming Language**</w:t>
            </w:r>
          </w:p>
        </w:tc>
        <w:tc>
          <w:tcPr>
            <w:tcW w:type="dxa" w:w="4320"/>
          </w:tcPr>
          <w:p>
            <w:pPr/>
            <w:r>
              <w:rPr>
                <w:sz w:val="18"/>
              </w:rPr>
              <w:t>C/C++ (matching engine core, gateway, and critical path components)</w:t>
            </w:r>
          </w:p>
        </w:tc>
      </w:tr>
      <w:tr>
        <w:tc>
          <w:tcPr>
            <w:tcW w:type="dxa" w:w="4320"/>
          </w:tcPr>
          <w:p>
            <w:pPr/>
            <w:r>
              <w:rPr>
                <w:sz w:val="18"/>
              </w:rPr>
              <w:t>**Operating System**</w:t>
            </w:r>
          </w:p>
        </w:tc>
        <w:tc>
          <w:tcPr>
            <w:tcW w:type="dxa" w:w="4320"/>
          </w:tcPr>
          <w:p>
            <w:pPr/>
            <w:r>
              <w:rPr>
                <w:sz w:val="18"/>
              </w:rPr>
              <w:t>Linux (commodity servers; kernel tuned for low-latency: CPU isolation, NUMA-aware allocation, interrupt affinity, tickless kernel)</w:t>
            </w:r>
          </w:p>
        </w:tc>
      </w:tr>
      <w:tr>
        <w:tc>
          <w:tcPr>
            <w:tcW w:type="dxa" w:w="4320"/>
          </w:tcPr>
          <w:p>
            <w:pPr/>
            <w:r>
              <w:rPr>
                <w:sz w:val="18"/>
              </w:rPr>
              <w:t>**Networking**</w:t>
            </w:r>
          </w:p>
        </w:tc>
        <w:tc>
          <w:tcPr>
            <w:tcW w:type="dxa" w:w="4320"/>
          </w:tcPr>
          <w:p>
            <w:pPr/>
            <w:r>
              <w:rPr>
                <w:sz w:val="18"/>
              </w:rPr>
              <w:t>Kernel-bypass (user-space TCP/UDP stack); Solarflare/Xilinx OpenOnload or equivalent; eliminates OS kernel networking overhead</w:t>
            </w:r>
          </w:p>
        </w:tc>
      </w:tr>
      <w:tr>
        <w:tc>
          <w:tcPr>
            <w:tcW w:type="dxa" w:w="4320"/>
          </w:tcPr>
          <w:p>
            <w:pPr/>
            <w:r>
              <w:rPr>
                <w:sz w:val="18"/>
              </w:rPr>
              <w:t>**Hardware Acceleration**</w:t>
            </w:r>
          </w:p>
        </w:tc>
        <w:tc>
          <w:tcPr>
            <w:tcW w:type="dxa" w:w="4320"/>
          </w:tcPr>
          <w:p>
            <w:pPr/>
            <w:r>
              <w:rPr>
                <w:sz w:val="18"/>
              </w:rPr>
              <w:t>FPGA cards for market data feed processing and parsing; sub-microsecond message parsing</w:t>
            </w:r>
          </w:p>
        </w:tc>
      </w:tr>
      <w:tr>
        <w:tc>
          <w:tcPr>
            <w:tcW w:type="dxa" w:w="4320"/>
          </w:tcPr>
          <w:p>
            <w:pPr/>
            <w:r>
              <w:rPr>
                <w:sz w:val="18"/>
              </w:rPr>
              <w:t>**Network Hardware**</w:t>
            </w:r>
          </w:p>
        </w:tc>
        <w:tc>
          <w:tcPr>
            <w:tcW w:type="dxa" w:w="4320"/>
          </w:tcPr>
          <w:p>
            <w:pPr/>
            <w:r>
              <w:rPr>
                <w:sz w:val="18"/>
              </w:rPr>
              <w:t>10 Gbps and 40 Gbps Ethernet connections; 40G Express Connect with &lt;35 ns switching latency; custom low-latency switches</w:t>
            </w:r>
          </w:p>
        </w:tc>
      </w:tr>
      <w:tr>
        <w:tc>
          <w:tcPr>
            <w:tcW w:type="dxa" w:w="4320"/>
          </w:tcPr>
          <w:p>
            <w:pPr/>
            <w:r>
              <w:rPr>
                <w:sz w:val="18"/>
              </w:rPr>
              <w:t>**Server Hardware**</w:t>
            </w:r>
          </w:p>
        </w:tc>
        <w:tc>
          <w:tcPr>
            <w:tcW w:type="dxa" w:w="4320"/>
          </w:tcPr>
          <w:p>
            <w:pPr/>
            <w:r>
              <w:rPr>
                <w:sz w:val="18"/>
              </w:rPr>
              <w:t>High-frequency Intel Xeon processors; commodity x86 servers; NUMA-optimized memory layout</w:t>
            </w:r>
          </w:p>
        </w:tc>
      </w:tr>
      <w:tr>
        <w:tc>
          <w:tcPr>
            <w:tcW w:type="dxa" w:w="4320"/>
          </w:tcPr>
          <w:p>
            <w:pPr/>
            <w:r>
              <w:rPr>
                <w:sz w:val="18"/>
              </w:rPr>
              <w:t>**Transport Protocols**</w:t>
            </w:r>
          </w:p>
        </w:tc>
        <w:tc>
          <w:tcPr>
            <w:tcW w:type="dxa" w:w="4320"/>
          </w:tcPr>
          <w:p>
            <w:pPr/>
            <w:r>
              <w:rPr>
                <w:sz w:val="18"/>
              </w:rPr>
              <w:t>SoupBinTCP 3.0/4.0 (reliable point-to-point), MoldUDP64 (unreliable multicast with retransmission capability)</w:t>
            </w:r>
          </w:p>
        </w:tc>
      </w:tr>
      <w:tr>
        <w:tc>
          <w:tcPr>
            <w:tcW w:type="dxa" w:w="4320"/>
          </w:tcPr>
          <w:p>
            <w:pPr/>
            <w:r>
              <w:rPr>
                <w:sz w:val="18"/>
              </w:rPr>
              <w:t>**Application Protocols**</w:t>
            </w:r>
          </w:p>
        </w:tc>
        <w:tc>
          <w:tcPr>
            <w:tcW w:type="dxa" w:w="4320"/>
          </w:tcPr>
          <w:p>
            <w:pPr/>
            <w:r>
              <w:rPr>
                <w:sz w:val="18"/>
              </w:rPr>
              <w:t>OUCH 4.2 (order entry), ITCH 5.0 (market data), FIX 4.0/4.1/4.2 (order entry), RASH (order entry with routing), FLITE (FIX Lite order entry)</w:t>
            </w:r>
          </w:p>
        </w:tc>
      </w:tr>
      <w:tr>
        <w:tc>
          <w:tcPr>
            <w:tcW w:type="dxa" w:w="4320"/>
          </w:tcPr>
          <w:p>
            <w:pPr/>
            <w:r>
              <w:rPr>
                <w:sz w:val="18"/>
              </w:rPr>
              <w:t>**Platform Architecture**</w:t>
            </w:r>
          </w:p>
        </w:tc>
        <w:tc>
          <w:tcPr>
            <w:tcW w:type="dxa" w:w="4320"/>
          </w:tcPr>
          <w:p>
            <w:pPr/>
            <w:r>
              <w:rPr>
                <w:sz w:val="18"/>
              </w:rPr>
              <w:t>Microservice-based (Eqlipse layer); containerized services; standardized API suite</w:t>
            </w:r>
          </w:p>
        </w:tc>
      </w:tr>
      <w:tr>
        <w:tc>
          <w:tcPr>
            <w:tcW w:type="dxa" w:w="4320"/>
          </w:tcPr>
          <w:p>
            <w:pPr/>
            <w:r>
              <w:rPr>
                <w:sz w:val="18"/>
              </w:rPr>
              <w:t>**Cloud Integration**</w:t>
            </w:r>
          </w:p>
        </w:tc>
        <w:tc>
          <w:tcPr>
            <w:tcW w:type="dxa" w:w="4320"/>
          </w:tcPr>
          <w:p>
            <w:pPr/>
            <w:r>
              <w:rPr>
                <w:sz w:val="18"/>
              </w:rPr>
              <w:t>AWS partnership; AWS Outposts at Carteret data center; hybrid cloud/on-premise deployment; Nasdaq Eqlipse Trading cloud platform (launched May 2025)</w:t>
            </w:r>
          </w:p>
        </w:tc>
      </w:tr>
      <w:tr>
        <w:tc>
          <w:tcPr>
            <w:tcW w:type="dxa" w:w="4320"/>
          </w:tcPr>
          <w:p>
            <w:pPr/>
            <w:r>
              <w:rPr>
                <w:sz w:val="18"/>
              </w:rPr>
              <w:t>**Data &amp; Analytics**</w:t>
            </w:r>
          </w:p>
        </w:tc>
        <w:tc>
          <w:tcPr>
            <w:tcW w:type="dxa" w:w="4320"/>
          </w:tcPr>
          <w:p>
            <w:pPr/>
            <w:r>
              <w:rPr>
                <w:sz w:val="18"/>
              </w:rPr>
              <w:t>Nasdaq Eqlipse Intelligence — cloud-based data lifecycle platform (ingestion, processing, refinement, analytics); AI/ML integration capabilities</w:t>
            </w:r>
          </w:p>
        </w:tc>
      </w:tr>
    </w:tbl>
    <w:p/>
    <w:p>
      <w:r>
        <w:t>────────────────────────────────────────────────────────────</w:t>
      </w:r>
    </w:p>
    <w:p>
      <w:pPr>
        <w:pStyle w:val="Heading2"/>
      </w:pPr>
      <w:r>
        <w:t>3. Performance Specifications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Metric</w:t>
            </w:r>
          </w:p>
        </w:tc>
        <w:tc>
          <w:tcPr>
            <w:tcW w:type="dxa" w:w="2880"/>
          </w:tcPr>
          <w:p>
            <w:pPr/>
            <w:r>
              <w:rPr>
                <w:b/>
                <w:sz w:val="18"/>
              </w:rPr>
              <w:t>Value</w:t>
            </w:r>
          </w:p>
        </w:tc>
        <w:tc>
          <w:tcPr>
            <w:tcW w:type="dxa" w:w="2880"/>
          </w:tcPr>
          <w:p>
            <w:pPr/>
            <w:r>
              <w:rPr>
                <w:b/>
                <w:sz w:val="18"/>
              </w:rPr>
              <w:t>Conditions</w:t>
            </w:r>
          </w:p>
        </w:tc>
      </w:tr>
      <w:tr>
        <w:tc>
          <w:tcPr>
            <w:tcW w:type="dxa" w:w="2880"/>
          </w:tcPr>
          <w:p>
            <w:pPr/>
            <w:r>
              <w:rPr>
                <w:sz w:val="18"/>
              </w:rPr>
              <w:t>**Matching Engine Latency**</w:t>
            </w:r>
          </w:p>
        </w:tc>
        <w:tc>
          <w:tcPr>
            <w:tcW w:type="dxa" w:w="2880"/>
          </w:tcPr>
          <w:p>
            <w:pPr/>
            <w:r>
              <w:rPr>
                <w:sz w:val="18"/>
              </w:rPr>
              <w:t>~570 nanoseconds [unverified]</w:t>
            </w:r>
          </w:p>
        </w:tc>
        <w:tc>
          <w:tcPr>
            <w:tcW w:type="dxa" w:w="2880"/>
          </w:tcPr>
          <w:p>
            <w:pPr/>
            <w:r>
              <w:rPr>
                <w:sz w:val="18"/>
              </w:rPr>
              <w:t>Internal matching engine processing time only; excludes network traversal</w:t>
            </w:r>
          </w:p>
        </w:tc>
      </w:tr>
      <w:tr>
        <w:tc>
          <w:tcPr>
            <w:tcW w:type="dxa" w:w="2880"/>
          </w:tcPr>
          <w:p>
            <w:pPr/>
            <w:r>
              <w:rPr>
                <w:sz w:val="18"/>
              </w:rPr>
              <w:t>**Market Data Latency**</w:t>
            </w:r>
          </w:p>
        </w:tc>
        <w:tc>
          <w:tcPr>
            <w:tcW w:type="dxa" w:w="2880"/>
          </w:tcPr>
          <w:p>
            <w:pPr/>
            <w:r>
              <w:rPr>
                <w:sz w:val="18"/>
              </w:rPr>
              <w:t>~3 microseconds</w:t>
            </w:r>
          </w:p>
        </w:tc>
        <w:tc>
          <w:tcPr>
            <w:tcW w:type="dxa" w:w="2880"/>
          </w:tcPr>
          <w:p>
            <w:pPr/>
            <w:r>
              <w:rPr>
                <w:sz w:val="18"/>
              </w:rPr>
              <w:t>Time from order acceptance to ITCH market data message delivery at customer port (collocated) [estimated]</w:t>
            </w:r>
          </w:p>
        </w:tc>
      </w:tr>
      <w:tr>
        <w:tc>
          <w:tcPr>
            <w:tcW w:type="dxa" w:w="2880"/>
          </w:tcPr>
          <w:p>
            <w:pPr/>
            <w:r>
              <w:rPr>
                <w:sz w:val="18"/>
              </w:rPr>
              <w:t>**Door-to-Door Latency**</w:t>
            </w:r>
          </w:p>
        </w:tc>
        <w:tc>
          <w:tcPr>
            <w:tcW w:type="dxa" w:w="2880"/>
          </w:tcPr>
          <w:p>
            <w:pPr/>
            <w:r>
              <w:rPr>
                <w:sz w:val="18"/>
              </w:rPr>
              <w:t>~14 microseconds</w:t>
            </w:r>
          </w:p>
        </w:tc>
        <w:tc>
          <w:tcPr>
            <w:tcW w:type="dxa" w:w="2880"/>
          </w:tcPr>
          <w:p>
            <w:pPr/>
            <w:r>
              <w:rPr>
                <w:sz w:val="18"/>
              </w:rPr>
              <w:t>Complete round-trip: order leaves customer port → through colocation network and firewalls → matching engine → acknowledgment back at customer port. Fastest production implementation</w:t>
            </w:r>
          </w:p>
        </w:tc>
      </w:tr>
      <w:tr>
        <w:tc>
          <w:tcPr>
            <w:tcW w:type="dxa" w:w="2880"/>
          </w:tcPr>
          <w:p>
            <w:pPr/>
            <w:r>
              <w:rPr>
                <w:sz w:val="18"/>
              </w:rPr>
              <w:t>**Typical Order Latency (OUCH)**</w:t>
            </w:r>
          </w:p>
        </w:tc>
        <w:tc>
          <w:tcPr>
            <w:tcW w:type="dxa" w:w="2880"/>
          </w:tcPr>
          <w:p>
            <w:pPr/>
            <w:r>
              <w:rPr>
                <w:sz w:val="18"/>
              </w:rPr>
              <w:t>~20 microseconds</w:t>
            </w:r>
          </w:p>
        </w:tc>
        <w:tc>
          <w:tcPr>
            <w:tcW w:type="dxa" w:w="2880"/>
          </w:tcPr>
          <w:p>
            <w:pPr/>
            <w:r>
              <w:rPr>
                <w:sz w:val="18"/>
              </w:rPr>
              <w:t>OUCH protocol round-trip for order acknowledgment in standard conditions</w:t>
            </w:r>
          </w:p>
        </w:tc>
      </w:tr>
      <w:tr>
        <w:tc>
          <w:tcPr>
            <w:tcW w:type="dxa" w:w="2880"/>
          </w:tcPr>
          <w:p>
            <w:pPr/>
            <w:r>
              <w:rPr>
                <w:sz w:val="18"/>
              </w:rPr>
              <w:t>**99th Percentile Latency**</w:t>
            </w:r>
          </w:p>
        </w:tc>
        <w:tc>
          <w:tcPr>
            <w:tcW w:type="dxa" w:w="2880"/>
          </w:tcPr>
          <w:p>
            <w:pPr/>
            <w:r>
              <w:rPr>
                <w:sz w:val="18"/>
              </w:rPr>
              <w:t>~78 microseconds</w:t>
            </w:r>
          </w:p>
        </w:tc>
        <w:tc>
          <w:tcPr>
            <w:tcW w:type="dxa" w:w="2880"/>
          </w:tcPr>
          <w:p>
            <w:pPr/>
            <w:r>
              <w:rPr>
                <w:sz w:val="18"/>
              </w:rPr>
              <w:t>Production environment during full trading day [estimated]</w:t>
            </w:r>
          </w:p>
        </w:tc>
      </w:tr>
      <w:tr>
        <w:tc>
          <w:tcPr>
            <w:tcW w:type="dxa" w:w="2880"/>
          </w:tcPr>
          <w:p>
            <w:pPr/>
            <w:r>
              <w:rPr>
                <w:sz w:val="18"/>
              </w:rPr>
              <w:t>**99.9th Percentile Latency**</w:t>
            </w:r>
          </w:p>
        </w:tc>
        <w:tc>
          <w:tcPr>
            <w:tcW w:type="dxa" w:w="2880"/>
          </w:tcPr>
          <w:p>
            <w:pPr/>
            <w:r>
              <w:rPr>
                <w:sz w:val="18"/>
              </w:rPr>
              <w:t>~150 microseconds</w:t>
            </w:r>
          </w:p>
        </w:tc>
        <w:tc>
          <w:tcPr>
            <w:tcW w:type="dxa" w:w="2880"/>
          </w:tcPr>
          <w:p>
            <w:pPr/>
            <w:r>
              <w:rPr>
                <w:sz w:val="18"/>
              </w:rPr>
              <w:t>Production environment during full trading day [estimated]</w:t>
            </w:r>
          </w:p>
        </w:tc>
      </w:tr>
      <w:tr>
        <w:tc>
          <w:tcPr>
            <w:tcW w:type="dxa" w:w="2880"/>
          </w:tcPr>
          <w:p>
            <w:pPr/>
            <w:r>
              <w:rPr>
                <w:sz w:val="18"/>
              </w:rPr>
              <w:t>**Sub-40 μs Claim**</w:t>
            </w:r>
          </w:p>
        </w:tc>
        <w:tc>
          <w:tcPr>
            <w:tcW w:type="dxa" w:w="2880"/>
          </w:tcPr>
          <w:p>
            <w:pPr/>
            <w:r>
              <w:rPr>
                <w:sz w:val="18"/>
              </w:rPr>
              <w:t>&lt; 40 microseconds</w:t>
            </w:r>
          </w:p>
        </w:tc>
        <w:tc>
          <w:tcPr>
            <w:tcW w:type="dxa" w:w="2880"/>
          </w:tcPr>
          <w:p>
            <w:pPr/>
            <w:r>
              <w:rPr>
                <w:sz w:val="18"/>
              </w:rPr>
              <w:t>Nasdaq's published benchmark for INET matching technology across deployments</w:t>
            </w:r>
          </w:p>
        </w:tc>
      </w:tr>
      <w:tr>
        <w:tc>
          <w:tcPr>
            <w:tcW w:type="dxa" w:w="2880"/>
          </w:tcPr>
          <w:p>
            <w:pPr/>
            <w:r>
              <w:rPr>
                <w:sz w:val="18"/>
              </w:rPr>
              <w:t>**Message Throughput**</w:t>
            </w:r>
          </w:p>
        </w:tc>
        <w:tc>
          <w:tcPr>
            <w:tcW w:type="dxa" w:w="2880"/>
          </w:tcPr>
          <w:p>
            <w:pPr/>
            <w:r>
              <w:rPr>
                <w:sz w:val="18"/>
              </w:rPr>
              <w:t>&gt; 1 million messages/second</w:t>
            </w:r>
          </w:p>
        </w:tc>
        <w:tc>
          <w:tcPr>
            <w:tcW w:type="dxa" w:w="2880"/>
          </w:tcPr>
          <w:p>
            <w:pPr/>
            <w:r>
              <w:rPr>
                <w:sz w:val="18"/>
              </w:rPr>
              <w:t>Sustained processing rate; 1.13 million msgs/sec measured in production [Source: NasdaqTrader.com]</w:t>
            </w:r>
          </w:p>
        </w:tc>
      </w:tr>
      <w:tr>
        <w:tc>
          <w:tcPr>
            <w:tcW w:type="dxa" w:w="2880"/>
          </w:tcPr>
          <w:p>
            <w:pPr/>
            <w:r>
              <w:rPr>
                <w:sz w:val="18"/>
              </w:rPr>
              <w:t>**Peak Market Data Rate**</w:t>
            </w:r>
          </w:p>
        </w:tc>
        <w:tc>
          <w:tcPr>
            <w:tcW w:type="dxa" w:w="2880"/>
          </w:tcPr>
          <w:p>
            <w:pPr/>
            <w:r>
              <w:rPr>
                <w:sz w:val="18"/>
              </w:rPr>
              <w:t>~8.5 million messages/second</w:t>
            </w:r>
          </w:p>
        </w:tc>
        <w:tc>
          <w:tcPr>
            <w:tcW w:type="dxa" w:w="2880"/>
          </w:tcPr>
          <w:p>
            <w:pPr/>
            <w:r>
              <w:rPr>
                <w:sz w:val="18"/>
              </w:rPr>
              <w:t>TotalView-ITCH multicast feed during peak hours [estimated]</w:t>
            </w:r>
          </w:p>
        </w:tc>
      </w:tr>
      <w:tr>
        <w:tc>
          <w:tcPr>
            <w:tcW w:type="dxa" w:w="2880"/>
          </w:tcPr>
          <w:p>
            <w:pPr/>
            <w:r>
              <w:rPr>
                <w:sz w:val="18"/>
              </w:rPr>
              <w:t>**Daily Message Volume**</w:t>
            </w:r>
          </w:p>
        </w:tc>
        <w:tc>
          <w:tcPr>
            <w:tcW w:type="dxa" w:w="2880"/>
          </w:tcPr>
          <w:p>
            <w:pPr/>
            <w:r>
              <w:rPr>
                <w:sz w:val="18"/>
              </w:rPr>
              <w:t>~1.68 billion messages</w:t>
            </w:r>
          </w:p>
        </w:tc>
        <w:tc>
          <w:tcPr>
            <w:tcW w:type="dxa" w:w="2880"/>
          </w:tcPr>
          <w:p>
            <w:pPr/>
            <w:r>
              <w:rPr>
                <w:sz w:val="18"/>
              </w:rPr>
              <w:t>Total messages processed in a full trading day [Source: NasdaqTrader.com]</w:t>
            </w:r>
          </w:p>
        </w:tc>
      </w:tr>
      <w:tr>
        <w:tc>
          <w:tcPr>
            <w:tcW w:type="dxa" w:w="2880"/>
          </w:tcPr>
          <w:p>
            <w:pPr/>
            <w:r>
              <w:rPr>
                <w:sz w:val="18"/>
              </w:rPr>
              <w:t>**Daily Traded Volume**</w:t>
            </w:r>
          </w:p>
        </w:tc>
        <w:tc>
          <w:tcPr>
            <w:tcW w:type="dxa" w:w="2880"/>
          </w:tcPr>
          <w:p>
            <w:pPr/>
            <w:r>
              <w:rPr>
                <w:sz w:val="18"/>
              </w:rPr>
              <w:t>~9 billion shares</w:t>
            </w:r>
          </w:p>
        </w:tc>
        <w:tc>
          <w:tcPr>
            <w:tcW w:type="dxa" w:w="2880"/>
          </w:tcPr>
          <w:p>
            <w:pPr/>
            <w:r>
              <w:rPr>
                <w:sz w:val="18"/>
              </w:rPr>
              <w:t>Average daily volume across Nasdaq-listed securities [estimated, 2025]</w:t>
            </w:r>
          </w:p>
        </w:tc>
      </w:tr>
      <w:tr>
        <w:tc>
          <w:tcPr>
            <w:tcW w:type="dxa" w:w="2880"/>
          </w:tcPr>
          <w:p>
            <w:pPr/>
            <w:r>
              <w:rPr>
                <w:sz w:val="18"/>
              </w:rPr>
              <w:t>**Closing Cross Throughput**</w:t>
            </w:r>
          </w:p>
        </w:tc>
        <w:tc>
          <w:tcPr>
            <w:tcW w:type="dxa" w:w="2880"/>
          </w:tcPr>
          <w:p>
            <w:pPr/>
            <w:r>
              <w:rPr>
                <w:sz w:val="18"/>
              </w:rPr>
              <w:t>$102.455 billion in 0.871 seconds</w:t>
            </w:r>
          </w:p>
        </w:tc>
        <w:tc>
          <w:tcPr>
            <w:tcW w:type="dxa" w:w="2880"/>
          </w:tcPr>
          <w:p>
            <w:pPr/>
            <w:r>
              <w:rPr>
                <w:sz w:val="18"/>
              </w:rPr>
              <w:t>Russell Reconstitution, June 2025 — record Closing Cross execution</w:t>
            </w:r>
          </w:p>
        </w:tc>
      </w:tr>
      <w:tr>
        <w:tc>
          <w:tcPr>
            <w:tcW w:type="dxa" w:w="2880"/>
          </w:tcPr>
          <w:p>
            <w:pPr/>
            <w:r>
              <w:rPr>
                <w:sz w:val="18"/>
              </w:rPr>
              <w:t>**Switching Latency (40G)**</w:t>
            </w:r>
          </w:p>
        </w:tc>
        <w:tc>
          <w:tcPr>
            <w:tcW w:type="dxa" w:w="2880"/>
          </w:tcPr>
          <w:p>
            <w:pPr/>
            <w:r>
              <w:rPr>
                <w:sz w:val="18"/>
              </w:rPr>
              <w:t>&lt; 35 nanoseconds</w:t>
            </w:r>
          </w:p>
        </w:tc>
        <w:tc>
          <w:tcPr>
            <w:tcW w:type="dxa" w:w="2880"/>
          </w:tcPr>
          <w:p>
            <w:pPr/>
            <w:r>
              <w:rPr>
                <w:sz w:val="18"/>
              </w:rPr>
              <w:t>Express Connect (40G) at Carteret colocation facility</w:t>
            </w:r>
          </w:p>
        </w:tc>
      </w:tr>
      <w:tr>
        <w:tc>
          <w:tcPr>
            <w:tcW w:type="dxa" w:w="2880"/>
          </w:tcPr>
          <w:p>
            <w:pPr/>
            <w:r>
              <w:rPr>
                <w:sz w:val="18"/>
              </w:rPr>
              <w:t>**Switching Latency (10G)**</w:t>
            </w:r>
          </w:p>
        </w:tc>
        <w:tc>
          <w:tcPr>
            <w:tcW w:type="dxa" w:w="2880"/>
          </w:tcPr>
          <w:p>
            <w:pPr/>
            <w:r>
              <w:rPr>
                <w:sz w:val="18"/>
              </w:rPr>
              <w:t>&lt; 40 nanoseconds</w:t>
            </w:r>
          </w:p>
        </w:tc>
        <w:tc>
          <w:tcPr>
            <w:tcW w:type="dxa" w:w="2880"/>
          </w:tcPr>
          <w:p>
            <w:pPr/>
            <w:r>
              <w:rPr>
                <w:sz w:val="18"/>
              </w:rPr>
              <w:t>Direct Connect (10G) at Carteret colocation facility</w:t>
            </w:r>
          </w:p>
        </w:tc>
      </w:tr>
      <w:tr>
        <w:tc>
          <w:tcPr>
            <w:tcW w:type="dxa" w:w="2880"/>
          </w:tcPr>
          <w:p>
            <w:pPr/>
            <w:r>
              <w:rPr>
                <w:sz w:val="18"/>
              </w:rPr>
              <w:t>**Peak Volume Handling**</w:t>
            </w:r>
          </w:p>
        </w:tc>
        <w:tc>
          <w:tcPr>
            <w:tcW w:type="dxa" w:w="2880"/>
          </w:tcPr>
          <w:p>
            <w:pPr/>
            <w:r>
              <w:rPr>
                <w:sz w:val="18"/>
              </w:rPr>
              <w:t>&gt; 10x average daily volume</w:t>
            </w:r>
          </w:p>
        </w:tc>
        <w:tc>
          <w:tcPr>
            <w:tcW w:type="dxa" w:w="2880"/>
          </w:tcPr>
          <w:p>
            <w:pPr/>
            <w:r>
              <w:rPr>
                <w:sz w:val="18"/>
              </w:rPr>
              <w:t>System designed to handle sustained peak loads exceeding 10 times normal volume</w:t>
            </w:r>
          </w:p>
        </w:tc>
      </w:tr>
    </w:tbl>
    <w:p/>
    <w:p>
      <w:pPr>
        <w:pStyle w:val="Heading3"/>
      </w:pPr>
      <w:r>
        <w:t>Performance History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Year</w:t>
            </w:r>
          </w:p>
        </w:tc>
        <w:tc>
          <w:tcPr>
            <w:tcW w:type="dxa" w:w="2160"/>
          </w:tcPr>
          <w:p>
            <w:pPr/>
            <w:r>
              <w:rPr>
                <w:b/>
                <w:sz w:val="18"/>
              </w:rPr>
              <w:t>Latency</w:t>
            </w:r>
          </w:p>
        </w:tc>
        <w:tc>
          <w:tcPr>
            <w:tcW w:type="dxa" w:w="2160"/>
          </w:tcPr>
          <w:p>
            <w:pPr/>
            <w:r>
              <w:rPr>
                <w:b/>
                <w:sz w:val="18"/>
              </w:rPr>
              <w:t>Throughput</w:t>
            </w:r>
          </w:p>
        </w:tc>
        <w:tc>
          <w:tcPr>
            <w:tcW w:type="dxa" w:w="2160"/>
          </w:tcPr>
          <w:p>
            <w:pPr/>
            <w:r>
              <w:rPr>
                <w:b/>
                <w:sz w:val="18"/>
              </w:rPr>
              <w:t>Notes</w:t>
            </w:r>
          </w:p>
        </w:tc>
      </w:tr>
      <w:tr>
        <w:tc>
          <w:tcPr>
            <w:tcW w:type="dxa" w:w="2160"/>
          </w:tcPr>
          <w:p>
            <w:pPr/>
            <w:r>
              <w:rPr>
                <w:sz w:val="18"/>
              </w:rPr>
              <w:t>Pre-2005</w:t>
            </w:r>
          </w:p>
        </w:tc>
        <w:tc>
          <w:tcPr>
            <w:tcW w:type="dxa" w:w="2160"/>
          </w:tcPr>
          <w:p>
            <w:pPr/>
            <w:r>
              <w:rPr>
                <w:sz w:val="18"/>
              </w:rPr>
              <w:t>~5 ms (Instinet INET)</w:t>
            </w:r>
          </w:p>
        </w:tc>
        <w:tc>
          <w:tcPr>
            <w:tcW w:type="dxa" w:w="2160"/>
          </w:tcPr>
          <w:p>
            <w:pPr/>
            <w:r>
              <w:rPr>
                <w:sz w:val="18"/>
              </w:rPr>
              <w:t>Thousands/sec</w:t>
            </w:r>
          </w:p>
        </w:tc>
        <w:tc>
          <w:tcPr>
            <w:tcW w:type="dxa" w:w="2160"/>
          </w:tcPr>
          <w:p>
            <w:pPr/>
            <w:r>
              <w:rPr>
                <w:sz w:val="18"/>
              </w:rPr>
              <w:t>Original Inet ECN response time for incoming trade orders</w:t>
            </w:r>
          </w:p>
        </w:tc>
      </w:tr>
      <w:tr>
        <w:tc>
          <w:tcPr>
            <w:tcW w:type="dxa" w:w="2160"/>
          </w:tcPr>
          <w:p>
            <w:pPr/>
            <w:r>
              <w:rPr>
                <w:sz w:val="18"/>
              </w:rPr>
              <w:t>2006</w:t>
            </w:r>
          </w:p>
        </w:tc>
        <w:tc>
          <w:tcPr>
            <w:tcW w:type="dxa" w:w="2160"/>
          </w:tcPr>
          <w:p>
            <w:pPr/>
            <w:r>
              <w:rPr>
                <w:sz w:val="18"/>
              </w:rPr>
              <w:t>Sub-millisecond</w:t>
            </w:r>
          </w:p>
        </w:tc>
        <w:tc>
          <w:tcPr>
            <w:tcW w:type="dxa" w:w="2160"/>
          </w:tcPr>
          <w:p>
            <w:pPr/>
            <w:r>
              <w:rPr>
                <w:sz w:val="18"/>
              </w:rPr>
              <w:t>Hundreds of thousands/sec</w:t>
            </w:r>
          </w:p>
        </w:tc>
        <w:tc>
          <w:tcPr>
            <w:tcW w:type="dxa" w:w="2160"/>
          </w:tcPr>
          <w:p>
            <w:pPr/>
            <w:r>
              <w:rPr>
                <w:sz w:val="18"/>
              </w:rPr>
              <w:t>INET adopted as Nasdaq's primary engine; significant improvement over SuperMontage</w:t>
            </w:r>
          </w:p>
        </w:tc>
      </w:tr>
      <w:tr>
        <w:tc>
          <w:tcPr>
            <w:tcW w:type="dxa" w:w="2160"/>
          </w:tcPr>
          <w:p>
            <w:pPr/>
            <w:r>
              <w:rPr>
                <w:sz w:val="18"/>
              </w:rPr>
              <w:t>2007–2010</w:t>
            </w:r>
          </w:p>
        </w:tc>
        <w:tc>
          <w:tcPr>
            <w:tcW w:type="dxa" w:w="2160"/>
          </w:tcPr>
          <w:p>
            <w:pPr/>
            <w:r>
              <w:rPr>
                <w:sz w:val="18"/>
              </w:rPr>
              <w:t>~250 μs</w:t>
            </w:r>
          </w:p>
        </w:tc>
        <w:tc>
          <w:tcPr>
            <w:tcW w:type="dxa" w:w="2160"/>
          </w:tcPr>
          <w:p>
            <w:pPr/>
            <w:r>
              <w:rPr>
                <w:sz w:val="18"/>
              </w:rPr>
              <w:t>Growing</w:t>
            </w:r>
          </w:p>
        </w:tc>
        <w:tc>
          <w:tcPr>
            <w:tcW w:type="dxa" w:w="2160"/>
          </w:tcPr>
          <w:p>
            <w:pPr/>
            <w:r>
              <w:rPr>
                <w:sz w:val="18"/>
              </w:rPr>
              <w:t>Genium INET launched; OMX technology merger; Nordic deployments</w:t>
            </w:r>
          </w:p>
        </w:tc>
      </w:tr>
      <w:tr>
        <w:tc>
          <w:tcPr>
            <w:tcW w:type="dxa" w:w="2160"/>
          </w:tcPr>
          <w:p>
            <w:pPr/>
            <w:r>
              <w:rPr>
                <w:sz w:val="18"/>
              </w:rPr>
              <w:t>2010–2012</w:t>
            </w:r>
          </w:p>
        </w:tc>
        <w:tc>
          <w:tcPr>
            <w:tcW w:type="dxa" w:w="2160"/>
          </w:tcPr>
          <w:p>
            <w:pPr/>
            <w:r>
              <w:rPr>
                <w:sz w:val="18"/>
              </w:rPr>
              <w:t>&lt; 90 μs</w:t>
            </w:r>
          </w:p>
        </w:tc>
        <w:tc>
          <w:tcPr>
            <w:tcW w:type="dxa" w:w="2160"/>
          </w:tcPr>
          <w:p>
            <w:pPr/>
            <w:r>
              <w:rPr>
                <w:sz w:val="18"/>
              </w:rPr>
              <w:t>~500K msgs/sec</w:t>
            </w:r>
          </w:p>
        </w:tc>
        <w:tc>
          <w:tcPr>
            <w:tcW w:type="dxa" w:w="2160"/>
          </w:tcPr>
          <w:p>
            <w:pPr/>
            <w:r>
              <w:rPr>
                <w:sz w:val="18"/>
              </w:rPr>
              <w:t>Genium INET at SGX and other deployments; X-Stream INET development</w:t>
            </w:r>
          </w:p>
        </w:tc>
      </w:tr>
      <w:tr>
        <w:tc>
          <w:tcPr>
            <w:tcW w:type="dxa" w:w="2160"/>
          </w:tcPr>
          <w:p>
            <w:pPr/>
            <w:r>
              <w:rPr>
                <w:sz w:val="18"/>
              </w:rPr>
              <w:t>2012–2014</w:t>
            </w:r>
          </w:p>
        </w:tc>
        <w:tc>
          <w:tcPr>
            <w:tcW w:type="dxa" w:w="2160"/>
          </w:tcPr>
          <w:p>
            <w:pPr/>
            <w:r>
              <w:rPr>
                <w:sz w:val="18"/>
              </w:rPr>
              <w:t>&lt; 40 μs</w:t>
            </w:r>
          </w:p>
        </w:tc>
        <w:tc>
          <w:tcPr>
            <w:tcW w:type="dxa" w:w="2160"/>
          </w:tcPr>
          <w:p>
            <w:pPr/>
            <w:r>
              <w:rPr>
                <w:sz w:val="18"/>
              </w:rPr>
              <w:t>~1M msgs/sec</w:t>
            </w:r>
          </w:p>
        </w:tc>
        <w:tc>
          <w:tcPr>
            <w:tcW w:type="dxa" w:w="2160"/>
          </w:tcPr>
          <w:p>
            <w:pPr/>
            <w:r>
              <w:rPr>
                <w:sz w:val="18"/>
              </w:rPr>
              <w:t>X-Stream INET deployed at SIX Swiss Exchange; industry-leading matching speed; Nasdaq US markets continued optimization</w:t>
            </w:r>
          </w:p>
        </w:tc>
      </w:tr>
      <w:tr>
        <w:tc>
          <w:tcPr>
            <w:tcW w:type="dxa" w:w="2160"/>
          </w:tcPr>
          <w:p>
            <w:pPr/>
            <w:r>
              <w:rPr>
                <w:sz w:val="18"/>
              </w:rPr>
              <w:t>2014–2018</w:t>
            </w:r>
          </w:p>
        </w:tc>
        <w:tc>
          <w:tcPr>
            <w:tcW w:type="dxa" w:w="2160"/>
          </w:tcPr>
          <w:p>
            <w:pPr/>
            <w:r>
              <w:rPr>
                <w:sz w:val="18"/>
              </w:rPr>
              <w:t>&lt; 30 μs (door-to-door)</w:t>
            </w:r>
          </w:p>
        </w:tc>
        <w:tc>
          <w:tcPr>
            <w:tcW w:type="dxa" w:w="2160"/>
          </w:tcPr>
          <w:p>
            <w:pPr/>
            <w:r>
              <w:rPr>
                <w:sz w:val="18"/>
              </w:rPr>
              <w:t>&gt; 1M msgs/sec</w:t>
            </w:r>
          </w:p>
        </w:tc>
        <w:tc>
          <w:tcPr>
            <w:tcW w:type="dxa" w:w="2160"/>
          </w:tcPr>
          <w:p>
            <w:pPr/>
            <w:r>
              <w:rPr>
                <w:sz w:val="18"/>
              </w:rPr>
              <w:t>Continued hardware and software optimization; FPGA acceleration introduced</w:t>
            </w:r>
          </w:p>
        </w:tc>
      </w:tr>
      <w:tr>
        <w:tc>
          <w:tcPr>
            <w:tcW w:type="dxa" w:w="2160"/>
          </w:tcPr>
          <w:p>
            <w:pPr/>
            <w:r>
              <w:rPr>
                <w:sz w:val="18"/>
              </w:rPr>
              <w:t>2018–2023</w:t>
            </w:r>
          </w:p>
        </w:tc>
        <w:tc>
          <w:tcPr>
            <w:tcW w:type="dxa" w:w="2160"/>
          </w:tcPr>
          <w:p>
            <w:pPr/>
            <w:r>
              <w:rPr>
                <w:sz w:val="18"/>
              </w:rPr>
              <w:t>~14 μs (door-to-door)</w:t>
            </w:r>
          </w:p>
        </w:tc>
        <w:tc>
          <w:tcPr>
            <w:tcW w:type="dxa" w:w="2160"/>
          </w:tcPr>
          <w:p>
            <w:pPr/>
            <w:r>
              <w:rPr>
                <w:sz w:val="18"/>
              </w:rPr>
              <w:t>&gt; 1M msgs/sec sustained</w:t>
            </w:r>
          </w:p>
        </w:tc>
        <w:tc>
          <w:tcPr>
            <w:tcW w:type="dxa" w:w="2160"/>
          </w:tcPr>
          <w:p>
            <w:pPr/>
            <w:r>
              <w:rPr>
                <w:sz w:val="18"/>
              </w:rPr>
              <w:t>NFF platform; kernel-bypass networking standard; 40G connectivity</w:t>
            </w:r>
          </w:p>
        </w:tc>
      </w:tr>
      <w:tr>
        <w:tc>
          <w:tcPr>
            <w:tcW w:type="dxa" w:w="2160"/>
          </w:tcPr>
          <w:p>
            <w:pPr/>
            <w:r>
              <w:rPr>
                <w:sz w:val="18"/>
              </w:rPr>
              <w:t>2024–Present</w:t>
            </w:r>
          </w:p>
        </w:tc>
        <w:tc>
          <w:tcPr>
            <w:tcW w:type="dxa" w:w="2160"/>
          </w:tcPr>
          <w:p>
            <w:pPr/>
            <w:r>
              <w:rPr>
                <w:sz w:val="18"/>
              </w:rPr>
              <w:t>~14 μs (door-to-door), ~570 ns engine [unverified]</w:t>
            </w:r>
          </w:p>
        </w:tc>
        <w:tc>
          <w:tcPr>
            <w:tcW w:type="dxa" w:w="2160"/>
          </w:tcPr>
          <w:p>
            <w:pPr/>
            <w:r>
              <w:rPr>
                <w:sz w:val="18"/>
              </w:rPr>
              <w:t>&gt; 1M msgs/sec sustained</w:t>
            </w:r>
          </w:p>
        </w:tc>
        <w:tc>
          <w:tcPr>
            <w:tcW w:type="dxa" w:w="2160"/>
          </w:tcPr>
          <w:p>
            <w:pPr/>
            <w:r>
              <w:rPr>
                <w:sz w:val="18"/>
              </w:rPr>
              <w:t>Eqlipse platform; cloud-hybrid deployment options; quarterly upgrade cycle; Russell Recon 2025 record</w:t>
            </w:r>
          </w:p>
        </w:tc>
      </w:tr>
    </w:tbl>
    <w:p/>
    <w:p>
      <w:r>
        <w:t>────────────────────────────────────────────────────────────</w:t>
      </w:r>
    </w:p>
    <w:p>
      <w:pPr>
        <w:pStyle w:val="Heading2"/>
      </w:pPr>
      <w:r>
        <w:t>4. Interfaces &amp; Protocols</w:t>
      </w:r>
    </w:p>
    <w:p>
      <w:pPr>
        <w:pStyle w:val="Heading3"/>
      </w:pPr>
      <w:r>
        <w:t>4.1 Order Entry</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Protocol</w:t>
            </w:r>
          </w:p>
        </w:tc>
        <w:tc>
          <w:tcPr>
            <w:tcW w:type="dxa" w:w="1728"/>
          </w:tcPr>
          <w:p>
            <w:pPr/>
            <w:r>
              <w:rPr>
                <w:b/>
                <w:sz w:val="18"/>
              </w:rPr>
              <w:t>Type</w:t>
            </w:r>
          </w:p>
        </w:tc>
        <w:tc>
          <w:tcPr>
            <w:tcW w:type="dxa" w:w="1728"/>
          </w:tcPr>
          <w:p>
            <w:pPr/>
            <w:r>
              <w:rPr>
                <w:b/>
                <w:sz w:val="18"/>
              </w:rPr>
              <w:t>Transport</w:t>
            </w:r>
          </w:p>
        </w:tc>
        <w:tc>
          <w:tcPr>
            <w:tcW w:type="dxa" w:w="1728"/>
          </w:tcPr>
          <w:p>
            <w:pPr/>
            <w:r>
              <w:rPr>
                <w:b/>
                <w:sz w:val="18"/>
              </w:rPr>
              <w:t>Description</w:t>
            </w:r>
          </w:p>
        </w:tc>
        <w:tc>
          <w:tcPr>
            <w:tcW w:type="dxa" w:w="1728"/>
          </w:tcPr>
          <w:p>
            <w:pPr/>
            <w:r>
              <w:rPr>
                <w:b/>
                <w:sz w:val="18"/>
              </w:rPr>
              <w:t>Latency Profile</w:t>
            </w:r>
          </w:p>
        </w:tc>
      </w:tr>
      <w:tr>
        <w:tc>
          <w:tcPr>
            <w:tcW w:type="dxa" w:w="1728"/>
          </w:tcPr>
          <w:p>
            <w:pPr/>
            <w:r>
              <w:rPr>
                <w:sz w:val="18"/>
              </w:rPr>
              <w:t>**OUCH 4.2**</w:t>
            </w:r>
          </w:p>
        </w:tc>
        <w:tc>
          <w:tcPr>
            <w:tcW w:type="dxa" w:w="1728"/>
          </w:tcPr>
          <w:p>
            <w:pPr/>
            <w:r>
              <w:rPr>
                <w:sz w:val="18"/>
              </w:rPr>
              <w:t>Native binary</w:t>
            </w:r>
          </w:p>
        </w:tc>
        <w:tc>
          <w:tcPr>
            <w:tcW w:type="dxa" w:w="1728"/>
          </w:tcPr>
          <w:p>
            <w:pPr/>
            <w:r>
              <w:rPr>
                <w:sz w:val="18"/>
              </w:rPr>
              <w:t>SoupBinTCP</w:t>
            </w:r>
          </w:p>
        </w:tc>
        <w:tc>
          <w:tcPr>
            <w:tcW w:type="dxa" w:w="1728"/>
          </w:tcPr>
          <w:p>
            <w:pPr/>
            <w:r>
              <w:rPr>
                <w:sz w:val="18"/>
              </w:rPr>
              <w:t>Highest-performance order entry protocol; minimal overhead; supports enter, cancel, replace, and modify operations; designed for maximum throughput at the cost of flexibility</w:t>
            </w:r>
          </w:p>
        </w:tc>
        <w:tc>
          <w:tcPr>
            <w:tcW w:type="dxa" w:w="1728"/>
          </w:tcPr>
          <w:p>
            <w:pPr/>
            <w:r>
              <w:rPr>
                <w:sz w:val="18"/>
              </w:rPr>
              <w:t>Lowest latency (~14 μs door-to-door collocated)</w:t>
            </w:r>
          </w:p>
        </w:tc>
      </w:tr>
      <w:tr>
        <w:tc>
          <w:tcPr>
            <w:tcW w:type="dxa" w:w="1728"/>
          </w:tcPr>
          <w:p>
            <w:pPr/>
            <w:r>
              <w:rPr>
                <w:sz w:val="18"/>
              </w:rPr>
              <w:t>**FIX 4.0/4.1/4.2**</w:t>
            </w:r>
          </w:p>
        </w:tc>
        <w:tc>
          <w:tcPr>
            <w:tcW w:type="dxa" w:w="1728"/>
          </w:tcPr>
          <w:p>
            <w:pPr/>
            <w:r>
              <w:rPr>
                <w:sz w:val="18"/>
              </w:rPr>
              <w:t>Industry standard text</w:t>
            </w:r>
          </w:p>
        </w:tc>
        <w:tc>
          <w:tcPr>
            <w:tcW w:type="dxa" w:w="1728"/>
          </w:tcPr>
          <w:p>
            <w:pPr/>
            <w:r>
              <w:rPr>
                <w:sz w:val="18"/>
              </w:rPr>
              <w:t>SoupBinTCP / TCP</w:t>
            </w:r>
          </w:p>
        </w:tc>
        <w:tc>
          <w:tcPr>
            <w:tcW w:type="dxa" w:w="1728"/>
          </w:tcPr>
          <w:p>
            <w:pPr/>
            <w:r>
              <w:rPr>
                <w:sz w:val="18"/>
              </w:rPr>
              <w:t>Financial Information Exchange protocol; wider compatibility with existing trading systems; Nasdaq FIX gateway converts FIX messages into OUCH internally</w:t>
            </w:r>
          </w:p>
        </w:tc>
        <w:tc>
          <w:tcPr>
            <w:tcW w:type="dxa" w:w="1728"/>
          </w:tcPr>
          <w:p>
            <w:pPr/>
            <w:r>
              <w:rPr>
                <w:sz w:val="18"/>
              </w:rPr>
              <w:t>Higher latency than OUCH due to text parsing; estimated &lt; 80 μs collocated</w:t>
            </w:r>
          </w:p>
        </w:tc>
      </w:tr>
      <w:tr>
        <w:tc>
          <w:tcPr>
            <w:tcW w:type="dxa" w:w="1728"/>
          </w:tcPr>
          <w:p>
            <w:pPr/>
            <w:r>
              <w:rPr>
                <w:sz w:val="18"/>
              </w:rPr>
              <w:t>**RASH**</w:t>
            </w:r>
          </w:p>
        </w:tc>
        <w:tc>
          <w:tcPr>
            <w:tcW w:type="dxa" w:w="1728"/>
          </w:tcPr>
          <w:p>
            <w:pPr/>
            <w:r>
              <w:rPr>
                <w:sz w:val="18"/>
              </w:rPr>
              <w:t>Proprietary binary</w:t>
            </w:r>
          </w:p>
        </w:tc>
        <w:tc>
          <w:tcPr>
            <w:tcW w:type="dxa" w:w="1728"/>
          </w:tcPr>
          <w:p>
            <w:pPr/>
            <w:r>
              <w:rPr>
                <w:sz w:val="18"/>
              </w:rPr>
              <w:t>SoupBinTCP</w:t>
            </w:r>
          </w:p>
        </w:tc>
        <w:tc>
          <w:tcPr>
            <w:tcW w:type="dxa" w:w="1728"/>
          </w:tcPr>
          <w:p>
            <w:pPr/>
            <w:r>
              <w:rPr>
                <w:sz w:val="18"/>
              </w:rPr>
              <w:t>Alternative to OUCH with additional routing strategy support; allows participants to specify order routing preferences</w:t>
            </w:r>
          </w:p>
        </w:tc>
        <w:tc>
          <w:tcPr>
            <w:tcW w:type="dxa" w:w="1728"/>
          </w:tcPr>
          <w:p>
            <w:pPr/>
            <w:r>
              <w:rPr>
                <w:sz w:val="18"/>
              </w:rPr>
              <w:t>Similar to OUCH; slightly richer feature set</w:t>
            </w:r>
          </w:p>
        </w:tc>
      </w:tr>
      <w:tr>
        <w:tc>
          <w:tcPr>
            <w:tcW w:type="dxa" w:w="1728"/>
          </w:tcPr>
          <w:p>
            <w:pPr/>
            <w:r>
              <w:rPr>
                <w:sz w:val="18"/>
              </w:rPr>
              <w:t>**FLITE (FIX Lite)**</w:t>
            </w:r>
          </w:p>
        </w:tc>
        <w:tc>
          <w:tcPr>
            <w:tcW w:type="dxa" w:w="1728"/>
          </w:tcPr>
          <w:p>
            <w:pPr/>
            <w:r>
              <w:rPr>
                <w:sz w:val="18"/>
              </w:rPr>
              <w:t>Hybrid (FIX subset, binary-like)</w:t>
            </w:r>
          </w:p>
        </w:tc>
        <w:tc>
          <w:tcPr>
            <w:tcW w:type="dxa" w:w="1728"/>
          </w:tcPr>
          <w:p>
            <w:pPr/>
            <w:r>
              <w:rPr>
                <w:sz w:val="18"/>
              </w:rPr>
              <w:t>SoupBinTCP</w:t>
            </w:r>
          </w:p>
        </w:tc>
        <w:tc>
          <w:tcPr>
            <w:tcW w:type="dxa" w:w="1728"/>
          </w:tcPr>
          <w:p>
            <w:pPr/>
            <w:r>
              <w:rPr>
                <w:sz w:val="18"/>
              </w:rPr>
              <w:t>Provides OUCH-like speed with preferred FIX functionality; based on a subset of FIX 4.2; designed for firms wanting FIX semantics without full FIX overhead</w:t>
            </w:r>
          </w:p>
        </w:tc>
        <w:tc>
          <w:tcPr>
            <w:tcW w:type="dxa" w:w="1728"/>
          </w:tcPr>
          <w:p>
            <w:pPr/>
            <w:r>
              <w:rPr>
                <w:sz w:val="18"/>
              </w:rPr>
              <w:t>Near-OUCH performance</w:t>
            </w:r>
          </w:p>
        </w:tc>
      </w:tr>
    </w:tbl>
    <w:p/>
    <w:p>
      <w:r>
        <w:t>Key Order Entry Features:</w:t>
      </w:r>
    </w:p>
    <w:p>
      <w:pPr>
        <w:pStyle w:val="ListBullet"/>
      </w:pPr>
      <w:r>
        <w:t>Cancel-replace (atomic price/size modification)</w:t>
      </w:r>
    </w:p>
    <w:p>
      <w:pPr>
        <w:pStyle w:val="ListBullet"/>
      </w:pPr>
      <w:r>
        <w:t>Kill Switch — cancel all open orders across all symbols simultaneously</w:t>
      </w:r>
    </w:p>
    <w:p>
      <w:pPr>
        <w:pStyle w:val="ListBullet"/>
      </w:pPr>
      <w:r>
        <w:t>Drop-on-Disconnect — automatic cancellation of all open orders upon connection loss</w:t>
      </w:r>
    </w:p>
    <w:p>
      <w:pPr>
        <w:pStyle w:val="ListBullet"/>
      </w:pPr>
      <w:r>
        <w:t>Pre-trade risk controls integrated at gateway level</w:t>
      </w:r>
    </w:p>
    <w:p>
      <w:pPr>
        <w:pStyle w:val="ListBullet"/>
      </w:pPr>
      <w:r>
        <w:t>Maximum 5 order entry ports per participant (standard); additional available</w:t>
      </w:r>
    </w:p>
    <w:p>
      <w:pPr>
        <w:pStyle w:val="Heading3"/>
      </w:pPr>
      <w:r>
        <w:t>4.2 Market Data Dissemination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Protocol</w:t>
            </w:r>
          </w:p>
        </w:tc>
        <w:tc>
          <w:tcPr>
            <w:tcW w:type="dxa" w:w="2160"/>
          </w:tcPr>
          <w:p>
            <w:pPr/>
            <w:r>
              <w:rPr>
                <w:b/>
                <w:sz w:val="18"/>
              </w:rPr>
              <w:t>Type</w:t>
            </w:r>
          </w:p>
        </w:tc>
        <w:tc>
          <w:tcPr>
            <w:tcW w:type="dxa" w:w="2160"/>
          </w:tcPr>
          <w:p>
            <w:pPr/>
            <w:r>
              <w:rPr>
                <w:b/>
                <w:sz w:val="18"/>
              </w:rPr>
              <w:t>Transport</w:t>
            </w:r>
          </w:p>
        </w:tc>
        <w:tc>
          <w:tcPr>
            <w:tcW w:type="dxa" w:w="2160"/>
          </w:tcPr>
          <w:p>
            <w:pPr/>
            <w:r>
              <w:rPr>
                <w:b/>
                <w:sz w:val="18"/>
              </w:rPr>
              <w:t>Description</w:t>
            </w:r>
          </w:p>
        </w:tc>
      </w:tr>
      <w:tr>
        <w:tc>
          <w:tcPr>
            <w:tcW w:type="dxa" w:w="2160"/>
          </w:tcPr>
          <w:p>
            <w:pPr/>
            <w:r>
              <w:rPr>
                <w:sz w:val="18"/>
              </w:rPr>
              <w:t>**TotalView-ITCH 5.0**</w:t>
            </w:r>
          </w:p>
        </w:tc>
        <w:tc>
          <w:tcPr>
            <w:tcW w:type="dxa" w:w="2160"/>
          </w:tcPr>
          <w:p>
            <w:pPr/>
            <w:r>
              <w:rPr>
                <w:sz w:val="18"/>
              </w:rPr>
              <w:t>Native binary</w:t>
            </w:r>
          </w:p>
        </w:tc>
        <w:tc>
          <w:tcPr>
            <w:tcW w:type="dxa" w:w="2160"/>
          </w:tcPr>
          <w:p>
            <w:pPr/>
            <w:r>
              <w:rPr>
                <w:sz w:val="18"/>
              </w:rPr>
              <w:t>MoldUDP64 (multicast) or SoupBinTCP (unicast)</w:t>
            </w:r>
          </w:p>
        </w:tc>
        <w:tc>
          <w:tcPr>
            <w:tcW w:type="dxa" w:w="2160"/>
          </w:tcPr>
          <w:p>
            <w:pPr/>
            <w:r>
              <w:rPr>
                <w:sz w:val="18"/>
              </w:rPr>
              <w:t>Full depth-of-book data feed; order-by-order updates; every order at every price level; includes NOII data for auction transparency; 20+ message types covering system events, stock directory, order lifecycle, and trade execution</w:t>
            </w:r>
          </w:p>
        </w:tc>
      </w:tr>
      <w:tr>
        <w:tc>
          <w:tcPr>
            <w:tcW w:type="dxa" w:w="2160"/>
          </w:tcPr>
          <w:p>
            <w:pPr/>
            <w:r>
              <w:rPr>
                <w:sz w:val="18"/>
              </w:rPr>
              <w:t>**ITCH FPGA Feed**</w:t>
            </w:r>
          </w:p>
        </w:tc>
        <w:tc>
          <w:tcPr>
            <w:tcW w:type="dxa" w:w="2160"/>
          </w:tcPr>
          <w:p>
            <w:pPr/>
            <w:r>
              <w:rPr>
                <w:sz w:val="18"/>
              </w:rPr>
              <w:t>Hardware-accelerated binary</w:t>
            </w:r>
          </w:p>
        </w:tc>
        <w:tc>
          <w:tcPr>
            <w:tcW w:type="dxa" w:w="2160"/>
          </w:tcPr>
          <w:p>
            <w:pPr/>
            <w:r>
              <w:rPr>
                <w:sz w:val="18"/>
              </w:rPr>
              <w:t>MoldUDP64</w:t>
            </w:r>
          </w:p>
        </w:tc>
        <w:tc>
          <w:tcPr>
            <w:tcW w:type="dxa" w:w="2160"/>
          </w:tcPr>
          <w:p>
            <w:pPr/>
            <w:r>
              <w:rPr>
                <w:sz w:val="18"/>
              </w:rPr>
              <w:t>Same data as TotalView-ITCH but delivered via FPGA-optimized path; lowest possible market data latency; requires 10G or 40G connection</w:t>
            </w:r>
          </w:p>
        </w:tc>
      </w:tr>
      <w:tr>
        <w:tc>
          <w:tcPr>
            <w:tcW w:type="dxa" w:w="2160"/>
          </w:tcPr>
          <w:p>
            <w:pPr/>
            <w:r>
              <w:rPr>
                <w:sz w:val="18"/>
              </w:rPr>
              <w:t>**Nasdaq Basic (Level 1)**</w:t>
            </w:r>
          </w:p>
        </w:tc>
        <w:tc>
          <w:tcPr>
            <w:tcW w:type="dxa" w:w="2160"/>
          </w:tcPr>
          <w:p>
            <w:pPr/>
            <w:r>
              <w:rPr>
                <w:sz w:val="18"/>
              </w:rPr>
              <w:t>BBO + Last Sale</w:t>
            </w:r>
          </w:p>
        </w:tc>
        <w:tc>
          <w:tcPr>
            <w:tcW w:type="dxa" w:w="2160"/>
          </w:tcPr>
          <w:p>
            <w:pPr/>
            <w:r>
              <w:rPr>
                <w:sz w:val="18"/>
              </w:rPr>
              <w:t>Standard distribution</w:t>
            </w:r>
          </w:p>
        </w:tc>
        <w:tc>
          <w:tcPr>
            <w:tcW w:type="dxa" w:w="2160"/>
          </w:tcPr>
          <w:p>
            <w:pPr/>
            <w:r>
              <w:rPr>
                <w:sz w:val="18"/>
              </w:rPr>
              <w:t>Best bid/offer, last sale price, volume; suitable for retail and non-latency-sensitive applications</w:t>
            </w:r>
          </w:p>
        </w:tc>
      </w:tr>
    </w:tbl>
    <w:p/>
    <w:p>
      <w:r>
        <w:t>ITCH 5.0 Message Types (key):</w:t>
      </w:r>
    </w:p>
    <w:p>
      <w:pPr>
        <w:pStyle w:val="ListBullet"/>
      </w:pPr>
      <w:r>
        <w:t>System Event — Market open/close, start/end of system hours</w:t>
      </w:r>
    </w:p>
    <w:p>
      <w:pPr>
        <w:pStyle w:val="ListBullet"/>
      </w:pPr>
      <w:r>
        <w:t>Stock Directory — Security master data for all Nasdaq-listed symbols</w:t>
      </w:r>
    </w:p>
    <w:p>
      <w:pPr>
        <w:pStyle w:val="ListBullet"/>
      </w:pPr>
      <w:r>
        <w:t>Add Order — New order added to the book (with or without MPID attribution)</w:t>
      </w:r>
    </w:p>
    <w:p>
      <w:pPr>
        <w:pStyle w:val="ListBullet"/>
      </w:pPr>
      <w:r>
        <w:t>Order Executed — Partial or full execution of an existing order</w:t>
      </w:r>
    </w:p>
    <w:p>
      <w:pPr>
        <w:pStyle w:val="ListBullet"/>
      </w:pPr>
      <w:r>
        <w:t>Order Cancel — Partial cancellation of an existing order</w:t>
      </w:r>
    </w:p>
    <w:p>
      <w:pPr>
        <w:pStyle w:val="ListBullet"/>
      </w:pPr>
      <w:r>
        <w:t>Order Delete — Full removal of an order from the book</w:t>
      </w:r>
    </w:p>
    <w:p>
      <w:pPr>
        <w:pStyle w:val="ListBullet"/>
      </w:pPr>
      <w:r>
        <w:t>Order Replace — Modification of an existing order (new reference number assigned)</w:t>
      </w:r>
    </w:p>
    <w:p>
      <w:pPr>
        <w:pStyle w:val="ListBullet"/>
      </w:pPr>
      <w:r>
        <w:t>Trade (Non-Cross) — Trade execution not resulting from a cross</w:t>
      </w:r>
    </w:p>
    <w:p>
      <w:pPr>
        <w:pStyle w:val="ListBullet"/>
      </w:pPr>
      <w:r>
        <w:t>Cross Trade — Execution from Opening, Closing, or Halt Cross</w:t>
      </w:r>
    </w:p>
    <w:p>
      <w:pPr>
        <w:pStyle w:val="ListBullet"/>
      </w:pPr>
      <w:r>
        <w:t>NOII — Net Order Imbalance Indicator for pre-auction transparency</w:t>
      </w:r>
    </w:p>
    <w:p>
      <w:pPr>
        <w:pStyle w:val="ListBullet"/>
      </w:pPr>
      <w:r>
        <w:t>Broken Trade — Trade break notification</w:t>
      </w:r>
    </w:p>
    <w:p>
      <w:r>
        <w:t>Data Encoding:</w:t>
      </w:r>
    </w:p>
    <w:p>
      <w:pPr>
        <w:pStyle w:val="ListBullet"/>
      </w:pPr>
      <w:r>
        <w:t>All integer fields: big-endian (network byte order) binary</w:t>
      </w:r>
    </w:p>
    <w:p>
      <w:pPr>
        <w:pStyle w:val="ListBullet"/>
      </w:pPr>
      <w:r>
        <w:t>Timestamps: nanoseconds since midnight</w:t>
      </w:r>
    </w:p>
    <w:p>
      <w:pPr>
        <w:pStyle w:val="ListBullet"/>
      </w:pPr>
      <w:r>
        <w:t>Variable-length messages with single-byte type identifier</w:t>
      </w:r>
    </w:p>
    <w:p>
      <w:pPr>
        <w:pStyle w:val="Heading3"/>
      </w:pPr>
      <w:r>
        <w:t>4.3 Drop Copy / Trade Reporting</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Protocol</w:t>
            </w:r>
          </w:p>
        </w:tc>
        <w:tc>
          <w:tcPr>
            <w:tcW w:type="dxa" w:w="2880"/>
          </w:tcPr>
          <w:p>
            <w:pPr/>
            <w:r>
              <w:rPr>
                <w:b/>
                <w:sz w:val="18"/>
              </w:rPr>
              <w:t>Function</w:t>
            </w:r>
          </w:p>
        </w:tc>
        <w:tc>
          <w:tcPr>
            <w:tcW w:type="dxa" w:w="2880"/>
          </w:tcPr>
          <w:p>
            <w:pPr/>
            <w:r>
              <w:rPr>
                <w:b/>
                <w:sz w:val="18"/>
              </w:rPr>
              <w:t>Description</w:t>
            </w:r>
          </w:p>
        </w:tc>
      </w:tr>
      <w:tr>
        <w:tc>
          <w:tcPr>
            <w:tcW w:type="dxa" w:w="2880"/>
          </w:tcPr>
          <w:p>
            <w:pPr/>
            <w:r>
              <w:rPr>
                <w:sz w:val="18"/>
              </w:rPr>
              <w:t>**FIX DROP**</w:t>
            </w:r>
          </w:p>
        </w:tc>
        <w:tc>
          <w:tcPr>
            <w:tcW w:type="dxa" w:w="2880"/>
          </w:tcPr>
          <w:p>
            <w:pPr/>
            <w:r>
              <w:rPr>
                <w:sz w:val="18"/>
              </w:rPr>
              <w:t>Drop Copy</w:t>
            </w:r>
          </w:p>
        </w:tc>
        <w:tc>
          <w:tcPr>
            <w:tcW w:type="dxa" w:w="2880"/>
          </w:tcPr>
          <w:p>
            <w:pPr/>
            <w:r>
              <w:rPr>
                <w:sz w:val="18"/>
              </w:rPr>
              <w:t>Real-time copy of all executions and order status updates delivered via FIX 4.2; configurable per MMID, INET port, and SenderSubID; used for compliance, reconciliation, and back-office integration</w:t>
            </w:r>
          </w:p>
        </w:tc>
      </w:tr>
      <w:tr>
        <w:tc>
          <w:tcPr>
            <w:tcW w:type="dxa" w:w="2880"/>
          </w:tcPr>
          <w:p>
            <w:pPr/>
            <w:r>
              <w:rPr>
                <w:sz w:val="18"/>
              </w:rPr>
              <w:t>**RASH DROP**</w:t>
            </w:r>
          </w:p>
        </w:tc>
        <w:tc>
          <w:tcPr>
            <w:tcW w:type="dxa" w:w="2880"/>
          </w:tcPr>
          <w:p>
            <w:pPr/>
            <w:r>
              <w:rPr>
                <w:sz w:val="18"/>
              </w:rPr>
              <w:t>Drop Copy</w:t>
            </w:r>
          </w:p>
        </w:tc>
        <w:tc>
          <w:tcPr>
            <w:tcW w:type="dxa" w:w="2880"/>
          </w:tcPr>
          <w:p>
            <w:pPr/>
            <w:r>
              <w:rPr>
                <w:sz w:val="18"/>
              </w:rPr>
              <w:t>Same functionality as FIX DROP but using RASH binary format for lower overhead</w:t>
            </w:r>
          </w:p>
        </w:tc>
      </w:tr>
      <w:tr>
        <w:tc>
          <w:tcPr>
            <w:tcW w:type="dxa" w:w="2880"/>
          </w:tcPr>
          <w:p>
            <w:pPr/>
            <w:r>
              <w:rPr>
                <w:sz w:val="18"/>
              </w:rPr>
              <w:t>**FIX Trade Reporting**</w:t>
            </w:r>
          </w:p>
        </w:tc>
        <w:tc>
          <w:tcPr>
            <w:tcW w:type="dxa" w:w="2880"/>
          </w:tcPr>
          <w:p>
            <w:pPr/>
            <w:r>
              <w:rPr>
                <w:sz w:val="18"/>
              </w:rPr>
              <w:t>FINRA/TRF Reporting</w:t>
            </w:r>
          </w:p>
        </w:tc>
        <w:tc>
          <w:tcPr>
            <w:tcW w:type="dxa" w:w="2880"/>
          </w:tcPr>
          <w:p>
            <w:pPr/>
            <w:r>
              <w:rPr>
                <w:sz w:val="18"/>
              </w:rPr>
              <w:t>FIX 4.2-based interface for reporting trades to FINRA/Nasdaq Trade Reporting Facility (TRF Carteret and TRF Chicago); supports clearing and regulatory submissions</w:t>
            </w:r>
          </w:p>
        </w:tc>
      </w:tr>
    </w:tbl>
    <w:p/>
    <w:p>
      <w:pPr>
        <w:pStyle w:val="Heading3"/>
      </w:pPr>
      <w:r>
        <w:t>4.4 Reference Data</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Data Type</w:t>
            </w:r>
          </w:p>
        </w:tc>
        <w:tc>
          <w:tcPr>
            <w:tcW w:type="dxa" w:w="2880"/>
          </w:tcPr>
          <w:p>
            <w:pPr/>
            <w:r>
              <w:rPr>
                <w:b/>
                <w:sz w:val="18"/>
              </w:rPr>
              <w:t>Distribution Method</w:t>
            </w:r>
          </w:p>
        </w:tc>
        <w:tc>
          <w:tcPr>
            <w:tcW w:type="dxa" w:w="2880"/>
          </w:tcPr>
          <w:p>
            <w:pPr/>
            <w:r>
              <w:rPr>
                <w:b/>
                <w:sz w:val="18"/>
              </w:rPr>
              <w:t>Description</w:t>
            </w:r>
          </w:p>
        </w:tc>
      </w:tr>
      <w:tr>
        <w:tc>
          <w:tcPr>
            <w:tcW w:type="dxa" w:w="2880"/>
          </w:tcPr>
          <w:p>
            <w:pPr/>
            <w:r>
              <w:rPr>
                <w:sz w:val="18"/>
              </w:rPr>
              <w:t>**Stock Directory**</w:t>
            </w:r>
          </w:p>
        </w:tc>
        <w:tc>
          <w:tcPr>
            <w:tcW w:type="dxa" w:w="2880"/>
          </w:tcPr>
          <w:p>
            <w:pPr/>
            <w:r>
              <w:rPr>
                <w:sz w:val="18"/>
              </w:rPr>
              <w:t>ITCH System messages (pre-market)</w:t>
            </w:r>
          </w:p>
        </w:tc>
        <w:tc>
          <w:tcPr>
            <w:tcW w:type="dxa" w:w="2880"/>
          </w:tcPr>
          <w:p>
            <w:pPr/>
            <w:r>
              <w:rPr>
                <w:sz w:val="18"/>
              </w:rPr>
              <w:t>Comprehensive security master broadcast daily before market open; includes symbol, market category, financial status, lot size, and various flags</w:t>
            </w:r>
          </w:p>
        </w:tc>
      </w:tr>
      <w:tr>
        <w:tc>
          <w:tcPr>
            <w:tcW w:type="dxa" w:w="2880"/>
          </w:tcPr>
          <w:p>
            <w:pPr/>
            <w:r>
              <w:rPr>
                <w:sz w:val="18"/>
              </w:rPr>
              <w:t>**Reg SHO Threshold List**</w:t>
            </w:r>
          </w:p>
        </w:tc>
        <w:tc>
          <w:tcPr>
            <w:tcW w:type="dxa" w:w="2880"/>
          </w:tcPr>
          <w:p>
            <w:pPr/>
            <w:r>
              <w:rPr>
                <w:sz w:val="18"/>
              </w:rPr>
              <w:t>Nasdaq website / data feed</w:t>
            </w:r>
          </w:p>
        </w:tc>
        <w:tc>
          <w:tcPr>
            <w:tcW w:type="dxa" w:w="2880"/>
          </w:tcPr>
          <w:p>
            <w:pPr/>
            <w:r>
              <w:rPr>
                <w:sz w:val="18"/>
              </w:rPr>
              <w:t>Securities subject to Regulation SHO close-out requirements</w:t>
            </w:r>
          </w:p>
        </w:tc>
      </w:tr>
      <w:tr>
        <w:tc>
          <w:tcPr>
            <w:tcW w:type="dxa" w:w="2880"/>
          </w:tcPr>
          <w:p>
            <w:pPr/>
            <w:r>
              <w:rPr>
                <w:sz w:val="18"/>
              </w:rPr>
              <w:t>**LULD Price Bands**</w:t>
            </w:r>
          </w:p>
        </w:tc>
        <w:tc>
          <w:tcPr>
            <w:tcW w:type="dxa" w:w="2880"/>
          </w:tcPr>
          <w:p>
            <w:pPr/>
            <w:r>
              <w:rPr>
                <w:sz w:val="18"/>
              </w:rPr>
              <w:t>ITCH / SIP</w:t>
            </w:r>
          </w:p>
        </w:tc>
        <w:tc>
          <w:tcPr>
            <w:tcW w:type="dxa" w:w="2880"/>
          </w:tcPr>
          <w:p>
            <w:pPr/>
            <w:r>
              <w:rPr>
                <w:sz w:val="18"/>
              </w:rPr>
              <w:t>Limit Up-Limit Down reference prices and bands updated throughout the trading day</w:t>
            </w:r>
          </w:p>
        </w:tc>
      </w:tr>
      <w:tr>
        <w:tc>
          <w:tcPr>
            <w:tcW w:type="dxa" w:w="2880"/>
          </w:tcPr>
          <w:p>
            <w:pPr/>
            <w:r>
              <w:rPr>
                <w:sz w:val="18"/>
              </w:rPr>
              <w:t>**Trading Halt/Resume**</w:t>
            </w:r>
          </w:p>
        </w:tc>
        <w:tc>
          <w:tcPr>
            <w:tcW w:type="dxa" w:w="2880"/>
          </w:tcPr>
          <w:p>
            <w:pPr/>
            <w:r>
              <w:rPr>
                <w:sz w:val="18"/>
              </w:rPr>
              <w:t>ITCH System messages</w:t>
            </w:r>
          </w:p>
        </w:tc>
        <w:tc>
          <w:tcPr>
            <w:tcW w:type="dxa" w:w="2880"/>
          </w:tcPr>
          <w:p>
            <w:pPr/>
            <w:r>
              <w:rPr>
                <w:sz w:val="18"/>
              </w:rPr>
              <w:t>Real-time notifications of trading halts, resumptions, and IPO quotation periods</w:t>
            </w:r>
          </w:p>
        </w:tc>
      </w:tr>
      <w:tr>
        <w:tc>
          <w:tcPr>
            <w:tcW w:type="dxa" w:w="2880"/>
          </w:tcPr>
          <w:p>
            <w:pPr/>
            <w:r>
              <w:rPr>
                <w:sz w:val="18"/>
              </w:rPr>
              <w:t>**Corporate Actions**</w:t>
            </w:r>
          </w:p>
        </w:tc>
        <w:tc>
          <w:tcPr>
            <w:tcW w:type="dxa" w:w="2880"/>
          </w:tcPr>
          <w:p>
            <w:pPr/>
            <w:r>
              <w:rPr>
                <w:sz w:val="18"/>
              </w:rPr>
              <w:t>Nasdaq Global Data Services</w:t>
            </w:r>
          </w:p>
        </w:tc>
        <w:tc>
          <w:tcPr>
            <w:tcW w:type="dxa" w:w="2880"/>
          </w:tcPr>
          <w:p>
            <w:pPr/>
            <w:r>
              <w:rPr>
                <w:sz w:val="18"/>
              </w:rPr>
              <w:t>Dividends, splits, mergers, symbol changes; distributed via data products</w:t>
            </w:r>
          </w:p>
        </w:tc>
      </w:tr>
    </w:tbl>
    <w:p/>
    <w:p>
      <w:r>
        <w:t>────────────────────────────────────────────────────────────</w:t>
      </w:r>
    </w:p>
    <w:p>
      <w:pPr>
        <w:pStyle w:val="Heading2"/>
      </w:pPr>
      <w:r>
        <w:t>5. Resilience &amp; Business Continuity</w:t>
      </w:r>
    </w:p>
    <w:p>
      <w:pPr>
        <w:pStyle w:val="Heading3"/>
      </w:pPr>
      <w:r>
        <w:t>5.1 Redundancy</w:t>
      </w:r>
    </w:p>
    <w:p>
      <w:pPr>
        <w:pStyle w:val="ListBullet"/>
      </w:pPr>
      <w:r>
        <w:t>Matching Engine Redundancy: Hot standby instances for each matching engine partition; state replicated in real-time; automatic failover with minimal disruption</w:t>
      </w:r>
    </w:p>
    <w:p>
      <w:pPr>
        <w:pStyle w:val="ListBullet"/>
      </w:pPr>
      <w:r>
        <w:t>Gateway Redundancy: Multiple order entry and market data gateways; participants encouraged to maintain connections to primary and backup gateways</w:t>
      </w:r>
    </w:p>
    <w:p>
      <w:pPr>
        <w:pStyle w:val="ListBullet"/>
      </w:pPr>
      <w:r>
        <w:t>Network Redundancy: Redundant high-speed fiber paths between colocation facility and POPs; diverse physical cable routes</w:t>
      </w:r>
    </w:p>
    <w:p>
      <w:pPr>
        <w:pStyle w:val="ListBullet"/>
      </w:pPr>
      <w:r>
        <w:t>POP (Point of Presence) Nodes: Multiple access points in major financial data centers for geographically distributed connectivity</w:t>
      </w:r>
    </w:p>
    <w:p>
      <w:pPr>
        <w:pStyle w:val="ListBullet"/>
      </w:pPr>
      <w:r>
        <w:t>Power: Redundant power feeds (A+B), UPS, and diesel generators at Equinix NY11 facility; Tier III+ data center standards</w:t>
      </w:r>
    </w:p>
    <w:p>
      <w:pPr>
        <w:pStyle w:val="ListBullet"/>
      </w:pPr>
      <w:r>
        <w:t>Connection Diversity: Participants can place routers in both primary (Carteret) and DR facilities for full connection redundancy</w:t>
      </w:r>
    </w:p>
    <w:p>
      <w:pPr>
        <w:pStyle w:val="Heading3"/>
      </w:pPr>
      <w:r>
        <w:t>5.2 Disaster Recovery</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Aspect</w:t>
            </w:r>
          </w:p>
        </w:tc>
        <w:tc>
          <w:tcPr>
            <w:tcW w:type="dxa" w:w="4320"/>
          </w:tcPr>
          <w:p>
            <w:pPr/>
            <w:r>
              <w:rPr>
                <w:b/>
                <w:sz w:val="18"/>
              </w:rPr>
              <w:t>Details</w:t>
            </w:r>
          </w:p>
        </w:tc>
      </w:tr>
      <w:tr>
        <w:tc>
          <w:tcPr>
            <w:tcW w:type="dxa" w:w="4320"/>
          </w:tcPr>
          <w:p>
            <w:pPr/>
            <w:r>
              <w:rPr>
                <w:sz w:val="18"/>
              </w:rPr>
              <w:t>**Primary Data Center**</w:t>
            </w:r>
          </w:p>
        </w:tc>
        <w:tc>
          <w:tcPr>
            <w:tcW w:type="dxa" w:w="4320"/>
          </w:tcPr>
          <w:p>
            <w:pPr/>
            <w:r>
              <w:rPr>
                <w:sz w:val="18"/>
              </w:rPr>
              <w:t>Equinix NY11, Carteret, NJ (91,413 sq ft colocation space; built 2000; multiple expansions)</w:t>
            </w:r>
          </w:p>
        </w:tc>
      </w:tr>
      <w:tr>
        <w:tc>
          <w:tcPr>
            <w:tcW w:type="dxa" w:w="4320"/>
          </w:tcPr>
          <w:p>
            <w:pPr/>
            <w:r>
              <w:rPr>
                <w:sz w:val="18"/>
              </w:rPr>
              <w:t>**DR Site (Nasdaq Markets)**</w:t>
            </w:r>
          </w:p>
        </w:tc>
        <w:tc>
          <w:tcPr>
            <w:tcW w:type="dxa" w:w="4320"/>
          </w:tcPr>
          <w:p>
            <w:pPr/>
            <w:r>
              <w:rPr>
                <w:sz w:val="18"/>
              </w:rPr>
              <w:t>Equinix CH4, 350 E. Cermak Road, Chicago, IL (migrated from Ashburn, VA in 2015)</w:t>
            </w:r>
          </w:p>
        </w:tc>
      </w:tr>
      <w:tr>
        <w:tc>
          <w:tcPr>
            <w:tcW w:type="dxa" w:w="4320"/>
          </w:tcPr>
          <w:p>
            <w:pPr/>
            <w:r>
              <w:rPr>
                <w:sz w:val="18"/>
              </w:rPr>
              <w:t>**DR Site (FINRA applications)**</w:t>
            </w:r>
          </w:p>
        </w:tc>
        <w:tc>
          <w:tcPr>
            <w:tcW w:type="dxa" w:w="4320"/>
          </w:tcPr>
          <w:p>
            <w:pPr/>
            <w:r>
              <w:rPr>
                <w:sz w:val="18"/>
              </w:rPr>
              <w:t>Ashburn, VA</w:t>
            </w:r>
          </w:p>
        </w:tc>
      </w:tr>
      <w:tr>
        <w:tc>
          <w:tcPr>
            <w:tcW w:type="dxa" w:w="4320"/>
          </w:tcPr>
          <w:p>
            <w:pPr/>
            <w:r>
              <w:rPr>
                <w:sz w:val="18"/>
              </w:rPr>
              <w:t>**Geographic Separation**</w:t>
            </w:r>
          </w:p>
        </w:tc>
        <w:tc>
          <w:tcPr>
            <w:tcW w:type="dxa" w:w="4320"/>
          </w:tcPr>
          <w:p>
            <w:pPr/>
            <w:r>
              <w:rPr>
                <w:sz w:val="18"/>
              </w:rPr>
              <w:t>Primary (NJ) to DR (Chicago): ~1,150 km / ~715 miles — provides protection against regional disasters (hurricanes, coastal flooding, regional power grid failure)</w:t>
            </w:r>
          </w:p>
        </w:tc>
      </w:tr>
      <w:tr>
        <w:tc>
          <w:tcPr>
            <w:tcW w:type="dxa" w:w="4320"/>
          </w:tcPr>
          <w:p>
            <w:pPr/>
            <w:r>
              <w:rPr>
                <w:sz w:val="18"/>
              </w:rPr>
              <w:t>**Failover Approach**</w:t>
            </w:r>
          </w:p>
        </w:tc>
        <w:tc>
          <w:tcPr>
            <w:tcW w:type="dxa" w:w="4320"/>
          </w:tcPr>
          <w:p>
            <w:pPr/>
            <w:r>
              <w:rPr>
                <w:sz w:val="18"/>
              </w:rPr>
              <w:t>Active-passive with rapid cutover capability; periodic industry-wide DR failover tests conducted</w:t>
            </w:r>
          </w:p>
        </w:tc>
      </w:tr>
      <w:tr>
        <w:tc>
          <w:tcPr>
            <w:tcW w:type="dxa" w:w="4320"/>
          </w:tcPr>
          <w:p>
            <w:pPr/>
            <w:r>
              <w:rPr>
                <w:sz w:val="18"/>
              </w:rPr>
              <w:t>**Recovery Objectives**</w:t>
            </w:r>
          </w:p>
        </w:tc>
        <w:tc>
          <w:tcPr>
            <w:tcW w:type="dxa" w:w="4320"/>
          </w:tcPr>
          <w:p>
            <w:pPr/>
            <w:r>
              <w:rPr>
                <w:sz w:val="18"/>
              </w:rPr>
              <w:t>RTO (Recovery Time Objective) and RPO (Recovery Point Objective) not publicly disclosed; designed for rapid recovery with minimal data loss</w:t>
            </w:r>
          </w:p>
        </w:tc>
      </w:tr>
      <w:tr>
        <w:tc>
          <w:tcPr>
            <w:tcW w:type="dxa" w:w="4320"/>
          </w:tcPr>
          <w:p>
            <w:pPr/>
            <w:r>
              <w:rPr>
                <w:sz w:val="18"/>
              </w:rPr>
              <w:t>**DR Connectivity**</w:t>
            </w:r>
          </w:p>
        </w:tc>
        <w:tc>
          <w:tcPr>
            <w:tcW w:type="dxa" w:w="4320"/>
          </w:tcPr>
          <w:p>
            <w:pPr/>
            <w:r>
              <w:rPr>
                <w:sz w:val="18"/>
              </w:rPr>
              <w:t>Participants may connect to Chicago DR via POP connectivity; Direct Circuit Connect available to both primary and DR</w:t>
            </w:r>
          </w:p>
        </w:tc>
      </w:tr>
    </w:tbl>
    <w:p/>
    <w:p>
      <w:pPr>
        <w:pStyle w:val="Heading3"/>
      </w:pPr>
      <w:r>
        <w:t>5.3 Capacity Management</w:t>
      </w:r>
    </w:p>
    <w:p>
      <w:pPr>
        <w:pStyle w:val="ListBullet"/>
      </w:pPr>
      <w:r>
        <w:t>Peak Load Design: Systems engineered to handle sustained loads exceeding 10x average daily volume without degradation</w:t>
      </w:r>
    </w:p>
    <w:p>
      <w:pPr>
        <w:pStyle w:val="ListBullet"/>
      </w:pPr>
      <w:r>
        <w:t>Expansion Underway: NY11-4 facility under construction on the north side of the Carteret campus; will approximately double available colocation space</w:t>
      </w:r>
    </w:p>
    <w:p>
      <w:pPr>
        <w:pStyle w:val="ListBullet"/>
      </w:pPr>
      <w:r>
        <w:t>Cloud Scalability: Nasdaq Eqlipse Trading cloud platform (launched May 2025 with AWS) provides elastic capacity for non-latency-critical workloads</w:t>
      </w:r>
    </w:p>
    <w:p>
      <w:pPr>
        <w:pStyle w:val="ListBullet"/>
      </w:pPr>
      <w:r>
        <w:t>AWS Outposts Integration: AWS Outposts being deployed directly into the Carteret core network, enabling hybrid cloud/colocation architecture</w:t>
      </w:r>
    </w:p>
    <w:p>
      <w:pPr>
        <w:pStyle w:val="ListBullet"/>
      </w:pPr>
      <w:r>
        <w:t>Stress Testing: Regular capacity and stress testing; performance monitoring with published OUCH latency measurements updated periodically</w:t>
      </w:r>
    </w:p>
    <w:p>
      <w:pPr>
        <w:pStyle w:val="ListBullet"/>
      </w:pPr>
      <w:r>
        <w:t>Volatility Resilience: April 2025 volumes (tariff-driven volatility) were reportedly multiple factors higher than COVID-19 pandemic peaks (March 2020), handled without degradation</w:t>
      </w:r>
    </w:p>
    <w:p>
      <w:r>
        <w:t>────────────────────────────────────────────────────────────</w:t>
      </w:r>
    </w:p>
    <w:p>
      <w:pPr>
        <w:pStyle w:val="Heading2"/>
      </w:pPr>
      <w:r>
        <w:t>6. Notable Technical Features</w:t>
      </w:r>
    </w:p>
    <w:p>
      <w:pPr>
        <w:pStyle w:val="Heading3"/>
      </w:pPr>
      <w:r>
        <w:t>6.1 Pure Electronic Market — No Human Intervention</w:t>
      </w:r>
    </w:p>
    <w:p>
      <w:r>
        <w:t>Unlike NYSE (which retains Designated Market Makers with manual intervention capabilities), NASDAQ INET is a fully automated matching engine with zero human involvement in the matching process. All order matching, auction processing, and trade execution are handled algorithmically. This eliminates the latency variability associated with human decision-making and ensures consistent, deterministic processing times.</w:t>
      </w:r>
    </w:p>
    <w:p>
      <w:pPr>
        <w:pStyle w:val="Heading3"/>
      </w:pPr>
      <w:r>
        <w:t>6.2 Opening and Closing Cross Auctions</w:t>
      </w:r>
    </w:p>
    <w:p>
      <w:r>
        <w:t>INET's auction mechanism aggregates all eligible orders and determines a single clearing price that maximizes executed volume. The Net Order Imbalance Indicator (NOII) is disseminated in the minutes leading up to each cross, providing unprecedented transparency into supply/demand dynamics. The Closing Cross handles approximately 16% of daily Nasdaq volume and sets the official closing price used for mutual fund NAVs, index calculations, and settlement. The June 2025 Russell Reconstitution Cross executed $102.455 billion in just 0.871 seconds — a record.</w:t>
      </w:r>
    </w:p>
    <w:p>
      <w:pPr>
        <w:pStyle w:val="Heading3"/>
      </w:pPr>
      <w:r>
        <w:t>6.3 Eqlipse "Evergreen" Upgrade Model</w:t>
      </w:r>
    </w:p>
    <w:p>
      <w:r>
        <w:t>The 4th-generation Eqlipse platform introduced a quarterly upgrade cycle, replacing the traditional approach of major system upgrades every few years. This allows continuous deployment of enhancements, security patches, and new features without disruptive migration projects. Client exchanges receive incremental improvements on a predictable cadence.</w:t>
      </w:r>
    </w:p>
    <w:p>
      <w:pPr>
        <w:pStyle w:val="Heading3"/>
      </w:pPr>
      <w:r>
        <w:t>6.4 Multi-Asset, Multi-Venue Architecture</w:t>
      </w:r>
    </w:p>
    <w:p>
      <w:r>
        <w:t>The INET matching engine is asset-class agnostic — a single core technology supports equities, fixed income, FX, commodities, derivatives, digital assets, and carbon credits. This same engine powers Nasdaq's own 18 exchanges globally and is licensed to 130+ external marketplaces. The Eqlipse suite extends this across the full trade lifecycle: trading → clearing → CSD → data intelligence.</w:t>
      </w:r>
    </w:p>
    <w:p>
      <w:pPr>
        <w:pStyle w:val="Heading3"/>
      </w:pPr>
      <w:r>
        <w:t>6.5 Cloud-Hybrid Deployment</w:t>
      </w:r>
    </w:p>
    <w:p>
      <w:r>
        <w:t>Nasdaq's partnership with AWS enables a unique deployment model where latency-critical components (matching engine, order gateways) remain on-premise at Carteret while analytics, surveillance, reporting, and non-latency-sensitive services run in the cloud. AWS Outposts physically located within the Carteret data center bridge the two environments seamlessly.</w:t>
      </w:r>
    </w:p>
    <w:p>
      <w:pPr>
        <w:pStyle w:val="Heading3"/>
      </w:pPr>
      <w:r>
        <w:t>6.6 FPGA-Accelerated Market Data</w:t>
      </w:r>
    </w:p>
    <w:p>
      <w:r>
        <w:t>FPGA cards at the colocation facility provide hardware-accelerated ITCH feed generation, achieving market data latencies that software alone cannot match. This gives collocated participants the fastest possible view of order book changes.</w:t>
      </w:r>
    </w:p>
    <w:p>
      <w:pPr>
        <w:pStyle w:val="Heading3"/>
      </w:pPr>
      <w:r>
        <w:t>6.7 Protocol Hierarchy for Performance Tuning</w:t>
      </w:r>
    </w:p>
    <w:p>
      <w:r>
        <w:t>NASDAQ offers a deliberate spectrum of protocols, allowing participants to choose their latency/complexity tradeoff:</w:t>
      </w:r>
    </w:p>
    <w:p>
      <w:pPr>
        <w:pStyle w:val="ListBullet"/>
      </w:pPr>
      <w:r>
        <w:t>OUCH — Maximum performance, minimal flexibility (HFT firms)</w:t>
      </w:r>
    </w:p>
    <w:p>
      <w:pPr>
        <w:pStyle w:val="ListBullet"/>
      </w:pPr>
      <w:r>
        <w:t>FLITE — Near-OUCH speed with FIX semantics (sophisticated firms wanting FIX workflow)</w:t>
      </w:r>
    </w:p>
    <w:p>
      <w:pPr>
        <w:pStyle w:val="ListBullet"/>
      </w:pPr>
      <w:r>
        <w:t>RASH — OUCH-like with routing strategy support</w:t>
      </w:r>
    </w:p>
    <w:p>
      <w:pPr>
        <w:pStyle w:val="ListBullet"/>
      </w:pPr>
      <w:r>
        <w:t>FIX — Industry standard, easiest integration, highest latency (institutional brokers)</w:t>
      </w:r>
    </w:p>
    <w:p>
      <w:r>
        <w:t>All non-OUCH protocols are internally translated to OUCH by the gateway, meaning the matching engine itself only processes one native format.</w:t>
      </w:r>
    </w:p>
    <w:p>
      <w:pPr>
        <w:pStyle w:val="Heading3"/>
      </w:pPr>
      <w:r>
        <w:t>6.8 24-Hour Trading Readiness (Planned)</w:t>
      </w:r>
    </w:p>
    <w:p>
      <w:r>
        <w:t>NASDAQ has announced plans for 23-hour/day, 5-day/week trading (pending SEC approval, target H2 2026). The Eqlipse platform's 24/7 operational capability — already proven in cryptocurrency exchange deployments — positions INET to support this extended session model with a 1-hour daily maintenance window.</w:t>
      </w:r>
    </w:p>
    <w:p>
      <w:r>
        <w:t>────────────────────────────────────────────────────────────</w:t>
      </w:r>
    </w:p>
    <w:p>
      <w:pPr>
        <w:pStyle w:val="Heading2"/>
      </w:pPr>
      <w:r>
        <w:t>7. Comparison Notes</w:t>
      </w:r>
    </w:p>
    <w:p>
      <w:pPr>
        <w:pStyle w:val="Heading3"/>
      </w:pPr>
      <w:r>
        <w:t>vs. KRX Systems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Aspect</w:t>
            </w:r>
          </w:p>
        </w:tc>
        <w:tc>
          <w:tcPr>
            <w:tcW w:type="dxa" w:w="2880"/>
          </w:tcPr>
          <w:p>
            <w:pPr/>
            <w:r>
              <w:rPr>
                <w:b/>
                <w:sz w:val="18"/>
              </w:rPr>
              <w:t>NASDAQ INET / Eqlipse</w:t>
            </w:r>
          </w:p>
        </w:tc>
        <w:tc>
          <w:tcPr>
            <w:tcW w:type="dxa" w:w="2880"/>
          </w:tcPr>
          <w:p>
            <w:pPr/>
            <w:r>
              <w:rPr>
                <w:b/>
                <w:sz w:val="18"/>
              </w:rPr>
              <w:t>KRX Exture+</w:t>
            </w:r>
          </w:p>
        </w:tc>
      </w:tr>
      <w:tr>
        <w:tc>
          <w:tcPr>
            <w:tcW w:type="dxa" w:w="2880"/>
          </w:tcPr>
          <w:p>
            <w:pPr/>
            <w:r>
              <w:rPr>
                <w:sz w:val="18"/>
              </w:rPr>
              <w:t>**Launch Year**</w:t>
            </w:r>
          </w:p>
        </w:tc>
        <w:tc>
          <w:tcPr>
            <w:tcW w:type="dxa" w:w="2880"/>
          </w:tcPr>
          <w:p>
            <w:pPr/>
            <w:r>
              <w:rPr>
                <w:sz w:val="18"/>
              </w:rPr>
              <w:t>INET: 2006; Eqlipse: 2024</w:t>
            </w:r>
          </w:p>
        </w:tc>
        <w:tc>
          <w:tcPr>
            <w:tcW w:type="dxa" w:w="2880"/>
          </w:tcPr>
          <w:p>
            <w:pPr/>
            <w:r>
              <w:rPr>
                <w:sz w:val="18"/>
              </w:rPr>
              <w:t>Exture+: 2014 (replaced original Exture from 2009)</w:t>
            </w:r>
          </w:p>
        </w:tc>
      </w:tr>
      <w:tr>
        <w:tc>
          <w:tcPr>
            <w:tcW w:type="dxa" w:w="2880"/>
          </w:tcPr>
          <w:p>
            <w:pPr/>
            <w:r>
              <w:rPr>
                <w:sz w:val="18"/>
              </w:rPr>
              <w:t>**Matching Engine Latency**</w:t>
            </w:r>
          </w:p>
        </w:tc>
        <w:tc>
          <w:tcPr>
            <w:tcW w:type="dxa" w:w="2880"/>
          </w:tcPr>
          <w:p>
            <w:pPr/>
            <w:r>
              <w:rPr>
                <w:sz w:val="18"/>
              </w:rPr>
              <w:t>~14 μs door-to-door (fastest production); ~570 ns engine-only [unverified]</w:t>
            </w:r>
          </w:p>
        </w:tc>
        <w:tc>
          <w:tcPr>
            <w:tcW w:type="dxa" w:w="2880"/>
          </w:tcPr>
          <w:p>
            <w:pPr/>
            <w:r>
              <w:rPr>
                <w:sz w:val="18"/>
              </w:rPr>
              <w:t>≤ 70 μs (285x improvement over original Exture's 20 ms)</w:t>
            </w:r>
          </w:p>
        </w:tc>
      </w:tr>
      <w:tr>
        <w:tc>
          <w:tcPr>
            <w:tcW w:type="dxa" w:w="2880"/>
          </w:tcPr>
          <w:p>
            <w:pPr/>
            <w:r>
              <w:rPr>
                <w:sz w:val="18"/>
              </w:rPr>
              <w:t>**Architecture**</w:t>
            </w:r>
          </w:p>
        </w:tc>
        <w:tc>
          <w:tcPr>
            <w:tcW w:type="dxa" w:w="2880"/>
          </w:tcPr>
          <w:p>
            <w:pPr/>
            <w:r>
              <w:rPr>
                <w:sz w:val="18"/>
              </w:rPr>
              <w:t>Microservices (Eqlipse layer); single-threaded matching core per symbol; kernel-bypass networking</w:t>
            </w:r>
          </w:p>
        </w:tc>
        <w:tc>
          <w:tcPr>
            <w:tcW w:type="dxa" w:w="2880"/>
          </w:tcPr>
          <w:p>
            <w:pPr/>
            <w:r>
              <w:rPr>
                <w:sz w:val="18"/>
              </w:rPr>
              <w:t>Memory-based solution; all-in-one platform; open-source architecture components</w:t>
            </w:r>
          </w:p>
        </w:tc>
      </w:tr>
      <w:tr>
        <w:tc>
          <w:tcPr>
            <w:tcW w:type="dxa" w:w="2880"/>
          </w:tcPr>
          <w:p>
            <w:pPr/>
            <w:r>
              <w:rPr>
                <w:sz w:val="18"/>
              </w:rPr>
              <w:t>**Technology Stack**</w:t>
            </w:r>
          </w:p>
        </w:tc>
        <w:tc>
          <w:tcPr>
            <w:tcW w:type="dxa" w:w="2880"/>
          </w:tcPr>
          <w:p>
            <w:pPr/>
            <w:r>
              <w:rPr>
                <w:sz w:val="18"/>
              </w:rPr>
              <w:t>C/C++ on Linux; FPGA acceleration; kernel-bypass (user-space networking); AWS cloud hybrid</w:t>
            </w:r>
          </w:p>
        </w:tc>
        <w:tc>
          <w:tcPr>
            <w:tcW w:type="dxa" w:w="2880"/>
          </w:tcPr>
          <w:p>
            <w:pPr/>
            <w:r>
              <w:rPr>
                <w:sz w:val="18"/>
              </w:rPr>
              <w:t>C/C++ [unverified]; Solace PubSub+ messaging appliances for data distribution; custom hardware</w:t>
            </w:r>
          </w:p>
        </w:tc>
      </w:tr>
      <w:tr>
        <w:tc>
          <w:tcPr>
            <w:tcW w:type="dxa" w:w="2880"/>
          </w:tcPr>
          <w:p>
            <w:pPr/>
            <w:r>
              <w:rPr>
                <w:sz w:val="18"/>
              </w:rPr>
              <w:t>**Asset Coverage**</w:t>
            </w:r>
          </w:p>
        </w:tc>
        <w:tc>
          <w:tcPr>
            <w:tcW w:type="dxa" w:w="2880"/>
          </w:tcPr>
          <w:p>
            <w:pPr/>
            <w:r>
              <w:rPr>
                <w:sz w:val="18"/>
              </w:rPr>
              <w:t>Multi-asset capable but U.S. deployment primarily equities; separate systems for options (Nasdaq PHLX, NOM, BX Options)</w:t>
            </w:r>
          </w:p>
        </w:tc>
        <w:tc>
          <w:tcPr>
            <w:tcW w:type="dxa" w:w="2880"/>
          </w:tcPr>
          <w:p>
            <w:pPr/>
            <w:r>
              <w:rPr>
                <w:sz w:val="18"/>
              </w:rPr>
              <w:t>All-in-one: stocks (KOSPI, KOSDAQ, KONEX), bonds, futures, options, ETFs, warrants, commodities on single platform</w:t>
            </w:r>
          </w:p>
        </w:tc>
      </w:tr>
      <w:tr>
        <w:tc>
          <w:tcPr>
            <w:tcW w:type="dxa" w:w="2880"/>
          </w:tcPr>
          <w:p>
            <w:pPr/>
            <w:r>
              <w:rPr>
                <w:sz w:val="18"/>
              </w:rPr>
              <w:t>**Data Distribution**</w:t>
            </w:r>
          </w:p>
        </w:tc>
        <w:tc>
          <w:tcPr>
            <w:tcW w:type="dxa" w:w="2880"/>
          </w:tcPr>
          <w:p>
            <w:pPr/>
            <w:r>
              <w:rPr>
                <w:sz w:val="18"/>
              </w:rPr>
              <w:t>ITCH 5.0 over MoldUDP64/SoupBinTCP; FPGA-accelerated feeds</w:t>
            </w:r>
          </w:p>
        </w:tc>
        <w:tc>
          <w:tcPr>
            <w:tcW w:type="dxa" w:w="2880"/>
          </w:tcPr>
          <w:p>
            <w:pPr/>
            <w:r>
              <w:rPr>
                <w:sz w:val="18"/>
              </w:rPr>
              <w:t>Solace hardware messaging appliances; proprietary binary protocols</w:t>
            </w:r>
          </w:p>
        </w:tc>
      </w:tr>
      <w:tr>
        <w:tc>
          <w:tcPr>
            <w:tcW w:type="dxa" w:w="2880"/>
          </w:tcPr>
          <w:p>
            <w:pPr/>
            <w:r>
              <w:rPr>
                <w:sz w:val="18"/>
              </w:rPr>
              <w:t>**Order Entry Protocols**</w:t>
            </w:r>
          </w:p>
        </w:tc>
        <w:tc>
          <w:tcPr>
            <w:tcW w:type="dxa" w:w="2880"/>
          </w:tcPr>
          <w:p>
            <w:pPr/>
            <w:r>
              <w:rPr>
                <w:sz w:val="18"/>
              </w:rPr>
              <w:t>OUCH (native binary), FIX, RASH, FLITE</w:t>
            </w:r>
          </w:p>
        </w:tc>
        <w:tc>
          <w:tcPr>
            <w:tcW w:type="dxa" w:w="2880"/>
          </w:tcPr>
          <w:p>
            <w:pPr/>
            <w:r>
              <w:rPr>
                <w:sz w:val="18"/>
              </w:rPr>
              <w:t>FIX-based; proprietary KRX protocols via KOSCOM gateway</w:t>
            </w:r>
          </w:p>
        </w:tc>
      </w:tr>
      <w:tr>
        <w:tc>
          <w:tcPr>
            <w:tcW w:type="dxa" w:w="2880"/>
          </w:tcPr>
          <w:p>
            <w:pPr/>
            <w:r>
              <w:rPr>
                <w:sz w:val="18"/>
              </w:rPr>
              <w:t>**Market Model**</w:t>
            </w:r>
          </w:p>
        </w:tc>
        <w:tc>
          <w:tcPr>
            <w:tcW w:type="dxa" w:w="2880"/>
          </w:tcPr>
          <w:p>
            <w:pPr/>
            <w:r>
              <w:rPr>
                <w:sz w:val="18"/>
              </w:rPr>
              <w:t>Pure electronic order-driven with competing market makers; no human intervention</w:t>
            </w:r>
          </w:p>
        </w:tc>
        <w:tc>
          <w:tcPr>
            <w:tcW w:type="dxa" w:w="2880"/>
          </w:tcPr>
          <w:p>
            <w:pPr/>
            <w:r>
              <w:rPr>
                <w:sz w:val="18"/>
              </w:rPr>
              <w:t>Pure electronic order-driven; designated liquidity providers (LP) in selected instruments</w:t>
            </w:r>
          </w:p>
        </w:tc>
      </w:tr>
      <w:tr>
        <w:tc>
          <w:tcPr>
            <w:tcW w:type="dxa" w:w="2880"/>
          </w:tcPr>
          <w:p>
            <w:pPr/>
            <w:r>
              <w:rPr>
                <w:sz w:val="18"/>
              </w:rPr>
              <w:t>**Data Center**</w:t>
            </w:r>
          </w:p>
        </w:tc>
        <w:tc>
          <w:tcPr>
            <w:tcW w:type="dxa" w:w="2880"/>
          </w:tcPr>
          <w:p>
            <w:pPr/>
            <w:r>
              <w:rPr>
                <w:sz w:val="18"/>
              </w:rPr>
              <w:t>Equinix NY11, Carteret, NJ (colocation available); DR in Chicago</w:t>
            </w:r>
          </w:p>
        </w:tc>
        <w:tc>
          <w:tcPr>
            <w:tcW w:type="dxa" w:w="2880"/>
          </w:tcPr>
          <w:p>
            <w:pPr/>
            <w:r>
              <w:rPr>
                <w:sz w:val="18"/>
              </w:rPr>
              <w:t>KRX proprietary data center in Busan; backup in Seoul</w:t>
            </w:r>
          </w:p>
        </w:tc>
      </w:tr>
      <w:tr>
        <w:tc>
          <w:tcPr>
            <w:tcW w:type="dxa" w:w="2880"/>
          </w:tcPr>
          <w:p>
            <w:pPr/>
            <w:r>
              <w:rPr>
                <w:sz w:val="18"/>
              </w:rPr>
              <w:t>**System Developer**</w:t>
            </w:r>
          </w:p>
        </w:tc>
        <w:tc>
          <w:tcPr>
            <w:tcW w:type="dxa" w:w="2880"/>
          </w:tcPr>
          <w:p>
            <w:pPr/>
            <w:r>
              <w:rPr>
                <w:sz w:val="18"/>
              </w:rPr>
              <w:t>In-house (Nasdaq, Inc.)</w:t>
            </w:r>
          </w:p>
        </w:tc>
        <w:tc>
          <w:tcPr>
            <w:tcW w:type="dxa" w:w="2880"/>
          </w:tcPr>
          <w:p>
            <w:pPr/>
            <w:r>
              <w:rPr>
                <w:sz w:val="18"/>
              </w:rPr>
              <w:t>In-house (KRX) with KOSCOM as primary IT partner</w:t>
            </w:r>
          </w:p>
        </w:tc>
      </w:tr>
      <w:tr>
        <w:tc>
          <w:tcPr>
            <w:tcW w:type="dxa" w:w="2880"/>
          </w:tcPr>
          <w:p>
            <w:pPr/>
            <w:r>
              <w:rPr>
                <w:sz w:val="18"/>
              </w:rPr>
              <w:t>**Cloud Strategy**</w:t>
            </w:r>
          </w:p>
        </w:tc>
        <w:tc>
          <w:tcPr>
            <w:tcW w:type="dxa" w:w="2880"/>
          </w:tcPr>
          <w:p>
            <w:pPr/>
            <w:r>
              <w:rPr>
                <w:sz w:val="18"/>
              </w:rPr>
              <w:t>AWS partnership; hybrid cloud/on-premise; Eqlipse Trading cloud platform for clients</w:t>
            </w:r>
          </w:p>
        </w:tc>
        <w:tc>
          <w:tcPr>
            <w:tcW w:type="dxa" w:w="2880"/>
          </w:tcPr>
          <w:p>
            <w:pPr/>
            <w:r>
              <w:rPr>
                <w:sz w:val="18"/>
              </w:rPr>
              <w:t>On-premise; no public cloud strategy announced for core trading [unverified]</w:t>
            </w:r>
          </w:p>
        </w:tc>
      </w:tr>
      <w:tr>
        <w:tc>
          <w:tcPr>
            <w:tcW w:type="dxa" w:w="2880"/>
          </w:tcPr>
          <w:p>
            <w:pPr/>
            <w:r>
              <w:rPr>
                <w:sz w:val="18"/>
              </w:rPr>
              <w:t>**Global Licensing**</w:t>
            </w:r>
          </w:p>
        </w:tc>
        <w:tc>
          <w:tcPr>
            <w:tcW w:type="dxa" w:w="2880"/>
          </w:tcPr>
          <w:p>
            <w:pPr/>
            <w:r>
              <w:rPr>
                <w:sz w:val="18"/>
              </w:rPr>
              <w:t>Technology licensed to 130+ exchanges, clearinghouses, and CSDs globally</w:t>
            </w:r>
          </w:p>
        </w:tc>
        <w:tc>
          <w:tcPr>
            <w:tcW w:type="dxa" w:w="2880"/>
          </w:tcPr>
          <w:p>
            <w:pPr/>
            <w:r>
              <w:rPr>
                <w:sz w:val="18"/>
              </w:rPr>
              <w:t>Exture+ technology exported to select emerging market exchanges via KOSCOM</w:t>
            </w:r>
          </w:p>
        </w:tc>
      </w:tr>
      <w:tr>
        <w:tc>
          <w:tcPr>
            <w:tcW w:type="dxa" w:w="2880"/>
          </w:tcPr>
          <w:p>
            <w:pPr/>
            <w:r>
              <w:rPr>
                <w:sz w:val="18"/>
              </w:rPr>
              <w:t>**Upgrade Model**</w:t>
            </w:r>
          </w:p>
        </w:tc>
        <w:tc>
          <w:tcPr>
            <w:tcW w:type="dxa" w:w="2880"/>
          </w:tcPr>
          <w:p>
            <w:pPr/>
            <w:r>
              <w:rPr>
                <w:sz w:val="18"/>
              </w:rPr>
              <w:t>"Evergreen" quarterly upgrade cycle (Eqlipse)</w:t>
            </w:r>
          </w:p>
        </w:tc>
        <w:tc>
          <w:tcPr>
            <w:tcW w:type="dxa" w:w="2880"/>
          </w:tcPr>
          <w:p>
            <w:pPr/>
            <w:r>
              <w:rPr>
                <w:sz w:val="18"/>
              </w:rPr>
              <w:t>Major version upgrades on multi-year cycle</w:t>
            </w:r>
          </w:p>
        </w:tc>
      </w:tr>
      <w:tr>
        <w:tc>
          <w:tcPr>
            <w:tcW w:type="dxa" w:w="2880"/>
          </w:tcPr>
          <w:p>
            <w:pPr/>
            <w:r>
              <w:rPr>
                <w:sz w:val="18"/>
              </w:rPr>
              <w:t>**Closing Auction**</w:t>
            </w:r>
          </w:p>
        </w:tc>
        <w:tc>
          <w:tcPr>
            <w:tcW w:type="dxa" w:w="2880"/>
          </w:tcPr>
          <w:p>
            <w:pPr/>
            <w:r>
              <w:rPr>
                <w:sz w:val="18"/>
              </w:rPr>
              <w:t>Closing Cross: ~16% of daily volume; single-price auction with NOII transparency</w:t>
            </w:r>
          </w:p>
        </w:tc>
        <w:tc>
          <w:tcPr>
            <w:tcW w:type="dxa" w:w="2880"/>
          </w:tcPr>
          <w:p>
            <w:pPr/>
            <w:r>
              <w:rPr>
                <w:sz w:val="18"/>
              </w:rPr>
              <w:t>Closing auction: single-price call auction; random end time to prevent manipulation</w:t>
            </w:r>
          </w:p>
        </w:tc>
      </w:tr>
      <w:tr>
        <w:tc>
          <w:tcPr>
            <w:tcW w:type="dxa" w:w="2880"/>
          </w:tcPr>
          <w:p>
            <w:pPr/>
            <w:r>
              <w:rPr>
                <w:sz w:val="18"/>
              </w:rPr>
              <w:t>**Trading Hours**</w:t>
            </w:r>
          </w:p>
        </w:tc>
        <w:tc>
          <w:tcPr>
            <w:tcW w:type="dxa" w:w="2880"/>
          </w:tcPr>
          <w:p>
            <w:pPr/>
            <w:r>
              <w:rPr>
                <w:sz w:val="18"/>
              </w:rPr>
              <w:t>4:00 AM – 8:00 PM ET (pre/post market); planning 23-hour trading (H2 2026)</w:t>
            </w:r>
          </w:p>
        </w:tc>
        <w:tc>
          <w:tcPr>
            <w:tcW w:type="dxa" w:w="2880"/>
          </w:tcPr>
          <w:p>
            <w:pPr/>
            <w:r>
              <w:rPr>
                <w:sz w:val="18"/>
              </w:rPr>
              <w:t>9:00 AM – 3:30 PM KST; pre-market 8:00–9:00 AM; after-hours 3:40–6:00 PM</w:t>
            </w:r>
          </w:p>
        </w:tc>
      </w:tr>
    </w:tbl>
    <w:p/>
    <w:p>
      <w:pPr>
        <w:pStyle w:val="Heading3"/>
      </w:pPr>
      <w:r>
        <w:t>Key Differentiators</w:t>
      </w:r>
    </w:p>
    <w:p>
      <w:r>
        <w:t>NASDAQ INET Advantages:</w:t>
      </w:r>
    </w:p>
    <w:p>
      <w:pPr>
        <w:pStyle w:val="ListBullet"/>
      </w:pPr>
      <w:r>
        <w:t>Latency leadership: ~14 μs door-to-door is approximately 5x faster than Exture+'s ≤ 70 μs, reflecting NASDAQ's intense HFT-driven optimization and FPGA acceleration</w:t>
      </w:r>
    </w:p>
    <w:p>
      <w:pPr>
        <w:pStyle w:val="ListBullet"/>
      </w:pPr>
      <w:r>
        <w:t>Protocol diversity: Four order entry protocols (OUCH, FIX, RASH, FLITE) offering explicit performance/flexibility tradeoffs vs. KRX's more standardized access model</w:t>
      </w:r>
    </w:p>
    <w:p>
      <w:pPr>
        <w:pStyle w:val="ListBullet"/>
      </w:pPr>
      <w:r>
        <w:t>Global technology platform: INET/Eqlipse technology powers 130+ marketplaces worldwide, creating massive economies of scale and continuous improvement pressure</w:t>
      </w:r>
    </w:p>
    <w:p>
      <w:pPr>
        <w:pStyle w:val="ListBullet"/>
      </w:pPr>
      <w:r>
        <w:t>Cloud-hybrid innovation: AWS partnership and Outposts integration represent a leading-edge approach to exchange infrastructure modernization</w:t>
      </w:r>
    </w:p>
    <w:p>
      <w:pPr>
        <w:pStyle w:val="ListBullet"/>
      </w:pPr>
      <w:r>
        <w:t>Colocation ecosystem: Carteret facility with sub-35 ns switching and massive HFT participant base creates a deep, liquid ecosystem</w:t>
      </w:r>
    </w:p>
    <w:p>
      <w:r>
        <w:t>KRX Exture+ Advantages:</w:t>
      </w:r>
    </w:p>
    <w:p>
      <w:pPr>
        <w:pStyle w:val="ListBullet"/>
      </w:pPr>
      <w:r>
        <w:t>Unified multi-asset platform: Single system handles all asset classes (equities, derivatives, bonds, commodities) vs. NASDAQ's separate equity and options matching engines</w:t>
      </w:r>
    </w:p>
    <w:p>
      <w:pPr>
        <w:pStyle w:val="ListBullet"/>
      </w:pPr>
      <w:r>
        <w:t>Integrated value chain: KRX operates the entire Korean capital market infrastructure (exchange, clearing, settlement, depository) on a coordinated technology stack</w:t>
      </w:r>
    </w:p>
    <w:p>
      <w:pPr>
        <w:pStyle w:val="ListBullet"/>
      </w:pPr>
      <w:r>
        <w:t>Closing auction design: Random end time mechanism for closing auction provides better manipulation resistance compared to NASDAQ's fixed-time Closing Cross</w:t>
      </w:r>
    </w:p>
    <w:p>
      <w:pPr>
        <w:pStyle w:val="ListBullet"/>
      </w:pPr>
      <w:r>
        <w:t>Simpler access model: Standardized connectivity through KOSCOM reduces complexity for domestic participants</w:t>
      </w:r>
    </w:p>
    <w:p>
      <w:pPr>
        <w:pStyle w:val="ListBullet"/>
      </w:pPr>
      <w:r>
        <w:t>Solace hardware messaging: Purpose-built messaging appliances provide guaranteed, deterministic data delivery without the complexity of kernel-bypass software stacks</w:t>
      </w:r>
    </w:p>
    <w:p>
      <w:r>
        <w:t>Architectural Philosophy Differences:</w:t>
      </w:r>
    </w:p>
    <w:p>
      <w:pPr>
        <w:pStyle w:val="ListBullet"/>
      </w:pPr>
      <w:r>
        <w:t>NASDAQ INET is optimized for maximum speed in a fragmented market where multiple competing venues exist (14 U.S. stock exchanges + 30+ dark pools), demanding the lowest possible latency to attract order flow</w:t>
      </w:r>
    </w:p>
    <w:p>
      <w:pPr>
        <w:pStyle w:val="ListBullet"/>
      </w:pPr>
      <w:r>
        <w:t>KRX Exture+ is optimized for comprehensive coverage in a consolidated market where KRX operates as the sole exchange, prioritizing breadth of asset class support and system stability over raw speed competition</w:t>
      </w:r>
    </w:p>
    <w:p>
      <w:r>
        <w:t>────────────────────────────────────────────────────────────</w:t>
      </w:r>
    </w:p>
    <w:p>
      <w:pPr>
        <w:pStyle w:val="Heading2"/>
      </w:pPr>
      <w:r>
        <w:t>Sources</w:t>
      </w:r>
    </w:p>
    <w:p>
      <w:pPr>
        <w:pStyle w:val="ListBullet"/>
      </w:pPr>
      <w:r>
        <w:t>[Source: Nasdaq, Inc. IR, "NASDAQ Completes Acquisition of INET", accessed 2026-04-06](https://ir.nasdaq.com/news-releases/news-release-details/nasdaq-completes-acquisition-inet)</w:t>
      </w:r>
    </w:p>
    <w:p>
      <w:pPr>
        <w:pStyle w:val="ListBullet"/>
      </w:pPr>
      <w:r>
        <w:t>[Source: Nasdaq, Inc. IR, "NASDAQ to Acquire Instinet", accessed 2026-04-06](https://ir.nasdaq.com/news-releases/news-release-details/nasdaq-acquire-instinet)</w:t>
      </w:r>
    </w:p>
    <w:p>
      <w:pPr>
        <w:pStyle w:val="ListBullet"/>
      </w:pPr>
      <w:r>
        <w:t>[Source: Computerworld, "Nasdaq to Adopt Instinet's Engine", accessed 2026-04-06](https://www.computerworld.com/article/1712499/nasdaq-to-adopt-instinet-s-engine.html)</w:t>
      </w:r>
    </w:p>
    <w:p>
      <w:pPr>
        <w:pStyle w:val="ListBullet"/>
      </w:pPr>
      <w:r>
        <w:t>[Source: Computerworld, "Nasdaq CIO confirms move to open-source Instinet apps", accessed 2026-04-06](https://www.computerworld.com/article/2556008/nasdaq-cio-confirms-move-to-open-source-instinet-apps.html)</w:t>
      </w:r>
    </w:p>
    <w:p>
      <w:pPr>
        <w:pStyle w:val="ListBullet"/>
      </w:pPr>
      <w:r>
        <w:t>[Source: Nasdaq Newsroom, "Nasdaq Launches Eqlipse, Fourth Generation of its Marketplace Technology Platform", accessed 2026-04-06](https://www.nasdaq.com/newsroom/nasdaq-launches-eqlipse-fourth-generation-its-marketplace-technology-platform)</w:t>
      </w:r>
    </w:p>
    <w:p>
      <w:pPr>
        <w:pStyle w:val="ListBullet"/>
      </w:pPr>
      <w:r>
        <w:t>[Source: Nasdaq Solutions, "Exchange Matching Engine — Nasdaq Eqlipse Trading", accessed 2026-04-06](https://www.nasdaq.com/solutions/fintech/nasdaq-eqlipse/trading-technology/exchange-matching)</w:t>
      </w:r>
    </w:p>
    <w:p>
      <w:pPr>
        <w:pStyle w:val="ListBullet"/>
      </w:pPr>
      <w:r>
        <w:t>[Source: Nasdaq Solutions, "Capital Market Technology &amp; Business Solutions — Nasdaq Eqlipse", accessed 2026-04-06](https://www.nasdaq.com/solutions/fintech/nasdaq-eqlipse)</w:t>
      </w:r>
    </w:p>
    <w:p>
      <w:pPr>
        <w:pStyle w:val="ListBullet"/>
      </w:pPr>
      <w:r>
        <w:t>[Source: Nasdaq Solutions, "Nasdaq Eqlipse Trading Technology Software Solutions", accessed 2026-04-06](https://www.nasdaq.com/solutions/fintech/nasdaq-eqlipse/trading-technology)</w:t>
      </w:r>
    </w:p>
    <w:p>
      <w:pPr>
        <w:pStyle w:val="ListBullet"/>
      </w:pPr>
      <w:r>
        <w:t>[Source: Nasdaq Articles, "Introducing Nasdaq Eqlipse", accessed 2026-04-06](https://www.nasdaq.com/articles/fintech/introducing-nasdaq-eqlipse)</w:t>
      </w:r>
    </w:p>
    <w:p>
      <w:pPr>
        <w:pStyle w:val="ListBullet"/>
      </w:pPr>
      <w:r>
        <w:t>[Source: Markets Media, "Nasdaq Reaches 'New Base Camp' with Eqlipse", accessed 2026-04-06](https://www.marketsmedia.com/nasdaq-reaches-new-base-camp-with-eqlipse/)</w:t>
      </w:r>
    </w:p>
    <w:p>
      <w:pPr>
        <w:pStyle w:val="ListBullet"/>
      </w:pPr>
      <w:r>
        <w:t>[Source: NasdaqTrader.com, "OUCH Measurements of Order Latency", accessed 2026-04-06](https://www.nasdaqtrader.com/snippets/inet2.html)</w:t>
      </w:r>
    </w:p>
    <w:p>
      <w:pPr>
        <w:pStyle w:val="ListBullet"/>
      </w:pPr>
      <w:r>
        <w:t>[Source: NasdaqTrader.com, "OUCH Protocol", accessed 2026-04-06](https://www.nasdaqtrader.com/Trader.aspx?id=OUCH)</w:t>
      </w:r>
    </w:p>
    <w:p>
      <w:pPr>
        <w:pStyle w:val="ListBullet"/>
      </w:pPr>
      <w:r>
        <w:t>[Source: NasdaqTrader.com, "FIX Protocol", accessed 2026-04-06](https://www.nasdaqtrader.com/Trader.aspx?id=FIX)</w:t>
      </w:r>
    </w:p>
    <w:p>
      <w:pPr>
        <w:pStyle w:val="ListBullet"/>
      </w:pPr>
      <w:r>
        <w:t>[Source: NasdaqTrader.com, "RASHport", accessed 2026-04-06](https://www.nasdaqtrader.com/Trader.aspx?id=rash)</w:t>
      </w:r>
    </w:p>
    <w:p>
      <w:pPr>
        <w:pStyle w:val="ListBullet"/>
      </w:pPr>
      <w:r>
        <w:t>[Source: NasdaqTrader.com, "FIX Lite (Flite)", accessed 2026-04-06](https://www.nasdaqtrader.com/Trader.aspx?id=Flite)</w:t>
      </w:r>
    </w:p>
    <w:p>
      <w:pPr>
        <w:pStyle w:val="ListBullet"/>
      </w:pPr>
      <w:r>
        <w:t>[Source: NasdaqTrader.com, "FIX DROP RASH Format Version 1.00", October 2024, accessed 2026-04-06](https://nasdaqtrader.com/content/technicalsupport/specifications/TradingProducts/drop_fix.pdf)</w:t>
      </w:r>
    </w:p>
    <w:p>
      <w:pPr>
        <w:pStyle w:val="ListBullet"/>
      </w:pPr>
      <w:r>
        <w:t>[Source: NasdaqTrader.com, "TotalView-ITCH 5.0 Specification", accessed 2026-04-06](https://www.nasdaqtrader.com/content/technicalsupport/specifications/dataproducts/NQTVITCHSpecification.pdf)</w:t>
      </w:r>
    </w:p>
    <w:p>
      <w:pPr>
        <w:pStyle w:val="ListBullet"/>
      </w:pPr>
      <w:r>
        <w:t>[Source: NasdaqTrader.com, "North American Markets Protocol Quick Reference", accessed 2026-04-06](https://www.nasdaqtrader.com/content/ProductsServices/Trading/Protocols_quickref.pdf)</w:t>
      </w:r>
    </w:p>
    <w:p>
      <w:pPr>
        <w:pStyle w:val="ListBullet"/>
      </w:pPr>
      <w:r>
        <w:t>[Source: NasdaqTrader.com, "Direct Connect", accessed 2026-04-06](https://www.nasdaqtrader.com/trader.aspx?id=directconnect)</w:t>
      </w:r>
    </w:p>
    <w:p>
      <w:pPr>
        <w:pStyle w:val="ListBullet"/>
      </w:pPr>
      <w:r>
        <w:t>[Source: NasdaqTrader.com, "Nasdaq POP", accessed 2026-04-06](https://www.nasdaqtrader.com/Trader.aspx?id=POPs)</w:t>
      </w:r>
    </w:p>
    <w:p>
      <w:pPr>
        <w:pStyle w:val="ListBullet"/>
      </w:pPr>
      <w:r>
        <w:t>[Source: Nasdaq Solutions, "Nasdaq Direct Connectivity", accessed 2026-04-06](https://www.nasdaq.com/solutions/nasdaq-direct-connectivity)</w:t>
      </w:r>
    </w:p>
    <w:p>
      <w:pPr>
        <w:pStyle w:val="ListBullet"/>
      </w:pPr>
      <w:r>
        <w:t>[Source: Nasdaq Solutions, "INET Nordic Protocol Specifications", accessed 2026-04-06](https://www.nasdaq.com/solutions/inet-nordic-protocol-specifications)</w:t>
      </w:r>
    </w:p>
    <w:p>
      <w:pPr>
        <w:pStyle w:val="ListBullet"/>
      </w:pPr>
      <w:r>
        <w:t>[Source: Nasdaq Solutions, "Genium INET Protocol Specifications", accessed 2026-04-06](https://www.nasdaq.com/solutions/genium-inet-protocol-specifications)</w:t>
      </w:r>
    </w:p>
    <w:p>
      <w:pPr>
        <w:pStyle w:val="ListBullet"/>
      </w:pPr>
      <w:r>
        <w:t>[Source: Nasdaq Solutions, "Nasdaq Financial Framework (NFF)", accessed 2026-04-06](https://www.nasdaq.com/solutions/nasdaq-financial-framework-nff)</w:t>
      </w:r>
    </w:p>
    <w:p>
      <w:pPr>
        <w:pStyle w:val="ListBullet"/>
      </w:pPr>
      <w:r>
        <w:t>[Source: Nasdaq Solutions, "Trading Technologies — Trade Matching System FAQs", accessed 2026-04-06](https://www.nasdaq.com/solutions/fintech/nasdaq-eqlipse/trading-technology/faqs)</w:t>
      </w:r>
    </w:p>
    <w:p>
      <w:pPr>
        <w:pStyle w:val="ListBullet"/>
      </w:pPr>
      <w:r>
        <w:t>[Source: A-Team Insight, "With SIX Rollout, Nasdaq OMX Pushes Matching Latency Below 40 Microseconds", accessed 2026-04-06](https://a-teaminsight.com/blog/with-six-rollout-nasdaq-omx-pushes-matching-latency-below-40-microseconds/)</w:t>
      </w:r>
    </w:p>
    <w:p>
      <w:pPr>
        <w:pStyle w:val="ListBullet"/>
      </w:pPr>
      <w:r>
        <w:t>[Source: Data Center Dynamics, "Nasdaq breaks ground on data center expansion at Equinix facility in New Jersey", accessed 2026-04-06](https://www.datacenterdynamics.com/en/news/nasdaq-breaks-ground-on-data-center-expansion-at-equinix-facility-in-new-jersey/)</w:t>
      </w:r>
    </w:p>
    <w:p>
      <w:pPr>
        <w:pStyle w:val="ListBullet"/>
      </w:pPr>
      <w:r>
        <w:t>[Source: GlobeNewsWire, "Nasdaq Financial Framework Technology Extended to Banks and Brokers", September 2018, accessed 2026-04-06](https://www.globenewswire.com/news-release/2018/09/11/1568959/0/en/Nasdaq-Financial-Framework-Technology-Extended-to-Banks-and-Brokers-Worldwide.html)</w:t>
      </w:r>
    </w:p>
    <w:p>
      <w:pPr>
        <w:pStyle w:val="ListBullet"/>
      </w:pPr>
      <w:r>
        <w:t>[Source: StockTitan, "Japan's Osaka Exchange Adopts Nasdaq Eqlipse Trading", February 2026, accessed 2026-04-06](https://www.stocktitan.net/news/NDAQ/japan-s-osaka-exchange-adopts-nasdaq-eqlipse-trading-and-od1cpdqs01a1.html)</w:t>
      </w:r>
    </w:p>
    <w:p>
      <w:pPr>
        <w:pStyle w:val="ListBullet"/>
      </w:pPr>
      <w:r>
        <w:t>[Source: Databento, "What is the ITCH protocol?", accessed 2026-04-06](https://databento.com/microstructure/itch)</w:t>
      </w:r>
    </w:p>
    <w:p>
      <w:pPr>
        <w:pStyle w:val="ListBullet"/>
      </w:pPr>
      <w:r>
        <w:t>[Source: Databento, "Nasdaq TotalView-ITCH: Data feed specifications", accessed 2026-04-06](https://databento.com/docs/venues-and-datasets/xnas-itch)</w:t>
      </w:r>
    </w:p>
    <w:p>
      <w:pPr>
        <w:pStyle w:val="ListBullet"/>
      </w:pPr>
      <w:r>
        <w:t>[Source: OnixS, "ITCH Protocol Overview", accessed 2026-04-06](https://www.onixs.biz/itch-protocol.html)</w:t>
      </w:r>
    </w:p>
    <w:p>
      <w:pPr>
        <w:pStyle w:val="ListBullet"/>
      </w:pPr>
      <w:r>
        <w:t>[Source: SIX Group, "X-Stream INET Performance Measurement Details", accessed 2026-04-06](https://www.six-group.com/dam/download/the-swiss-stock-exchange/trading/trading-platform/x-stream-inet-performance-measurement-details.pdf)</w:t>
      </w:r>
    </w:p>
    <w:p>
      <w:pPr>
        <w:pStyle w:val="ListBullet"/>
      </w:pPr>
      <w:r>
        <w:t>[Source: Wikipedia, "Inet", accessed 2026-04-06](https://en.wikipedia.org/wiki/Inet)</w:t>
      </w:r>
    </w:p>
    <w:p>
      <w:pPr>
        <w:pStyle w:val="ListBullet"/>
      </w:pPr>
      <w:r>
        <w:t>[Source: Solace, "KRX — Korea Exchange", accessed 2026-04-06](https://solace.com/company/customers/krx/)</w:t>
      </w:r>
    </w:p>
    <w:p>
      <w:pPr>
        <w:pStyle w:val="ListBullet"/>
      </w:pPr>
      <w:r>
        <w:t>[Source: KRX Global, "EXTURE+ Trading", accessed 2026-04-06](https://global.krx.co.kr/contents/GLB/04/0402/0402020000/GLB0402020000.jsp)</w:t>
      </w:r>
    </w:p>
    <w:p>
      <w:pPr>
        <w:pStyle w:val="ListBullet"/>
      </w:pPr>
      <w:r>
        <w:t>[Source: KOSCOM, "KRX Trading System", accessed 2026-04-06](https://english.koscom.co.kr/eng/main/contents.do?menuNo=300005)</w:t>
      </w:r>
    </w:p>
    <w:p>
      <w:pPr>
        <w:pStyle w:val="ListBullet"/>
      </w:pPr>
      <w:r>
        <w:t>[Source: Traders Magazine, "Cover Sidebar: Nasdaq Claims to Be the Fastest", accessed 2026-04-06](https://www.tradersmagazine.com/departments/ecns_and_exchanges/cover-sidebar-nasdaq-claims-to-be-the-fastest/)</w:t>
      </w:r>
    </w:p>
    <w:p>
      <w:pPr>
        <w:pStyle w:val="ListBullet"/>
      </w:pPr>
      <w:r>
        <w:t>[Source: FFNews, "DXmatch vs Nasdaq Matching Engine Technology", accessed 2026-04-06](https://ffnews.com/thought-leader/dxmatch-vs-nasdaq-matching-engine-technology-comparing-two-standout-solutions/)</w:t>
      </w:r>
    </w:p>
    <w:p>
      <w:pPr>
        <w:pStyle w:val="ListBullet"/>
      </w:pPr>
      <w:r>
        <w:t>[Source: Nasdaq, "How Asset Marketplaces Benefit from Matching Engines", accessed 2026-04-06](https://www.nasdaq.com/solutions/fintech/marketplace-technology/about-matching-engines)</w:t>
      </w:r>
    </w:p>
    <w:p>
      <w:pPr>
        <w:pStyle w:val="ListBullet"/>
      </w:pPr>
      <w:r>
        <w:t>[Source: bobsguide, "Market Technology: Genium INET, X-stream, X-stream INET", accessed 2026-04-06](https://www.bobsguide.com/products/market-technology-genium-inet-x-stream-x-stream-inet/)</w:t>
      </w:r>
    </w:p>
    <w:p>
      <w:pPr>
        <w:pStyle w:val="ListBullet"/>
      </w:pPr>
      <w:r>
        <w:t>[Source: Nasdaq, Inc. IR, "NASDAQ OMX Announces INET Next Generation Trading Technology", accessed 2026-04-06](http://ir.nasdaqomx.com/news-releases/news-release-details/nasdaq-omx-announces-inet-next-generation-trading-technology)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