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Millennium Exchange — London Stock Exchange</w:t>
      </w:r>
    </w:p>
    <w:p>
      <w:r>
        <w:rPr>
          <w:i/>
          <w:sz w:val="18"/>
        </w:rPr>
        <w:t>**Last Updated:** 2026-04-06</w:t>
      </w:r>
    </w:p>
    <w:p>
      <w:r>
        <w:rPr>
          <w:i/>
          <w:sz w:val="18"/>
        </w:rPr>
        <w:t>**System Category:** Trading System</w:t>
      </w:r>
    </w:p>
    <w:p>
      <w:r>
        <w:t>────────────────────────────────────────────────────────────</w:t>
      </w:r>
    </w:p>
    <w:p>
      <w:pPr>
        <w:pStyle w:val="Heading2"/>
      </w:pPr>
      <w:r>
        <w:t>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Millennium Exchange</w:t>
            </w:r>
          </w:p>
        </w:tc>
      </w:tr>
      <w:tr>
        <w:tc>
          <w:tcPr>
            <w:tcW w:type="dxa" w:w="4320"/>
          </w:tcPr>
          <w:p>
            <w:pPr/>
            <w:r>
              <w:rPr>
                <w:sz w:val="18"/>
              </w:rPr>
              <w:t>Operated By</w:t>
            </w:r>
          </w:p>
        </w:tc>
        <w:tc>
          <w:tcPr>
            <w:tcW w:type="dxa" w:w="4320"/>
          </w:tcPr>
          <w:p>
            <w:pPr/>
            <w:r>
              <w:rPr>
                <w:sz w:val="18"/>
              </w:rPr>
              <w:t>London Stock Exchange Group (LSEG), developed and maintained by MillenniumIT (wholly-owned LSEG subsidiary, Colombo, Sri Lanka)</w:t>
            </w:r>
          </w:p>
        </w:tc>
      </w:tr>
      <w:tr>
        <w:tc>
          <w:tcPr>
            <w:tcW w:type="dxa" w:w="4320"/>
          </w:tcPr>
          <w:p>
            <w:pPr/>
            <w:r>
              <w:rPr>
                <w:sz w:val="18"/>
              </w:rPr>
              <w:t>Purpose</w:t>
            </w:r>
          </w:p>
        </w:tc>
        <w:tc>
          <w:tcPr>
            <w:tcW w:type="dxa" w:w="4320"/>
          </w:tcPr>
          <w:p>
            <w:pPr/>
            <w:r>
              <w:rPr>
                <w:sz w:val="18"/>
              </w:rPr>
              <w:t>Multi-asset class electronic trading platform providing order matching, market data dissemination, and trade reporting for equities, ETFs, fixed income, and derivatives</w:t>
            </w:r>
          </w:p>
        </w:tc>
      </w:tr>
      <w:tr>
        <w:tc>
          <w:tcPr>
            <w:tcW w:type="dxa" w:w="4320"/>
          </w:tcPr>
          <w:p>
            <w:pPr/>
            <w:r>
              <w:rPr>
                <w:sz w:val="18"/>
              </w:rPr>
              <w:t>Launch Year</w:t>
            </w:r>
          </w:p>
        </w:tc>
        <w:tc>
          <w:tcPr>
            <w:tcW w:type="dxa" w:w="4320"/>
          </w:tcPr>
          <w:p>
            <w:pPr/>
            <w:r>
              <w:rPr>
                <w:sz w:val="18"/>
              </w:rPr>
              <w:t>2011 (live 14 February 2011 on LSE; Turquoise migrated October 2010)</w:t>
            </w:r>
          </w:p>
        </w:tc>
      </w:tr>
      <w:tr>
        <w:tc>
          <w:tcPr>
            <w:tcW w:type="dxa" w:w="4320"/>
          </w:tcPr>
          <w:p>
            <w:pPr/>
            <w:r>
              <w:rPr>
                <w:sz w:val="18"/>
              </w:rPr>
              <w:t>Current Version</w:t>
            </w:r>
          </w:p>
        </w:tc>
        <w:tc>
          <w:tcPr>
            <w:tcW w:type="dxa" w:w="4320"/>
          </w:tcPr>
          <w:p>
            <w:pPr/>
            <w:r>
              <w:rPr>
                <w:sz w:val="18"/>
              </w:rPr>
              <w:t>Continuously upgraded; latest functional release 1.24.0 (August 2024); MIT201 Guide to the Trading System Issue 15.7 (draft, 2024)</w:t>
            </w:r>
          </w:p>
        </w:tc>
      </w:tr>
      <w:tr>
        <w:tc>
          <w:tcPr>
            <w:tcW w:type="dxa" w:w="4320"/>
          </w:tcPr>
          <w:p>
            <w:pPr/>
            <w:r>
              <w:rPr>
                <w:sz w:val="18"/>
              </w:rPr>
              <w:t>Vendor / In-house</w:t>
            </w:r>
          </w:p>
        </w:tc>
        <w:tc>
          <w:tcPr>
            <w:tcW w:type="dxa" w:w="4320"/>
          </w:tcPr>
          <w:p>
            <w:pPr/>
            <w:r>
              <w:rPr>
                <w:sz w:val="18"/>
              </w:rPr>
              <w:t>In-house — developed by MillenniumIT, acquired by LSEG in 2009 for GBP 18 million</w:t>
            </w:r>
          </w:p>
        </w:tc>
      </w:tr>
    </w:tbl>
    <w:p/>
    <w:p>
      <w:pPr>
        <w:pStyle w:val="Heading3"/>
      </w:pPr>
      <w:r>
        <w:t>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 Name</w:t>
            </w:r>
          </w:p>
        </w:tc>
        <w:tc>
          <w:tcPr>
            <w:tcW w:type="dxa" w:w="2880"/>
          </w:tcPr>
          <w:p>
            <w:pPr/>
            <w:r>
              <w:rPr>
                <w:b/>
                <w:sz w:val="18"/>
              </w:rPr>
              <w:t>Key Changes</w:t>
            </w:r>
          </w:p>
        </w:tc>
      </w:tr>
      <w:tr>
        <w:tc>
          <w:tcPr>
            <w:tcW w:type="dxa" w:w="2880"/>
          </w:tcPr>
          <w:p>
            <w:pPr/>
            <w:r>
              <w:rPr>
                <w:sz w:val="18"/>
              </w:rPr>
              <w:t>Pre-1986</w:t>
            </w:r>
          </w:p>
        </w:tc>
        <w:tc>
          <w:tcPr>
            <w:tcW w:type="dxa" w:w="2880"/>
          </w:tcPr>
          <w:p>
            <w:pPr/>
            <w:r>
              <w:rPr>
                <w:sz w:val="18"/>
              </w:rPr>
              <w:t>Floor Trading (Open Outcry)</w:t>
            </w:r>
          </w:p>
        </w:tc>
        <w:tc>
          <w:tcPr>
            <w:tcW w:type="dxa" w:w="2880"/>
          </w:tcPr>
          <w:p>
            <w:pPr/>
            <w:r>
              <w:rPr>
                <w:sz w:val="18"/>
              </w:rPr>
              <w:t>Physical trading floor at the Royal Exchange and later the Stock Exchange Tower; jobbers and brokers separated by strict roles</w:t>
            </w:r>
          </w:p>
        </w:tc>
      </w:tr>
      <w:tr>
        <w:tc>
          <w:tcPr>
            <w:tcW w:type="dxa" w:w="2880"/>
          </w:tcPr>
          <w:p>
            <w:pPr/>
            <w:r>
              <w:rPr>
                <w:sz w:val="18"/>
              </w:rPr>
              <w:t>1986-1997</w:t>
            </w:r>
          </w:p>
        </w:tc>
        <w:tc>
          <w:tcPr>
            <w:tcW w:type="dxa" w:w="2880"/>
          </w:tcPr>
          <w:p>
            <w:pPr/>
            <w:r>
              <w:rPr>
                <w:sz w:val="18"/>
              </w:rPr>
              <w:t>SEAQ (Stock Exchange Automated Quotation)</w:t>
            </w:r>
          </w:p>
        </w:tc>
        <w:tc>
          <w:tcPr>
            <w:tcW w:type="dxa" w:w="2880"/>
          </w:tcPr>
          <w:p>
            <w:pPr/>
            <w:r>
              <w:rPr>
                <w:sz w:val="18"/>
              </w:rPr>
              <w:t>Introduced during the "Big Bang" deregulation; screen-based quote display system; quote-driven market with competing market makers; no electronic order matching</w:t>
            </w:r>
          </w:p>
        </w:tc>
      </w:tr>
      <w:tr>
        <w:tc>
          <w:tcPr>
            <w:tcW w:type="dxa" w:w="2880"/>
          </w:tcPr>
          <w:p>
            <w:pPr/>
            <w:r>
              <w:rPr>
                <w:sz w:val="18"/>
              </w:rPr>
              <w:t>1997-2007</w:t>
            </w:r>
          </w:p>
        </w:tc>
        <w:tc>
          <w:tcPr>
            <w:tcW w:type="dxa" w:w="2880"/>
          </w:tcPr>
          <w:p>
            <w:pPr/>
            <w:r>
              <w:rPr>
                <w:sz w:val="18"/>
              </w:rPr>
              <w:t>SETS (Stock Exchange Electronic Trading Service)</w:t>
            </w:r>
          </w:p>
        </w:tc>
        <w:tc>
          <w:tcPr>
            <w:tcW w:type="dxa" w:w="2880"/>
          </w:tcPr>
          <w:p>
            <w:pPr/>
            <w:r>
              <w:rPr>
                <w:sz w:val="18"/>
              </w:rPr>
              <w:t>First electronic order book for LSE; order-driven with price/time priority matching; launched for FTSE 100 stocks, gradually expanded</w:t>
            </w:r>
          </w:p>
        </w:tc>
      </w:tr>
      <w:tr>
        <w:tc>
          <w:tcPr>
            <w:tcW w:type="dxa" w:w="2880"/>
          </w:tcPr>
          <w:p>
            <w:pPr/>
            <w:r>
              <w:rPr>
                <w:sz w:val="18"/>
              </w:rPr>
              <w:t>2007</w:t>
            </w:r>
          </w:p>
        </w:tc>
        <w:tc>
          <w:tcPr>
            <w:tcW w:type="dxa" w:w="2880"/>
          </w:tcPr>
          <w:p>
            <w:pPr/>
            <w:r>
              <w:rPr>
                <w:sz w:val="18"/>
              </w:rPr>
              <w:t>SETSqx Launch</w:t>
            </w:r>
          </w:p>
        </w:tc>
        <w:tc>
          <w:tcPr>
            <w:tcW w:type="dxa" w:w="2880"/>
          </w:tcPr>
          <w:p>
            <w:pPr/>
            <w:r>
              <w:rPr>
                <w:sz w:val="18"/>
              </w:rPr>
              <w:t>Hybrid platform combining periodic auctions (from SETS) with continuous market maker quotes (from SEAQ); introduced for less liquid securities</w:t>
            </w:r>
          </w:p>
        </w:tc>
      </w:tr>
      <w:tr>
        <w:tc>
          <w:tcPr>
            <w:tcW w:type="dxa" w:w="2880"/>
          </w:tcPr>
          <w:p>
            <w:pPr/>
            <w:r>
              <w:rPr>
                <w:sz w:val="18"/>
              </w:rPr>
              <w:t>2007-2011</w:t>
            </w:r>
          </w:p>
        </w:tc>
        <w:tc>
          <w:tcPr>
            <w:tcW w:type="dxa" w:w="2880"/>
          </w:tcPr>
          <w:p>
            <w:pPr/>
            <w:r>
              <w:rPr>
                <w:sz w:val="18"/>
              </w:rPr>
              <w:t>TradElect</w:t>
            </w:r>
          </w:p>
        </w:tc>
        <w:tc>
          <w:tcPr>
            <w:tcW w:type="dxa" w:w="2880"/>
          </w:tcPr>
          <w:p>
            <w:pPr/>
            <w:r>
              <w:rPr>
                <w:sz w:val="18"/>
              </w:rPr>
              <w:t>Built on Microsoft .NET framework with Windows Server 2003 and SQL Server 2000; developed by Accenture; launched with ~10 ms latency but degraded to ~6 ms average under load; suffered reliability issues including a notable 7-hour outage in September 2008</w:t>
            </w:r>
          </w:p>
        </w:tc>
      </w:tr>
      <w:tr>
        <w:tc>
          <w:tcPr>
            <w:tcW w:type="dxa" w:w="2880"/>
          </w:tcPr>
          <w:p>
            <w:pPr/>
            <w:r>
              <w:rPr>
                <w:sz w:val="18"/>
              </w:rPr>
              <w:t>2009</w:t>
            </w:r>
          </w:p>
        </w:tc>
        <w:tc>
          <w:tcPr>
            <w:tcW w:type="dxa" w:w="2880"/>
          </w:tcPr>
          <w:p>
            <w:pPr/>
            <w:r>
              <w:rPr>
                <w:sz w:val="18"/>
              </w:rPr>
              <w:t>MillenniumIT Acquisition</w:t>
            </w:r>
          </w:p>
        </w:tc>
        <w:tc>
          <w:tcPr>
            <w:tcW w:type="dxa" w:w="2880"/>
          </w:tcPr>
          <w:p>
            <w:pPr/>
            <w:r>
              <w:rPr>
                <w:sz w:val="18"/>
              </w:rPr>
              <w:t>LSEG acquired MillenniumIT (Sri Lanka) for GBP 18 million (announced 16 September 2009, completed 19 October 2009); strategic decision to replace TradElect with Linux/C++ platform</w:t>
            </w:r>
          </w:p>
        </w:tc>
      </w:tr>
      <w:tr>
        <w:tc>
          <w:tcPr>
            <w:tcW w:type="dxa" w:w="2880"/>
          </w:tcPr>
          <w:p>
            <w:pPr/>
            <w:r>
              <w:rPr>
                <w:sz w:val="18"/>
              </w:rPr>
              <w:t>Oct 2010</w:t>
            </w:r>
          </w:p>
        </w:tc>
        <w:tc>
          <w:tcPr>
            <w:tcW w:type="dxa" w:w="2880"/>
          </w:tcPr>
          <w:p>
            <w:pPr/>
            <w:r>
              <w:rPr>
                <w:sz w:val="18"/>
              </w:rPr>
              <w:t>Turquoise Migration</w:t>
            </w:r>
          </w:p>
        </w:tc>
        <w:tc>
          <w:tcPr>
            <w:tcW w:type="dxa" w:w="2880"/>
          </w:tcPr>
          <w:p>
            <w:pPr/>
            <w:r>
              <w:rPr>
                <w:sz w:val="18"/>
              </w:rPr>
              <w:t>Turquoise dark pool migrated to Millennium Exchange; achieved 126 microsecond average latency — claimed world record at the time</w:t>
            </w:r>
          </w:p>
        </w:tc>
      </w:tr>
      <w:tr>
        <w:tc>
          <w:tcPr>
            <w:tcW w:type="dxa" w:w="2880"/>
          </w:tcPr>
          <w:p>
            <w:pPr/>
            <w:r>
              <w:rPr>
                <w:sz w:val="18"/>
              </w:rPr>
              <w:t>Feb 2011</w:t>
            </w:r>
          </w:p>
        </w:tc>
        <w:tc>
          <w:tcPr>
            <w:tcW w:type="dxa" w:w="2880"/>
          </w:tcPr>
          <w:p>
            <w:pPr/>
            <w:r>
              <w:rPr>
                <w:sz w:val="18"/>
              </w:rPr>
              <w:t>Millennium Exchange Go-Live (LSE)</w:t>
            </w:r>
          </w:p>
        </w:tc>
        <w:tc>
          <w:tcPr>
            <w:tcW w:type="dxa" w:w="2880"/>
          </w:tcPr>
          <w:p>
            <w:pPr/>
            <w:r>
              <w:rPr>
                <w:sz w:val="18"/>
              </w:rPr>
              <w:t>"Big bang" migration replaced TradElect entirely on 14 February 2011; after 15 months of testing; SETS, SETSqx, and SEAQ all running on Millennium platform</w:t>
            </w:r>
          </w:p>
        </w:tc>
      </w:tr>
      <w:tr>
        <w:tc>
          <w:tcPr>
            <w:tcW w:type="dxa" w:w="2880"/>
          </w:tcPr>
          <w:p>
            <w:pPr/>
            <w:r>
              <w:rPr>
                <w:sz w:val="18"/>
              </w:rPr>
              <w:t>Jun 2012</w:t>
            </w:r>
          </w:p>
        </w:tc>
        <w:tc>
          <w:tcPr>
            <w:tcW w:type="dxa" w:w="2880"/>
          </w:tcPr>
          <w:p>
            <w:pPr/>
            <w:r>
              <w:rPr>
                <w:sz w:val="18"/>
              </w:rPr>
              <w:t>Borsa Italiana Migration</w:t>
            </w:r>
          </w:p>
        </w:tc>
        <w:tc>
          <w:tcPr>
            <w:tcW w:type="dxa" w:w="2880"/>
          </w:tcPr>
          <w:p>
            <w:pPr/>
            <w:r>
              <w:rPr>
                <w:sz w:val="18"/>
              </w:rPr>
              <w:t>Borsa Italiana cash markets (including ETFplus) migrated to Millennium Exchange platform</w:t>
            </w:r>
          </w:p>
        </w:tc>
      </w:tr>
      <w:tr>
        <w:tc>
          <w:tcPr>
            <w:tcW w:type="dxa" w:w="2880"/>
          </w:tcPr>
          <w:p>
            <w:pPr/>
            <w:r>
              <w:rPr>
                <w:sz w:val="18"/>
              </w:rPr>
              <w:t>2014-present</w:t>
            </w:r>
          </w:p>
        </w:tc>
        <w:tc>
          <w:tcPr>
            <w:tcW w:type="dxa" w:w="2880"/>
          </w:tcPr>
          <w:p>
            <w:pPr/>
            <w:r>
              <w:rPr>
                <w:sz w:val="18"/>
              </w:rPr>
              <w:t>Global Expansion</w:t>
            </w:r>
          </w:p>
        </w:tc>
        <w:tc>
          <w:tcPr>
            <w:tcW w:type="dxa" w:w="2880"/>
          </w:tcPr>
          <w:p>
            <w:pPr/>
            <w:r>
              <w:rPr>
                <w:sz w:val="18"/>
              </w:rPr>
              <w:t>Platform deployed across 40+ financial market infrastructure firms globally; Millennium Advanced Platform (MAP) introduced as integrated multi-asset offering</w:t>
            </w:r>
          </w:p>
        </w:tc>
      </w:tr>
      <w:tr>
        <w:tc>
          <w:tcPr>
            <w:tcW w:type="dxa" w:w="2880"/>
          </w:tcPr>
          <w:p>
            <w:pPr/>
            <w:r>
              <w:rPr>
                <w:sz w:val="18"/>
              </w:rPr>
              <w:t>Q3 2021-Aug 2022</w:t>
            </w:r>
          </w:p>
        </w:tc>
        <w:tc>
          <w:tcPr>
            <w:tcW w:type="dxa" w:w="2880"/>
          </w:tcPr>
          <w:p>
            <w:pPr/>
            <w:r>
              <w:rPr>
                <w:sz w:val="18"/>
              </w:rPr>
              <w:t>Primary Data Center Migration</w:t>
            </w:r>
          </w:p>
        </w:tc>
        <w:tc>
          <w:tcPr>
            <w:tcW w:type="dxa" w:w="2880"/>
          </w:tcPr>
          <w:p>
            <w:pPr/>
            <w:r>
              <w:rPr>
                <w:sz w:val="18"/>
              </w:rPr>
              <w:t>LSEG migrated from City of London (legacy) data center to newly-built Telehouse campus on Isle of Dogs (Docklands)</w:t>
            </w:r>
          </w:p>
        </w:tc>
      </w:tr>
      <w:tr>
        <w:tc>
          <w:tcPr>
            <w:tcW w:type="dxa" w:w="2880"/>
          </w:tcPr>
          <w:p>
            <w:pPr/>
            <w:r>
              <w:rPr>
                <w:sz w:val="18"/>
              </w:rPr>
              <w:t>Mar 2025</w:t>
            </w:r>
          </w:p>
        </w:tc>
        <w:tc>
          <w:tcPr>
            <w:tcW w:type="dxa" w:w="2880"/>
          </w:tcPr>
          <w:p>
            <w:pPr/>
            <w:r>
              <w:rPr>
                <w:sz w:val="18"/>
              </w:rPr>
              <w:t>Casablanca Stock Exchange</w:t>
            </w:r>
          </w:p>
        </w:tc>
        <w:tc>
          <w:tcPr>
            <w:tcW w:type="dxa" w:w="2880"/>
          </w:tcPr>
          <w:p>
            <w:pPr/>
            <w:r>
              <w:rPr>
                <w:sz w:val="18"/>
              </w:rPr>
              <w:t>CSE went live with Millennium Exchange for equities and fixed income, underpinned by Millennium Advanced Platform (MAP)</w:t>
            </w:r>
          </w:p>
        </w:tc>
      </w:tr>
    </w:tbl>
    <w:p/>
    <w:p>
      <w:r>
        <w:t>────────────────────────────────────────────────────────────</w:t>
      </w:r>
    </w:p>
    <w:p>
      <w:pPr>
        <w:pStyle w:val="Heading2"/>
      </w:pPr>
      <w:r>
        <w:t>2. Architecture</w:t>
      </w:r>
    </w:p>
    <w:p>
      <w:pPr>
        <w:pStyle w:val="Heading3"/>
      </w:pPr>
      <w:r>
        <w:t>2.1 High-Level Design</w:t>
      </w:r>
    </w:p>
    <w:p>
      <w:pPr>
        <w:pStyle w:val="ListBullet"/>
      </w:pPr>
      <w:r>
        <w:t>Distributed, event-driven architecture running on commodity hardware</w:t>
      </w:r>
    </w:p>
    <w:p>
      <w:pPr>
        <w:pStyle w:val="ListBullet"/>
      </w:pPr>
      <w:r>
        <w:t>On-premise deployment with dedicated primary and disaster recovery data centers</w:t>
      </w:r>
    </w:p>
    <w:p>
      <w:pPr>
        <w:pStyle w:val="ListBullet"/>
      </w:pPr>
      <w:r>
        <w:t>Software-based fault tolerance — no reliance on proprietary or specialized hardware; resilience achieved through application-level redundancy and real-time state replication</w:t>
      </w:r>
    </w:p>
    <w:p>
      <w:pPr>
        <w:pStyle w:val="ListBullet"/>
      </w:pPr>
      <w:r>
        <w:t>Modular design — matching engine, gateways, market data publisher, surveillance, and risk management operate as distinct but tightly integrated components</w:t>
      </w:r>
    </w:p>
    <w:p>
      <w:pPr>
        <w:pStyle w:val="ListBullet"/>
      </w:pPr>
      <w:r>
        <w:t>Multi-market capability — single platform instance can host multiple trading services (SETS, SETSqx, SEAQ) with different trading models simultaneously</w:t>
      </w:r>
    </w:p>
    <w:p>
      <w:r>
        <w:t>The architecture follows a classic exchange design pattern: order entry gateways accept and validate inbound orders via TCP/IP connections, route them to the central matching engine, which executes price/time priority matching and generates execution reports. The market data publisher captures all order book events and disseminates them via UDP multicast to subscribers. A Group Ticker Plant (GTP) aggregates and normalizes data across venues with intelligent throttling — latency-sensitive messages (trades, BBO changes) are sent in single-message UDP packets, while non-latency-sensitive messages are batched into multi-message packets.</w:t>
      </w:r>
    </w:p>
    <w:p>
      <w:pPr>
        <w:pStyle w:val="Heading3"/>
      </w:pPr>
      <w:r>
        <w:t>2.2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Function</w:t>
            </w:r>
          </w:p>
        </w:tc>
        <w:tc>
          <w:tcPr>
            <w:tcW w:type="dxa" w:w="2880"/>
          </w:tcPr>
          <w:p>
            <w:pPr/>
            <w:r>
              <w:rPr>
                <w:b/>
                <w:sz w:val="18"/>
              </w:rPr>
              <w:t>Technology</w:t>
            </w:r>
          </w:p>
        </w:tc>
      </w:tr>
      <w:tr>
        <w:tc>
          <w:tcPr>
            <w:tcW w:type="dxa" w:w="2880"/>
          </w:tcPr>
          <w:p>
            <w:pPr/>
            <w:r>
              <w:rPr>
                <w:sz w:val="18"/>
              </w:rPr>
              <w:t>**Matching Engine**</w:t>
            </w:r>
          </w:p>
        </w:tc>
        <w:tc>
          <w:tcPr>
            <w:tcW w:type="dxa" w:w="2880"/>
          </w:tcPr>
          <w:p>
            <w:pPr/>
            <w:r>
              <w:rPr>
                <w:sz w:val="18"/>
              </w:rPr>
              <w:t>Central order book management and price/time priority matching for continuous trading and auction mechanisms (opening, closing, volatility, periodic); supports multiple concurrent order books across SETS, SETSqx, and SEAQ</w:t>
            </w:r>
          </w:p>
        </w:tc>
        <w:tc>
          <w:tcPr>
            <w:tcW w:type="dxa" w:w="2880"/>
          </w:tcPr>
          <w:p>
            <w:pPr/>
            <w:r>
              <w:rPr>
                <w:sz w:val="18"/>
              </w:rPr>
              <w:t>C++ on SUSE Linux; in-memory processing; deterministic execution path</w:t>
            </w:r>
          </w:p>
        </w:tc>
      </w:tr>
      <w:tr>
        <w:tc>
          <w:tcPr>
            <w:tcW w:type="dxa" w:w="2880"/>
          </w:tcPr>
          <w:p>
            <w:pPr/>
            <w:r>
              <w:rPr>
                <w:sz w:val="18"/>
              </w:rPr>
              <w:t>**Native Trading Gateway**</w:t>
            </w:r>
          </w:p>
        </w:tc>
        <w:tc>
          <w:tcPr>
            <w:tcW w:type="dxa" w:w="2880"/>
          </w:tcPr>
          <w:p>
            <w:pPr/>
            <w:r>
              <w:rPr>
                <w:sz w:val="18"/>
              </w:rPr>
              <w:t>Low-latency binary order entry interface for member firms; provides order submission, amendment, cancellation, and execution reports via persistent TCP/IP sessions; supports Real Time Channel and Recovery Channel</w:t>
            </w:r>
          </w:p>
        </w:tc>
        <w:tc>
          <w:tcPr>
            <w:tcW w:type="dxa" w:w="2880"/>
          </w:tcPr>
          <w:p>
            <w:pPr/>
            <w:r>
              <w:rPr>
                <w:sz w:val="18"/>
              </w:rPr>
              <w:t>Proprietary binary protocol (MIT203 specification); TCP/IP; ~126 microseconds average latency</w:t>
            </w:r>
          </w:p>
        </w:tc>
      </w:tr>
      <w:tr>
        <w:tc>
          <w:tcPr>
            <w:tcW w:type="dxa" w:w="2880"/>
          </w:tcPr>
          <w:p>
            <w:pPr/>
            <w:r>
              <w:rPr>
                <w:sz w:val="18"/>
              </w:rPr>
              <w:t>**FIX Trading Gateway**</w:t>
            </w:r>
          </w:p>
        </w:tc>
        <w:tc>
          <w:tcPr>
            <w:tcW w:type="dxa" w:w="2880"/>
          </w:tcPr>
          <w:p>
            <w:pPr/>
            <w:r>
              <w:rPr>
                <w:sz w:val="18"/>
              </w:rPr>
              <w:t>Industry-standard order entry interface using FIX 5.0 SP2; provides equivalent functionality to Native gateway with broader compatibility</w:t>
            </w:r>
          </w:p>
        </w:tc>
        <w:tc>
          <w:tcPr>
            <w:tcW w:type="dxa" w:w="2880"/>
          </w:tcPr>
          <w:p>
            <w:pPr/>
            <w:r>
              <w:rPr>
                <w:sz w:val="18"/>
              </w:rPr>
              <w:t>FIX 5.0 SP2 protocol (MIT202 specification); TCP/IP; ~196 microseconds average latency</w:t>
            </w:r>
          </w:p>
        </w:tc>
      </w:tr>
      <w:tr>
        <w:tc>
          <w:tcPr>
            <w:tcW w:type="dxa" w:w="2880"/>
          </w:tcPr>
          <w:p>
            <w:pPr/>
            <w:r>
              <w:rPr>
                <w:sz w:val="18"/>
              </w:rPr>
              <w:t>**Market Data Publisher (MITCH)**</w:t>
            </w:r>
          </w:p>
        </w:tc>
        <w:tc>
          <w:tcPr>
            <w:tcW w:type="dxa" w:w="2880"/>
          </w:tcPr>
          <w:p>
            <w:pPr/>
            <w:r>
              <w:rPr>
                <w:sz w:val="18"/>
              </w:rPr>
              <w:t>Full order-by-order market data dissemination including Level 1 (BBO, trades) and Level 2 (full depth); dual redundant feeds (Feed A and Feed B) with identical sequencing</w:t>
            </w:r>
          </w:p>
        </w:tc>
        <w:tc>
          <w:tcPr>
            <w:tcW w:type="dxa" w:w="2880"/>
          </w:tcPr>
          <w:p>
            <w:pPr/>
            <w:r>
              <w:rPr>
                <w:sz w:val="18"/>
              </w:rPr>
              <w:t>MITCH protocol (ITCH-variant, MIT303 specification); UDP/IP multicast over IPv4</w:t>
            </w:r>
          </w:p>
        </w:tc>
      </w:tr>
      <w:tr>
        <w:tc>
          <w:tcPr>
            <w:tcW w:type="dxa" w:w="2880"/>
          </w:tcPr>
          <w:p>
            <w:pPr/>
            <w:r>
              <w:rPr>
                <w:sz w:val="18"/>
              </w:rPr>
              <w:t>**Group Ticker Plant (GTP)**</w:t>
            </w:r>
          </w:p>
        </w:tc>
        <w:tc>
          <w:tcPr>
            <w:tcW w:type="dxa" w:w="2880"/>
          </w:tcPr>
          <w:p>
            <w:pPr/>
            <w:r>
              <w:rPr>
                <w:sz w:val="18"/>
              </w:rPr>
              <w:t>Aggregates market data across LSEG venues; applies intelligent throttling; normalizes data for distribution to downstream consumers</w:t>
            </w:r>
          </w:p>
        </w:tc>
        <w:tc>
          <w:tcPr>
            <w:tcW w:type="dxa" w:w="2880"/>
          </w:tcPr>
          <w:p>
            <w:pPr/>
            <w:r>
              <w:rPr>
                <w:sz w:val="18"/>
              </w:rPr>
              <w:t>UDP multicast; multi-message packet batching for non-latency-sensitive data</w:t>
            </w:r>
          </w:p>
        </w:tc>
      </w:tr>
      <w:tr>
        <w:tc>
          <w:tcPr>
            <w:tcW w:type="dxa" w:w="2880"/>
          </w:tcPr>
          <w:p>
            <w:pPr/>
            <w:r>
              <w:rPr>
                <w:sz w:val="18"/>
              </w:rPr>
              <w:t>**Risk Engine**</w:t>
            </w:r>
          </w:p>
        </w:tc>
        <w:tc>
          <w:tcPr>
            <w:tcW w:type="dxa" w:w="2880"/>
          </w:tcPr>
          <w:p>
            <w:pPr/>
            <w:r>
              <w:rPr>
                <w:sz w:val="18"/>
              </w:rPr>
              <w:t>Pre-trade risk controls including maximum order value/quantity, maximum gross consideration, price collar checks, message throttling; configurable per firm, gateway, and instrument group</w:t>
            </w:r>
          </w:p>
        </w:tc>
        <w:tc>
          <w:tcPr>
            <w:tcW w:type="dxa" w:w="2880"/>
          </w:tcPr>
          <w:p>
            <w:pPr/>
            <w:r>
              <w:rPr>
                <w:sz w:val="18"/>
              </w:rPr>
              <w:t>Real-time monitoring; GUI-based risk management interface</w:t>
            </w:r>
          </w:p>
        </w:tc>
      </w:tr>
      <w:tr>
        <w:tc>
          <w:tcPr>
            <w:tcW w:type="dxa" w:w="2880"/>
          </w:tcPr>
          <w:p>
            <w:pPr/>
            <w:r>
              <w:rPr>
                <w:sz w:val="18"/>
              </w:rPr>
              <w:t>**Drop Copy Gateway**</w:t>
            </w:r>
          </w:p>
        </w:tc>
        <w:tc>
          <w:tcPr>
            <w:tcW w:type="dxa" w:w="2880"/>
          </w:tcPr>
          <w:p>
            <w:pPr/>
            <w:r>
              <w:rPr>
                <w:sz w:val="18"/>
              </w:rPr>
              <w:t>Real-time copy of executions and order state changes delivered to member firms for post-trade reconciliation and compliance</w:t>
            </w:r>
          </w:p>
        </w:tc>
        <w:tc>
          <w:tcPr>
            <w:tcW w:type="dxa" w:w="2880"/>
          </w:tcPr>
          <w:p>
            <w:pPr/>
            <w:r>
              <w:rPr>
                <w:sz w:val="18"/>
              </w:rPr>
              <w:t>FIX 5.0 based (MIT205 specification); TCP/IP</w:t>
            </w:r>
          </w:p>
        </w:tc>
      </w:tr>
      <w:tr>
        <w:tc>
          <w:tcPr>
            <w:tcW w:type="dxa" w:w="2880"/>
          </w:tcPr>
          <w:p>
            <w:pPr/>
            <w:r>
              <w:rPr>
                <w:sz w:val="18"/>
              </w:rPr>
              <w:t>**Surveillance (Millennium Surveillance)**</w:t>
            </w:r>
          </w:p>
        </w:tc>
        <w:tc>
          <w:tcPr>
            <w:tcW w:type="dxa" w:w="2880"/>
          </w:tcPr>
          <w:p>
            <w:pPr/>
            <w:r>
              <w:rPr>
                <w:sz w:val="18"/>
              </w:rPr>
              <w:t>Real-time market monitoring for suspicious trading patterns, potential market abuse, and rule violations</w:t>
            </w:r>
          </w:p>
        </w:tc>
        <w:tc>
          <w:tcPr>
            <w:tcW w:type="dxa" w:w="2880"/>
          </w:tcPr>
          <w:p>
            <w:pPr/>
            <w:r>
              <w:rPr>
                <w:sz w:val="18"/>
              </w:rPr>
              <w:t>Separate product within LSEG Technology suite; deployed alongside Millennium Exchange</w:t>
            </w:r>
          </w:p>
        </w:tc>
      </w:tr>
      <w:tr>
        <w:tc>
          <w:tcPr>
            <w:tcW w:type="dxa" w:w="2880"/>
          </w:tcPr>
          <w:p>
            <w:pPr/>
            <w:r>
              <w:rPr>
                <w:sz w:val="18"/>
              </w:rPr>
              <w:t>**Reference Data Service**</w:t>
            </w:r>
          </w:p>
        </w:tc>
        <w:tc>
          <w:tcPr>
            <w:tcW w:type="dxa" w:w="2880"/>
          </w:tcPr>
          <w:p>
            <w:pPr/>
            <w:r>
              <w:rPr>
                <w:sz w:val="18"/>
              </w:rPr>
              <w:t>Dissemination of instrument static data, tick size tables, trading calendars, and corporate action information</w:t>
            </w:r>
          </w:p>
        </w:tc>
        <w:tc>
          <w:tcPr>
            <w:tcW w:type="dxa" w:w="2880"/>
          </w:tcPr>
          <w:p>
            <w:pPr/>
            <w:r>
              <w:rPr>
                <w:sz w:val="18"/>
              </w:rPr>
              <w:t>MIT401 specification; daily file-based and real-time updates</w:t>
            </w:r>
          </w:p>
        </w:tc>
      </w:tr>
      <w:tr>
        <w:tc>
          <w:tcPr>
            <w:tcW w:type="dxa" w:w="2880"/>
          </w:tcPr>
          <w:p>
            <w:pPr/>
            <w:r>
              <w:rPr>
                <w:sz w:val="18"/>
              </w:rPr>
              <w:t>**Kill Switch**</w:t>
            </w:r>
          </w:p>
        </w:tc>
        <w:tc>
          <w:tcPr>
            <w:tcW w:type="dxa" w:w="2880"/>
          </w:tcPr>
          <w:p>
            <w:pPr/>
            <w:r>
              <w:rPr>
                <w:sz w:val="18"/>
              </w:rPr>
              <w:t>Emergency mechanism to cancel all outstanding orders for a specific CompID, Native UserID, or entire firm; accessible via GUI or telephone</w:t>
            </w:r>
          </w:p>
        </w:tc>
        <w:tc>
          <w:tcPr>
            <w:tcW w:type="dxa" w:w="2880"/>
          </w:tcPr>
          <w:p>
            <w:pPr/>
            <w:r>
              <w:rPr>
                <w:sz w:val="18"/>
              </w:rPr>
              <w:t>Integrated into risk management interface; telephone activation requires written follow-up</w:t>
            </w:r>
          </w:p>
        </w:tc>
      </w:tr>
    </w:tbl>
    <w:p/>
    <w:p>
      <w:pPr>
        <w:pStyle w:val="Heading3"/>
      </w:pPr>
      <w:r>
        <w:t>2.3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Technology</w:t>
            </w:r>
          </w:p>
        </w:tc>
      </w:tr>
      <w:tr>
        <w:tc>
          <w:tcPr>
            <w:tcW w:type="dxa" w:w="4320"/>
          </w:tcPr>
          <w:p>
            <w:pPr/>
            <w:r>
              <w:rPr>
                <w:sz w:val="18"/>
              </w:rPr>
              <w:t>Programming Language</w:t>
            </w:r>
          </w:p>
        </w:tc>
        <w:tc>
          <w:tcPr>
            <w:tcW w:type="dxa" w:w="4320"/>
          </w:tcPr>
          <w:p>
            <w:pPr/>
            <w:r>
              <w:rPr>
                <w:sz w:val="18"/>
              </w:rPr>
              <w:t>C++ (core matching engine, gateways, and performance-critical components)</w:t>
            </w:r>
          </w:p>
        </w:tc>
      </w:tr>
      <w:tr>
        <w:tc>
          <w:tcPr>
            <w:tcW w:type="dxa" w:w="4320"/>
          </w:tcPr>
          <w:p>
            <w:pPr/>
            <w:r>
              <w:rPr>
                <w:sz w:val="18"/>
              </w:rPr>
              <w:t>Operating System</w:t>
            </w:r>
          </w:p>
        </w:tc>
        <w:tc>
          <w:tcPr>
            <w:tcW w:type="dxa" w:w="4320"/>
          </w:tcPr>
          <w:p>
            <w:pPr/>
            <w:r>
              <w:rPr>
                <w:sz w:val="18"/>
              </w:rPr>
              <w:t>Novell SUSE Linux Enterprise (selected for HFT capacity and reliability; replaced Windows Server used by TradElect)</w:t>
            </w:r>
          </w:p>
        </w:tc>
      </w:tr>
      <w:tr>
        <w:tc>
          <w:tcPr>
            <w:tcW w:type="dxa" w:w="4320"/>
          </w:tcPr>
          <w:p>
            <w:pPr/>
            <w:r>
              <w:rPr>
                <w:sz w:val="18"/>
              </w:rPr>
              <w:t>Hardware</w:t>
            </w:r>
          </w:p>
        </w:tc>
        <w:tc>
          <w:tcPr>
            <w:tcW w:type="dxa" w:w="4320"/>
          </w:tcPr>
          <w:p>
            <w:pPr/>
            <w:r>
              <w:rPr>
                <w:sz w:val="18"/>
              </w:rPr>
              <w:t>Commodity x86 servers — Intel Xeon processors (Xeon 5500 series at launch); no proprietary hardware dependencies; standard rack-mount servers</w:t>
            </w:r>
          </w:p>
        </w:tc>
      </w:tr>
      <w:tr>
        <w:tc>
          <w:tcPr>
            <w:tcW w:type="dxa" w:w="4320"/>
          </w:tcPr>
          <w:p>
            <w:pPr/>
            <w:r>
              <w:rPr>
                <w:sz w:val="18"/>
              </w:rPr>
              <w:t>Network — Order Entry</w:t>
            </w:r>
          </w:p>
        </w:tc>
        <w:tc>
          <w:tcPr>
            <w:tcW w:type="dxa" w:w="4320"/>
          </w:tcPr>
          <w:p>
            <w:pPr/>
            <w:r>
              <w:rPr>
                <w:sz w:val="18"/>
              </w:rPr>
              <w:t>TCP/IP for all trading gateways (Native binary and FIX 5.0); point-to-point persistent connections</w:t>
            </w:r>
          </w:p>
        </w:tc>
      </w:tr>
      <w:tr>
        <w:tc>
          <w:tcPr>
            <w:tcW w:type="dxa" w:w="4320"/>
          </w:tcPr>
          <w:p>
            <w:pPr/>
            <w:r>
              <w:rPr>
                <w:sz w:val="18"/>
              </w:rPr>
              <w:t>Network — Market Data</w:t>
            </w:r>
          </w:p>
        </w:tc>
        <w:tc>
          <w:tcPr>
            <w:tcW w:type="dxa" w:w="4320"/>
          </w:tcPr>
          <w:p>
            <w:pPr/>
            <w:r>
              <w:rPr>
                <w:sz w:val="18"/>
              </w:rPr>
              <w:t>UDP/IP multicast over IPv4 for MITCH market data feeds; dual redundant multicast channels</w:t>
            </w:r>
          </w:p>
        </w:tc>
      </w:tr>
      <w:tr>
        <w:tc>
          <w:tcPr>
            <w:tcW w:type="dxa" w:w="4320"/>
          </w:tcPr>
          <w:p>
            <w:pPr/>
            <w:r>
              <w:rPr>
                <w:sz w:val="18"/>
              </w:rPr>
              <w:t>Network — Recovery</w:t>
            </w:r>
          </w:p>
        </w:tc>
        <w:tc>
          <w:tcPr>
            <w:tcW w:type="dxa" w:w="4320"/>
          </w:tcPr>
          <w:p>
            <w:pPr/>
            <w:r>
              <w:rPr>
                <w:sz w:val="18"/>
              </w:rPr>
              <w:t>TCP/IP replay service for market data gap recovery (up to 65,000 most recent messages); snapshot recovery service for full state rebuild</w:t>
            </w:r>
          </w:p>
        </w:tc>
      </w:tr>
      <w:tr>
        <w:tc>
          <w:tcPr>
            <w:tcW w:type="dxa" w:w="4320"/>
          </w:tcPr>
          <w:p>
            <w:pPr/>
            <w:r>
              <w:rPr>
                <w:sz w:val="18"/>
              </w:rPr>
              <w:t>Database</w:t>
            </w:r>
          </w:p>
        </w:tc>
        <w:tc>
          <w:tcPr>
            <w:tcW w:type="dxa" w:w="4320"/>
          </w:tcPr>
          <w:p>
            <w:pPr/>
            <w:r>
              <w:rPr>
                <w:sz w:val="18"/>
              </w:rPr>
              <w:t>Oracle (for reference data and non-latency-critical functions) [unverified]</w:t>
            </w:r>
          </w:p>
        </w:tc>
      </w:tr>
      <w:tr>
        <w:tc>
          <w:tcPr>
            <w:tcW w:type="dxa" w:w="4320"/>
          </w:tcPr>
          <w:p>
            <w:pPr/>
            <w:r>
              <w:rPr>
                <w:sz w:val="18"/>
              </w:rPr>
              <w:t>Messaging/Middleware</w:t>
            </w:r>
          </w:p>
        </w:tc>
        <w:tc>
          <w:tcPr>
            <w:tcW w:type="dxa" w:w="4320"/>
          </w:tcPr>
          <w:p>
            <w:pPr/>
            <w:r>
              <w:rPr>
                <w:sz w:val="18"/>
              </w:rPr>
              <w:t>Custom internal messaging; no dependency on third-party middleware for critical path</w:t>
            </w:r>
          </w:p>
        </w:tc>
      </w:tr>
    </w:tbl>
    <w:p/>
    <w:p>
      <w:r>
        <w:t>────────────────────────────────────────────────────────────</w:t>
      </w:r>
    </w:p>
    <w:p>
      <w:pPr>
        <w:pStyle w:val="Heading2"/>
      </w:pPr>
      <w:r>
        <w:t>3.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Conditions</w:t>
            </w:r>
          </w:p>
        </w:tc>
      </w:tr>
      <w:tr>
        <w:tc>
          <w:tcPr>
            <w:tcW w:type="dxa" w:w="2880"/>
          </w:tcPr>
          <w:p>
            <w:pPr/>
            <w:r>
              <w:rPr>
                <w:sz w:val="18"/>
              </w:rPr>
              <w:t>Average Order Entry Latency (Native)</w:t>
            </w:r>
          </w:p>
        </w:tc>
        <w:tc>
          <w:tcPr>
            <w:tcW w:type="dxa" w:w="2880"/>
          </w:tcPr>
          <w:p>
            <w:pPr/>
            <w:r>
              <w:rPr>
                <w:sz w:val="18"/>
              </w:rPr>
              <w:t>**126 microseconds**</w:t>
            </w:r>
          </w:p>
        </w:tc>
        <w:tc>
          <w:tcPr>
            <w:tcW w:type="dxa" w:w="2880"/>
          </w:tcPr>
          <w:p>
            <w:pPr/>
            <w:r>
              <w:rPr>
                <w:sz w:val="18"/>
              </w:rPr>
              <w:t>Native binary API (MIT203); measured at Turquoise launch October 2010</w:t>
            </w:r>
          </w:p>
        </w:tc>
      </w:tr>
      <w:tr>
        <w:tc>
          <w:tcPr>
            <w:tcW w:type="dxa" w:w="2880"/>
          </w:tcPr>
          <w:p>
            <w:pPr/>
            <w:r>
              <w:rPr>
                <w:sz w:val="18"/>
              </w:rPr>
              <w:t>Average Order Entry Latency (FIX)</w:t>
            </w:r>
          </w:p>
        </w:tc>
        <w:tc>
          <w:tcPr>
            <w:tcW w:type="dxa" w:w="2880"/>
          </w:tcPr>
          <w:p>
            <w:pPr/>
            <w:r>
              <w:rPr>
                <w:sz w:val="18"/>
              </w:rPr>
              <w:t>**196 microseconds**</w:t>
            </w:r>
          </w:p>
        </w:tc>
        <w:tc>
          <w:tcPr>
            <w:tcW w:type="dxa" w:w="2880"/>
          </w:tcPr>
          <w:p>
            <w:pPr/>
            <w:r>
              <w:rPr>
                <w:sz w:val="18"/>
              </w:rPr>
              <w:t>FIX 5.0 SP2 API (MIT202); measured at launch</w:t>
            </w:r>
          </w:p>
        </w:tc>
      </w:tr>
      <w:tr>
        <w:tc>
          <w:tcPr>
            <w:tcW w:type="dxa" w:w="2880"/>
          </w:tcPr>
          <w:p>
            <w:pPr/>
            <w:r>
              <w:rPr>
                <w:sz w:val="18"/>
              </w:rPr>
              <w:t>99th Percentile Latency (Native)</w:t>
            </w:r>
          </w:p>
        </w:tc>
        <w:tc>
          <w:tcPr>
            <w:tcW w:type="dxa" w:w="2880"/>
          </w:tcPr>
          <w:p>
            <w:pPr/>
            <w:r>
              <w:rPr>
                <w:sz w:val="18"/>
              </w:rPr>
              <w:t>**&lt; 210 microseconds**</w:t>
            </w:r>
          </w:p>
        </w:tc>
        <w:tc>
          <w:tcPr>
            <w:tcW w:type="dxa" w:w="2880"/>
          </w:tcPr>
          <w:p>
            <w:pPr/>
            <w:r>
              <w:rPr>
                <w:sz w:val="18"/>
              </w:rPr>
              <w:t>99% of orders processed within this threshold</w:t>
            </w:r>
          </w:p>
        </w:tc>
      </w:tr>
      <w:tr>
        <w:tc>
          <w:tcPr>
            <w:tcW w:type="dxa" w:w="2880"/>
          </w:tcPr>
          <w:p>
            <w:pPr/>
            <w:r>
              <w:rPr>
                <w:sz w:val="18"/>
              </w:rPr>
              <w:t>99.9th Percentile Latency (Native)</w:t>
            </w:r>
          </w:p>
        </w:tc>
        <w:tc>
          <w:tcPr>
            <w:tcW w:type="dxa" w:w="2880"/>
          </w:tcPr>
          <w:p>
            <w:pPr/>
            <w:r>
              <w:rPr>
                <w:sz w:val="18"/>
              </w:rPr>
              <w:t>**&lt; 400 microseconds**</w:t>
            </w:r>
          </w:p>
        </w:tc>
        <w:tc>
          <w:tcPr>
            <w:tcW w:type="dxa" w:w="2880"/>
          </w:tcPr>
          <w:p>
            <w:pPr/>
            <w:r>
              <w:rPr>
                <w:sz w:val="18"/>
              </w:rPr>
              <w:t>Only 0.1% of orders exceed this threshold</w:t>
            </w:r>
          </w:p>
        </w:tc>
      </w:tr>
      <w:tr>
        <w:tc>
          <w:tcPr>
            <w:tcW w:type="dxa" w:w="2880"/>
          </w:tcPr>
          <w:p>
            <w:pPr/>
            <w:r>
              <w:rPr>
                <w:sz w:val="18"/>
              </w:rPr>
              <w:t>System Uptime</w:t>
            </w:r>
          </w:p>
        </w:tc>
        <w:tc>
          <w:tcPr>
            <w:tcW w:type="dxa" w:w="2880"/>
          </w:tcPr>
          <w:p>
            <w:pPr/>
            <w:r>
              <w:rPr>
                <w:sz w:val="18"/>
              </w:rPr>
              <w:t>**99.999%** (five nines target)</w:t>
            </w:r>
          </w:p>
        </w:tc>
        <w:tc>
          <w:tcPr>
            <w:tcW w:type="dxa" w:w="2880"/>
          </w:tcPr>
          <w:p>
            <w:pPr/>
            <w:r>
              <w:rPr>
                <w:sz w:val="18"/>
              </w:rPr>
              <w:t>Software-based fault tolerance; unparalleled uptime record claimed by LSEG</w:t>
            </w:r>
          </w:p>
        </w:tc>
      </w:tr>
      <w:tr>
        <w:tc>
          <w:tcPr>
            <w:tcW w:type="dxa" w:w="2880"/>
          </w:tcPr>
          <w:p>
            <w:pPr/>
            <w:r>
              <w:rPr>
                <w:sz w:val="18"/>
              </w:rPr>
              <w:t>Order Processing Capacity</w:t>
            </w:r>
          </w:p>
        </w:tc>
        <w:tc>
          <w:tcPr>
            <w:tcW w:type="dxa" w:w="2880"/>
          </w:tcPr>
          <w:p>
            <w:pPr/>
            <w:r>
              <w:rPr>
                <w:sz w:val="18"/>
              </w:rPr>
              <w:t>Tens of thousands of orders per second</w:t>
            </w:r>
          </w:p>
        </w:tc>
        <w:tc>
          <w:tcPr>
            <w:tcW w:type="dxa" w:w="2880"/>
          </w:tcPr>
          <w:p>
            <w:pPr/>
            <w:r>
              <w:rPr>
                <w:sz w:val="18"/>
              </w:rPr>
              <w:t>Designed for sustained high-throughput operation [estimated]</w:t>
            </w:r>
          </w:p>
        </w:tc>
      </w:tr>
      <w:tr>
        <w:tc>
          <w:tcPr>
            <w:tcW w:type="dxa" w:w="2880"/>
          </w:tcPr>
          <w:p>
            <w:pPr/>
            <w:r>
              <w:rPr>
                <w:sz w:val="18"/>
              </w:rPr>
              <w:t>Daily Transaction Capacity</w:t>
            </w:r>
          </w:p>
        </w:tc>
        <w:tc>
          <w:tcPr>
            <w:tcW w:type="dxa" w:w="2880"/>
          </w:tcPr>
          <w:p>
            <w:pPr/>
            <w:r>
              <w:rPr>
                <w:sz w:val="18"/>
              </w:rPr>
              <w:t>Millions of transactions per day</w:t>
            </w:r>
          </w:p>
        </w:tc>
        <w:tc>
          <w:tcPr>
            <w:tcW w:type="dxa" w:w="2880"/>
          </w:tcPr>
          <w:p>
            <w:pPr/>
            <w:r>
              <w:rPr>
                <w:sz w:val="18"/>
              </w:rPr>
              <w:t>Supports peak trading days including index rebalance events [estimated]</w:t>
            </w:r>
          </w:p>
        </w:tc>
      </w:tr>
    </w:tbl>
    <w:p/>
    <w:p>
      <w:pPr>
        <w:pStyle w:val="Heading3"/>
      </w:pPr>
      <w:r>
        <w:t>Performance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Year</w:t>
            </w:r>
          </w:p>
        </w:tc>
        <w:tc>
          <w:tcPr>
            <w:tcW w:type="dxa" w:w="2160"/>
          </w:tcPr>
          <w:p>
            <w:pPr/>
            <w:r>
              <w:rPr>
                <w:b/>
                <w:sz w:val="18"/>
              </w:rPr>
              <w:t>Latency</w:t>
            </w:r>
          </w:p>
        </w:tc>
        <w:tc>
          <w:tcPr>
            <w:tcW w:type="dxa" w:w="2160"/>
          </w:tcPr>
          <w:p>
            <w:pPr/>
            <w:r>
              <w:rPr>
                <w:b/>
                <w:sz w:val="18"/>
              </w:rPr>
              <w:t>Throughput</w:t>
            </w:r>
          </w:p>
        </w:tc>
        <w:tc>
          <w:tcPr>
            <w:tcW w:type="dxa" w:w="2160"/>
          </w:tcPr>
          <w:p>
            <w:pPr/>
            <w:r>
              <w:rPr>
                <w:b/>
                <w:sz w:val="18"/>
              </w:rPr>
              <w:t>Notes</w:t>
            </w:r>
          </w:p>
        </w:tc>
      </w:tr>
      <w:tr>
        <w:tc>
          <w:tcPr>
            <w:tcW w:type="dxa" w:w="2160"/>
          </w:tcPr>
          <w:p>
            <w:pPr/>
            <w:r>
              <w:rPr>
                <w:sz w:val="18"/>
              </w:rPr>
              <w:t>1997 (SETS)</w:t>
            </w:r>
          </w:p>
        </w:tc>
        <w:tc>
          <w:tcPr>
            <w:tcW w:type="dxa" w:w="2160"/>
          </w:tcPr>
          <w:p>
            <w:pPr/>
            <w:r>
              <w:rPr>
                <w:sz w:val="18"/>
              </w:rPr>
              <w:t>~140 ms</w:t>
            </w:r>
          </w:p>
        </w:tc>
        <w:tc>
          <w:tcPr>
            <w:tcW w:type="dxa" w:w="2160"/>
          </w:tcPr>
          <w:p>
            <w:pPr/>
            <w:r>
              <w:rPr>
                <w:sz w:val="18"/>
              </w:rPr>
              <w:t>Low by modern standards</w:t>
            </w:r>
          </w:p>
        </w:tc>
        <w:tc>
          <w:tcPr>
            <w:tcW w:type="dxa" w:w="2160"/>
          </w:tcPr>
          <w:p>
            <w:pPr/>
            <w:r>
              <w:rPr>
                <w:sz w:val="18"/>
              </w:rPr>
              <w:t>First electronic order book; revolutionary at the time</w:t>
            </w:r>
          </w:p>
        </w:tc>
      </w:tr>
      <w:tr>
        <w:tc>
          <w:tcPr>
            <w:tcW w:type="dxa" w:w="2160"/>
          </w:tcPr>
          <w:p>
            <w:pPr/>
            <w:r>
              <w:rPr>
                <w:sz w:val="18"/>
              </w:rPr>
              <w:t>2007 (TradElect launch)</w:t>
            </w:r>
          </w:p>
        </w:tc>
        <w:tc>
          <w:tcPr>
            <w:tcW w:type="dxa" w:w="2160"/>
          </w:tcPr>
          <w:p>
            <w:pPr/>
            <w:r>
              <w:rPr>
                <w:sz w:val="18"/>
              </w:rPr>
              <w:t>~10 ms</w:t>
            </w:r>
          </w:p>
        </w:tc>
        <w:tc>
          <w:tcPr>
            <w:tcW w:type="dxa" w:w="2160"/>
          </w:tcPr>
          <w:p>
            <w:pPr/>
            <w:r>
              <w:rPr>
                <w:sz w:val="18"/>
              </w:rPr>
              <w:t>Improved over SETS</w:t>
            </w:r>
          </w:p>
        </w:tc>
        <w:tc>
          <w:tcPr>
            <w:tcW w:type="dxa" w:w="2160"/>
          </w:tcPr>
          <w:p>
            <w:pPr/>
            <w:r>
              <w:rPr>
                <w:sz w:val="18"/>
              </w:rPr>
              <w:t>Microsoft .NET platform; Accenture-developed</w:t>
            </w:r>
          </w:p>
        </w:tc>
      </w:tr>
      <w:tr>
        <w:tc>
          <w:tcPr>
            <w:tcW w:type="dxa" w:w="2160"/>
          </w:tcPr>
          <w:p>
            <w:pPr/>
            <w:r>
              <w:rPr>
                <w:sz w:val="18"/>
              </w:rPr>
              <w:t>2008-2010 (TradElect degraded)</w:t>
            </w:r>
          </w:p>
        </w:tc>
        <w:tc>
          <w:tcPr>
            <w:tcW w:type="dxa" w:w="2160"/>
          </w:tcPr>
          <w:p>
            <w:pPr/>
            <w:r>
              <w:rPr>
                <w:sz w:val="18"/>
              </w:rPr>
              <w:t>~2.7-6 ms</w:t>
            </w:r>
          </w:p>
        </w:tc>
        <w:tc>
          <w:tcPr>
            <w:tcW w:type="dxa" w:w="2160"/>
          </w:tcPr>
          <w:p>
            <w:pPr/>
            <w:r>
              <w:rPr>
                <w:sz w:val="18"/>
              </w:rPr>
              <w:t>Insufficient for HFT era</w:t>
            </w:r>
          </w:p>
        </w:tc>
        <w:tc>
          <w:tcPr>
            <w:tcW w:type="dxa" w:w="2160"/>
          </w:tcPr>
          <w:p>
            <w:pPr/>
            <w:r>
              <w:rPr>
                <w:sz w:val="18"/>
              </w:rPr>
              <w:t>Performance degraded under load; 7-hour outage September 2008; competitors Chi-X at 0.4 ms, BATS at 0.25 ms</w:t>
            </w:r>
          </w:p>
        </w:tc>
      </w:tr>
      <w:tr>
        <w:tc>
          <w:tcPr>
            <w:tcW w:type="dxa" w:w="2160"/>
          </w:tcPr>
          <w:p>
            <w:pPr/>
            <w:r>
              <w:rPr>
                <w:sz w:val="18"/>
              </w:rPr>
              <w:t>Oct 2010 (Millennium — Turquoise)</w:t>
            </w:r>
          </w:p>
        </w:tc>
        <w:tc>
          <w:tcPr>
            <w:tcW w:type="dxa" w:w="2160"/>
          </w:tcPr>
          <w:p>
            <w:pPr/>
            <w:r>
              <w:rPr>
                <w:sz w:val="18"/>
              </w:rPr>
              <w:t>**126 microseconds**</w:t>
            </w:r>
          </w:p>
        </w:tc>
        <w:tc>
          <w:tcPr>
            <w:tcW w:type="dxa" w:w="2160"/>
          </w:tcPr>
          <w:p>
            <w:pPr/>
            <w:r>
              <w:rPr>
                <w:sz w:val="18"/>
              </w:rPr>
              <w:t>World record claimed</w:t>
            </w:r>
          </w:p>
        </w:tc>
        <w:tc>
          <w:tcPr>
            <w:tcW w:type="dxa" w:w="2160"/>
          </w:tcPr>
          <w:p>
            <w:pPr/>
            <w:r>
              <w:rPr>
                <w:sz w:val="18"/>
              </w:rPr>
              <w:t>"Twice as fast as rivals" — Chi-X at 175 microseconds, BATS Europe at 250 microseconds</w:t>
            </w:r>
          </w:p>
        </w:tc>
      </w:tr>
      <w:tr>
        <w:tc>
          <w:tcPr>
            <w:tcW w:type="dxa" w:w="2160"/>
          </w:tcPr>
          <w:p>
            <w:pPr/>
            <w:r>
              <w:rPr>
                <w:sz w:val="18"/>
              </w:rPr>
              <w:t>Feb 2011 (Millennium — LSE)</w:t>
            </w:r>
          </w:p>
        </w:tc>
        <w:tc>
          <w:tcPr>
            <w:tcW w:type="dxa" w:w="2160"/>
          </w:tcPr>
          <w:p>
            <w:pPr/>
            <w:r>
              <w:rPr>
                <w:sz w:val="18"/>
              </w:rPr>
              <w:t>**~126 microseconds** (native)</w:t>
            </w:r>
          </w:p>
        </w:tc>
        <w:tc>
          <w:tcPr>
            <w:tcW w:type="dxa" w:w="2160"/>
          </w:tcPr>
          <w:p>
            <w:pPr/>
            <w:r>
              <w:rPr>
                <w:sz w:val="18"/>
              </w:rPr>
              <w:t>Significant capacity increase</w:t>
            </w:r>
          </w:p>
        </w:tc>
        <w:tc>
          <w:tcPr>
            <w:tcW w:type="dxa" w:w="2160"/>
          </w:tcPr>
          <w:p>
            <w:pPr/>
            <w:r>
              <w:rPr>
                <w:sz w:val="18"/>
              </w:rPr>
              <w:t>Big-bang TradElect replacement; 15 months of testing</w:t>
            </w:r>
          </w:p>
        </w:tc>
      </w:tr>
      <w:tr>
        <w:tc>
          <w:tcPr>
            <w:tcW w:type="dxa" w:w="2160"/>
          </w:tcPr>
          <w:p>
            <w:pPr/>
            <w:r>
              <w:rPr>
                <w:sz w:val="18"/>
              </w:rPr>
              <w:t>2012-2024</w:t>
            </w:r>
          </w:p>
        </w:tc>
        <w:tc>
          <w:tcPr>
            <w:tcW w:type="dxa" w:w="2160"/>
          </w:tcPr>
          <w:p>
            <w:pPr/>
            <w:r>
              <w:rPr>
                <w:sz w:val="18"/>
              </w:rPr>
              <w:t>Sub-100 microseconds [estimated]</w:t>
            </w:r>
          </w:p>
        </w:tc>
        <w:tc>
          <w:tcPr>
            <w:tcW w:type="dxa" w:w="2160"/>
          </w:tcPr>
          <w:p>
            <w:pPr/>
            <w:r>
              <w:rPr>
                <w:sz w:val="18"/>
              </w:rPr>
              <w:t>Continuously improved</w:t>
            </w:r>
          </w:p>
        </w:tc>
        <w:tc>
          <w:tcPr>
            <w:tcW w:type="dxa" w:w="2160"/>
          </w:tcPr>
          <w:p>
            <w:pPr/>
            <w:r>
              <w:rPr>
                <w:sz w:val="18"/>
              </w:rPr>
              <w:t>Ongoing hardware refreshes and software optimization; exact current figures not publicly disclosed</w:t>
            </w:r>
          </w:p>
        </w:tc>
      </w:tr>
    </w:tbl>
    <w:p/>
    <w:p>
      <w:r>
        <w:t>Context: The 126-microsecond figure represented a ~20x improvement over TradElect's degraded latency and approximately a 1,100x improvement over the original SETS system from 1997. At the time of launch, LSEG claimed Millennium Exchange was the fastest trading platform in the world.</w:t>
      </w:r>
    </w:p>
    <w:p>
      <w:r>
        <w:t>────────────────────────────────────────────────────────────</w:t>
      </w:r>
    </w:p>
    <w:p>
      <w:pPr>
        <w:pStyle w:val="Heading2"/>
      </w:pPr>
      <w:r>
        <w:t>4. Interfaces &amp; Protocols</w:t>
      </w:r>
    </w:p>
    <w:p>
      <w:pPr>
        <w:pStyle w:val="Heading3"/>
      </w:pPr>
      <w:r>
        <w:t>4.1 Order Entry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Specification</w:t>
            </w:r>
          </w:p>
        </w:tc>
        <w:tc>
          <w:tcPr>
            <w:tcW w:type="dxa" w:w="2880"/>
          </w:tcPr>
          <w:p>
            <w:pPr/>
            <w:r>
              <w:rPr>
                <w:b/>
                <w:sz w:val="18"/>
              </w:rPr>
              <w:t>Description</w:t>
            </w:r>
          </w:p>
        </w:tc>
      </w:tr>
      <w:tr>
        <w:tc>
          <w:tcPr>
            <w:tcW w:type="dxa" w:w="2880"/>
          </w:tcPr>
          <w:p>
            <w:pPr/>
            <w:r>
              <w:rPr>
                <w:sz w:val="18"/>
              </w:rPr>
              <w:t>**Native Binary (MIT203)**</w:t>
            </w:r>
          </w:p>
        </w:tc>
        <w:tc>
          <w:tcPr>
            <w:tcW w:type="dxa" w:w="2880"/>
          </w:tcPr>
          <w:p>
            <w:pPr/>
            <w:r>
              <w:rPr>
                <w:sz w:val="18"/>
              </w:rPr>
              <w:t>MIT203 Issue 17 (January 2024)</w:t>
            </w:r>
          </w:p>
        </w:tc>
        <w:tc>
          <w:tcPr>
            <w:tcW w:type="dxa" w:w="2880"/>
          </w:tcPr>
          <w:p>
            <w:pPr/>
            <w:r>
              <w:rPr>
                <w:sz w:val="18"/>
              </w:rPr>
              <w:t>Proprietary low-latency binary protocol; lowest latency option (~126 microseconds); point-to-point TCP/IP connections; two-channel architecture: Real Time Channel (order management) and Recovery Channel (missed message replay); supports all order types including Limit, Market, Iceberg, Hidden, Stop, Mid-Price Pegged, Passive Only</w:t>
            </w:r>
          </w:p>
        </w:tc>
      </w:tr>
      <w:tr>
        <w:tc>
          <w:tcPr>
            <w:tcW w:type="dxa" w:w="2880"/>
          </w:tcPr>
          <w:p>
            <w:pPr/>
            <w:r>
              <w:rPr>
                <w:sz w:val="18"/>
              </w:rPr>
              <w:t>**FIX 5.0 SP2 (MIT202)**</w:t>
            </w:r>
          </w:p>
        </w:tc>
        <w:tc>
          <w:tcPr>
            <w:tcW w:type="dxa" w:w="2880"/>
          </w:tcPr>
          <w:p>
            <w:pPr/>
            <w:r>
              <w:rPr>
                <w:sz w:val="18"/>
              </w:rPr>
              <w:t>MIT202 Issue 13.1</w:t>
            </w:r>
          </w:p>
        </w:tc>
        <w:tc>
          <w:tcPr>
            <w:tcW w:type="dxa" w:w="2880"/>
          </w:tcPr>
          <w:p>
            <w:pPr/>
            <w:r>
              <w:rPr>
                <w:sz w:val="18"/>
              </w:rPr>
              <w:t>Industry-standard FIX protocol for order entry and execution reporting; slightly higher latency (~196 microseconds) than Native; broader compatibility for firms with existing FIX infrastructure; supports the same order functionality as Native</w:t>
            </w:r>
          </w:p>
        </w:tc>
      </w:tr>
    </w:tbl>
    <w:p/>
    <w:p>
      <w:r>
        <w:t>Gateway Architecture Details:</w:t>
      </w:r>
    </w:p>
    <w:p>
      <w:pPr>
        <w:pStyle w:val="ListBullet"/>
      </w:pPr>
      <w:r>
        <w:t>Each gateway connection is a persistent TCP/IP session</w:t>
      </w:r>
    </w:p>
    <w:p>
      <w:pPr>
        <w:pStyle w:val="ListBullet"/>
      </w:pPr>
      <w:r>
        <w:t>Member firms authenticate via CompID credentials</w:t>
      </w:r>
    </w:p>
    <w:p>
      <w:pPr>
        <w:pStyle w:val="ListBullet"/>
      </w:pPr>
      <w:r>
        <w:t>Multiple CompIDs can be assigned to a single firm for capacity distribution</w:t>
      </w:r>
    </w:p>
    <w:p>
      <w:pPr>
        <w:pStyle w:val="ListBullet"/>
      </w:pPr>
      <w:r>
        <w:t>Gateway supports order entry, amendment, cancellation, mass cancellation, and execution reports</w:t>
      </w:r>
    </w:p>
    <w:p>
      <w:pPr>
        <w:pStyle w:val="ListBullet"/>
      </w:pPr>
      <w:r>
        <w:t>Heartbeat mechanism maintains session liveness</w:t>
      </w:r>
    </w:p>
    <w:p>
      <w:pPr>
        <w:pStyle w:val="ListBullet"/>
      </w:pPr>
      <w:r>
        <w:t>Recovery Channel allows clients to request replay of missed messages upon reconnection</w:t>
      </w:r>
    </w:p>
    <w:p>
      <w:pPr>
        <w:pStyle w:val="Heading3"/>
      </w:pPr>
      <w:r>
        <w:t>4.2 Market Data Dissemination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Specification</w:t>
            </w:r>
          </w:p>
        </w:tc>
        <w:tc>
          <w:tcPr>
            <w:tcW w:type="dxa" w:w="2880"/>
          </w:tcPr>
          <w:p>
            <w:pPr/>
            <w:r>
              <w:rPr>
                <w:b/>
                <w:sz w:val="18"/>
              </w:rPr>
              <w:t>Data Content</w:t>
            </w:r>
          </w:p>
        </w:tc>
      </w:tr>
      <w:tr>
        <w:tc>
          <w:tcPr>
            <w:tcW w:type="dxa" w:w="2880"/>
          </w:tcPr>
          <w:p>
            <w:pPr/>
            <w:r>
              <w:rPr>
                <w:sz w:val="18"/>
              </w:rPr>
              <w:t>**MITCH Level 2**</w:t>
            </w:r>
          </w:p>
        </w:tc>
        <w:tc>
          <w:tcPr>
            <w:tcW w:type="dxa" w:w="2880"/>
          </w:tcPr>
          <w:p>
            <w:pPr/>
            <w:r>
              <w:rPr>
                <w:sz w:val="18"/>
              </w:rPr>
              <w:t>MIT303 Issue 11.9</w:t>
            </w:r>
          </w:p>
        </w:tc>
        <w:tc>
          <w:tcPr>
            <w:tcW w:type="dxa" w:w="2880"/>
          </w:tcPr>
          <w:p>
            <w:pPr/>
            <w:r>
              <w:rPr>
                <w:sz w:val="18"/>
              </w:rPr>
              <w:t>Full order-by-order depth; all visible orders at every price level; order additions, modifications, deletions, executions; auction information; trade reports</w:t>
            </w:r>
          </w:p>
        </w:tc>
      </w:tr>
      <w:tr>
        <w:tc>
          <w:tcPr>
            <w:tcW w:type="dxa" w:w="2880"/>
          </w:tcPr>
          <w:p>
            <w:pPr/>
            <w:r>
              <w:rPr>
                <w:sz w:val="18"/>
              </w:rPr>
              <w:t>**MITCH Level 1**</w:t>
            </w:r>
          </w:p>
        </w:tc>
        <w:tc>
          <w:tcPr>
            <w:tcW w:type="dxa" w:w="2880"/>
          </w:tcPr>
          <w:p>
            <w:pPr/>
            <w:r>
              <w:rPr>
                <w:sz w:val="18"/>
              </w:rPr>
              <w:t>MIT303 (subset)</w:t>
            </w:r>
          </w:p>
        </w:tc>
        <w:tc>
          <w:tcPr>
            <w:tcW w:type="dxa" w:w="2880"/>
          </w:tcPr>
          <w:p>
            <w:pPr/>
            <w:r>
              <w:rPr>
                <w:sz w:val="18"/>
              </w:rPr>
              <w:t>Aggregated best bid/offer (BBO), last trade price, volume, VWAP; top-of-book summary</w:t>
            </w:r>
          </w:p>
        </w:tc>
      </w:tr>
      <w:tr>
        <w:tc>
          <w:tcPr>
            <w:tcW w:type="dxa" w:w="2880"/>
          </w:tcPr>
          <w:p>
            <w:pPr/>
            <w:r>
              <w:rPr>
                <w:sz w:val="18"/>
              </w:rPr>
              <w:t>**GTP (Group Ticker Plant)**</w:t>
            </w:r>
          </w:p>
        </w:tc>
        <w:tc>
          <w:tcPr>
            <w:tcW w:type="dxa" w:w="2880"/>
          </w:tcPr>
          <w:p>
            <w:pPr/>
            <w:r>
              <w:rPr>
                <w:sz w:val="18"/>
              </w:rPr>
              <w:t>MIT301 Issue 10.1</w:t>
            </w:r>
          </w:p>
        </w:tc>
        <w:tc>
          <w:tcPr>
            <w:tcW w:type="dxa" w:w="2880"/>
          </w:tcPr>
          <w:p>
            <w:pPr/>
            <w:r>
              <w:rPr>
                <w:sz w:val="18"/>
              </w:rPr>
              <w:t>Aggregated and normalized market data across LSEG venues; intelligent throttling for bandwidth efficiency</w:t>
            </w:r>
          </w:p>
        </w:tc>
      </w:tr>
    </w:tbl>
    <w:p/>
    <w:p>
      <w:r>
        <w:t>MITCH Protocol Details:</w:t>
      </w:r>
    </w:p>
    <w:p>
      <w:pPr>
        <w:pStyle w:val="ListBullet"/>
      </w:pPr>
      <w:r>
        <w:t>Based on the ITCH protocol family (Nasdaq-originated); LSE's variant called MITCH</w:t>
      </w:r>
    </w:p>
    <w:p>
      <w:pPr>
        <w:pStyle w:val="ListBullet"/>
      </w:pPr>
      <w:r>
        <w:t>Delivered via UDP multicast over IPv4</w:t>
      </w:r>
    </w:p>
    <w:p>
      <w:pPr>
        <w:pStyle w:val="ListBullet"/>
      </w:pPr>
      <w:r>
        <w:t>Dual redundant feeds: Feed A and Feed B — identically sequenced for client-side arbitration</w:t>
      </w:r>
    </w:p>
    <w:p>
      <w:pPr>
        <w:pStyle w:val="ListBullet"/>
      </w:pPr>
      <w:r>
        <w:t>Each UDP packet contains one Unit Header</w:t>
      </w:r>
    </w:p>
    <w:p>
      <w:pPr>
        <w:pStyle w:val="ListBullet"/>
      </w:pPr>
      <w:r>
        <w:t>Data load-balanced across multiple IP multicast channels</w:t>
      </w:r>
    </w:p>
    <w:p>
      <w:pPr>
        <w:pStyle w:val="ListBullet"/>
      </w:pPr>
      <w:r>
        <w:t>TCP/IP replay service available for gap recovery (up to 65,000 most recent messages)</w:t>
      </w:r>
    </w:p>
    <w:p>
      <w:pPr>
        <w:pStyle w:val="ListBullet"/>
      </w:pPr>
      <w:r>
        <w:t>Snapshot recovery service for initial state rebuild (e.g., upon connection startup)</w:t>
      </w:r>
    </w:p>
    <w:p>
      <w:pPr>
        <w:pStyle w:val="ListBullet"/>
      </w:pPr>
      <w:r>
        <w:t>FIX-FAST market data protocol was decommissioned in July 2013 for all real-time services (except RNS), with MITCH becoming the sole native market data feed</w:t>
      </w:r>
    </w:p>
    <w:p>
      <w:pPr>
        <w:pStyle w:val="Heading3"/>
      </w:pPr>
      <w:r>
        <w:t>4.3 Drop Copy / Trade Reporting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Specification</w:t>
            </w:r>
          </w:p>
        </w:tc>
        <w:tc>
          <w:tcPr>
            <w:tcW w:type="dxa" w:w="2880"/>
          </w:tcPr>
          <w:p>
            <w:pPr/>
            <w:r>
              <w:rPr>
                <w:b/>
                <w:sz w:val="18"/>
              </w:rPr>
              <w:t>Description</w:t>
            </w:r>
          </w:p>
        </w:tc>
      </w:tr>
      <w:tr>
        <w:tc>
          <w:tcPr>
            <w:tcW w:type="dxa" w:w="2880"/>
          </w:tcPr>
          <w:p>
            <w:pPr/>
            <w:r>
              <w:rPr>
                <w:sz w:val="18"/>
              </w:rPr>
              <w:t>**Drop Copy Gateway**</w:t>
            </w:r>
          </w:p>
        </w:tc>
        <w:tc>
          <w:tcPr>
            <w:tcW w:type="dxa" w:w="2880"/>
          </w:tcPr>
          <w:p>
            <w:pPr/>
            <w:r>
              <w:rPr>
                <w:sz w:val="18"/>
              </w:rPr>
              <w:t>MIT205</w:t>
            </w:r>
          </w:p>
        </w:tc>
        <w:tc>
          <w:tcPr>
            <w:tcW w:type="dxa" w:w="2880"/>
          </w:tcPr>
          <w:p>
            <w:pPr/>
            <w:r>
              <w:rPr>
                <w:sz w:val="18"/>
              </w:rPr>
              <w:t>FIX 5.0 based; provides real-time copy of all executions and order state updates for a member firm; used for post-trade reconciliation, compliance monitoring, and risk management; separate from trading gateway to ensure no interference with order flow</w:t>
            </w:r>
          </w:p>
        </w:tc>
      </w:tr>
    </w:tbl>
    <w:p/>
    <w:p>
      <w:pPr>
        <w:pStyle w:val="Heading3"/>
      </w:pPr>
      <w:r>
        <w:t>4.4 Reference Data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Specification</w:t>
            </w:r>
          </w:p>
        </w:tc>
        <w:tc>
          <w:tcPr>
            <w:tcW w:type="dxa" w:w="2880"/>
          </w:tcPr>
          <w:p>
            <w:pPr/>
            <w:r>
              <w:rPr>
                <w:b/>
                <w:sz w:val="18"/>
              </w:rPr>
              <w:t>Description</w:t>
            </w:r>
          </w:p>
        </w:tc>
      </w:tr>
      <w:tr>
        <w:tc>
          <w:tcPr>
            <w:tcW w:type="dxa" w:w="2880"/>
          </w:tcPr>
          <w:p>
            <w:pPr/>
            <w:r>
              <w:rPr>
                <w:sz w:val="18"/>
              </w:rPr>
              <w:t>**Reference Data Service**</w:t>
            </w:r>
          </w:p>
        </w:tc>
        <w:tc>
          <w:tcPr>
            <w:tcW w:type="dxa" w:w="2880"/>
          </w:tcPr>
          <w:p>
            <w:pPr/>
            <w:r>
              <w:rPr>
                <w:sz w:val="18"/>
              </w:rPr>
              <w:t>MIT401 Issue 18.1 (February 2024)</w:t>
            </w:r>
          </w:p>
        </w:tc>
        <w:tc>
          <w:tcPr>
            <w:tcW w:type="dxa" w:w="2880"/>
          </w:tcPr>
          <w:p>
            <w:pPr/>
            <w:r>
              <w:rPr>
                <w:sz w:val="18"/>
              </w:rPr>
              <w:t>Instrument reference data including security identifiers, tick size tables, trading calendars, price monitoring thresholds, lot sizes, corporate actions; delivered as daily files and real-time updates</w:t>
            </w:r>
          </w:p>
        </w:tc>
      </w:tr>
      <w:tr>
        <w:tc>
          <w:tcPr>
            <w:tcW w:type="dxa" w:w="2880"/>
          </w:tcPr>
          <w:p>
            <w:pPr/>
            <w:r>
              <w:rPr>
                <w:sz w:val="18"/>
              </w:rPr>
              <w:t>**RDF (Reference Data Feed)**</w:t>
            </w:r>
          </w:p>
        </w:tc>
        <w:tc>
          <w:tcPr>
            <w:tcW w:type="dxa" w:w="2880"/>
          </w:tcPr>
          <w:p>
            <w:pPr/>
            <w:r>
              <w:rPr>
                <w:sz w:val="18"/>
              </w:rPr>
              <w:t>File-based</w:t>
            </w:r>
          </w:p>
        </w:tc>
        <w:tc>
          <w:tcPr>
            <w:tcW w:type="dxa" w:w="2880"/>
          </w:tcPr>
          <w:p>
            <w:pPr/>
            <w:r>
              <w:rPr>
                <w:sz w:val="18"/>
              </w:rPr>
              <w:t>Pre-market static data files for system initialization</w:t>
            </w:r>
          </w:p>
        </w:tc>
      </w:tr>
    </w:tbl>
    <w:p/>
    <w:p>
      <w:pPr>
        <w:pStyle w:val="Heading3"/>
      </w:pPr>
      <w:r>
        <w:t>4.5 Connectivity Guide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Document</w:t>
            </w:r>
          </w:p>
        </w:tc>
        <w:tc>
          <w:tcPr>
            <w:tcW w:type="dxa" w:w="2880"/>
          </w:tcPr>
          <w:p>
            <w:pPr/>
            <w:r>
              <w:rPr>
                <w:b/>
                <w:sz w:val="18"/>
              </w:rPr>
              <w:t>Specification</w:t>
            </w:r>
          </w:p>
        </w:tc>
        <w:tc>
          <w:tcPr>
            <w:tcW w:type="dxa" w:w="2880"/>
          </w:tcPr>
          <w:p>
            <w:pPr/>
            <w:r>
              <w:rPr>
                <w:b/>
                <w:sz w:val="18"/>
              </w:rPr>
              <w:t>Description</w:t>
            </w:r>
          </w:p>
        </w:tc>
      </w:tr>
      <w:tr>
        <w:tc>
          <w:tcPr>
            <w:tcW w:type="dxa" w:w="2880"/>
          </w:tcPr>
          <w:p>
            <w:pPr/>
            <w:r>
              <w:rPr>
                <w:sz w:val="18"/>
              </w:rPr>
              <w:t>**Connectivity Guide**</w:t>
            </w:r>
          </w:p>
        </w:tc>
        <w:tc>
          <w:tcPr>
            <w:tcW w:type="dxa" w:w="2880"/>
          </w:tcPr>
          <w:p>
            <w:pPr/>
            <w:r>
              <w:rPr>
                <w:sz w:val="18"/>
              </w:rPr>
              <w:t>MIT1001 Issue 4.2</w:t>
            </w:r>
          </w:p>
        </w:tc>
        <w:tc>
          <w:tcPr>
            <w:tcW w:type="dxa" w:w="2880"/>
          </w:tcPr>
          <w:p>
            <w:pPr/>
            <w:r>
              <w:rPr>
                <w:sz w:val="18"/>
              </w:rPr>
              <w:t>Comprehensive guide to network connectivity options, co-location, extranet, and third-party network access</w:t>
            </w:r>
          </w:p>
        </w:tc>
      </w:tr>
    </w:tbl>
    <w:p/>
    <w:p>
      <w:r>
        <w:t>────────────────────────────────────────────────────────────</w:t>
      </w:r>
    </w:p>
    <w:p>
      <w:pPr>
        <w:pStyle w:val="Heading2"/>
      </w:pPr>
      <w:r>
        <w:t>5. Resilience &amp; Business Continuity</w:t>
      </w:r>
    </w:p>
    <w:p>
      <w:pPr>
        <w:pStyle w:val="Heading3"/>
      </w:pPr>
      <w:r>
        <w:t>5.1 Redundancy</w:t>
      </w:r>
    </w:p>
    <w:p>
      <w:pPr>
        <w:pStyle w:val="ListBullet"/>
      </w:pPr>
      <w:r>
        <w:t>Software-based fault tolerance: Resilience achieved at the application layer rather than through specialized hardware; real-time state replication between primary and secondary matching engine instances</w:t>
      </w:r>
    </w:p>
    <w:p>
      <w:pPr>
        <w:pStyle w:val="ListBullet"/>
      </w:pPr>
      <w:r>
        <w:t>Active-passive matching engine configuration with real-time replication [unverified — specific topology not publicly disclosed]</w:t>
      </w:r>
    </w:p>
    <w:p>
      <w:pPr>
        <w:pStyle w:val="ListBullet"/>
      </w:pPr>
      <w:r>
        <w:t>Dual market data feeds: Feed A and Feed B are identically sequenced; subscribers can use both feeds for client-side arbitration and gap detection, ensuring no data loss even if one feed experiences packet loss</w:t>
      </w:r>
    </w:p>
    <w:p>
      <w:pPr>
        <w:pStyle w:val="ListBullet"/>
      </w:pPr>
      <w:r>
        <w:t>Multiple trading gateway instances: Member firms can connect via multiple gateways for redundancy</w:t>
      </w:r>
    </w:p>
    <w:p>
      <w:pPr>
        <w:pStyle w:val="ListBullet"/>
      </w:pPr>
      <w:r>
        <w:t>No single point of failure: Network, power, and compute redundancy throughout the infrastructure</w:t>
      </w:r>
    </w:p>
    <w:p>
      <w:pPr>
        <w:pStyle w:val="Heading3"/>
      </w:pPr>
      <w:r>
        <w:t>5.2 Disaster Recovery</w:t>
      </w:r>
    </w:p>
    <w:p>
      <w:pPr>
        <w:pStyle w:val="ListBullet"/>
      </w:pPr>
      <w:r>
        <w:t>Primary Data Center: Telehouse campus, Isle of Dogs (London Docklands) — migrated from legacy City of London site in Q3 2021 through August 2022; purpose-built facility for LSEG</w:t>
      </w:r>
    </w:p>
    <w:p>
      <w:pPr>
        <w:pStyle w:val="ListBullet"/>
      </w:pPr>
      <w:r>
        <w:t>Legacy Primary Site (pre-2022): City of London data center (decommissioned 30 August 2022)</w:t>
      </w:r>
    </w:p>
    <w:p>
      <w:pPr>
        <w:pStyle w:val="ListBullet"/>
      </w:pPr>
      <w:r>
        <w:t>DR Site: Separate geographic location [specific address not publicly disclosed]; provides full failover capability</w:t>
      </w:r>
    </w:p>
    <w:p>
      <w:pPr>
        <w:pStyle w:val="ListBullet"/>
      </w:pPr>
      <w:r>
        <w:t>RPO/RTO: Aligned with FCA regulatory expectations for Recognised Investment Exchanges; specific values not publicly disclosed</w:t>
      </w:r>
    </w:p>
    <w:p>
      <w:pPr>
        <w:pStyle w:val="ListBullet"/>
      </w:pPr>
      <w:r>
        <w:t>Network Connectivity: EXA Infrastructure provides on-network dark fibre, wavelength, and Ethernet services for low-latency connectivity to the primary data center; additional connectivity via BT Radianz, IPC/Connexus, TNS, and other approved network providers</w:t>
      </w:r>
    </w:p>
    <w:p>
      <w:pPr>
        <w:pStyle w:val="ListBullet"/>
      </w:pPr>
      <w:r>
        <w:t>DR Testing: Conducted regularly as required by FCA regulation; member firms participate in scheduled DR exercises</w:t>
      </w:r>
    </w:p>
    <w:p>
      <w:r>
        <w:t>Note on Data Center Geography: Prior to the 2022 migration, co-location for LSE matching engines was in the City of London. Some LSEG-related venues (such as Turquoise, at various points) have been associated with Equinix LD4 (Slough). Following the 2022 migration, the primary facility for LSE, Turquoise, and Turquoise Europe is the Telehouse Docklands campus.</w:t>
      </w:r>
    </w:p>
    <w:p>
      <w:pPr>
        <w:pStyle w:val="Heading3"/>
      </w:pPr>
      <w:r>
        <w:t>5.3 Capacity Management</w:t>
      </w:r>
    </w:p>
    <w:p>
      <w:pPr>
        <w:pStyle w:val="ListBullet"/>
      </w:pPr>
      <w:r>
        <w:t>Horizontal scalability: Platform designed to scale by adding commodity servers; no dependency on vertical scaling or proprietary hardware</w:t>
      </w:r>
    </w:p>
    <w:p>
      <w:pPr>
        <w:pStyle w:val="ListBullet"/>
      </w:pPr>
      <w:r>
        <w:t>Capacity testing: Regular load testing and stress testing before major market events (e.g., FTSE index rebalances, IPO launches)</w:t>
      </w:r>
    </w:p>
    <w:p>
      <w:pPr>
        <w:pStyle w:val="ListBullet"/>
      </w:pPr>
      <w:r>
        <w:t>Configurable throttling: Message rate limits per gateway/CompID to prevent individual participants from overwhelming the system</w:t>
      </w:r>
    </w:p>
    <w:p>
      <w:pPr>
        <w:pStyle w:val="ListBullet"/>
      </w:pPr>
      <w:r>
        <w:t>Intelligent market data throttling: GTP batches non-latency-sensitive messages to manage bandwidth while ensuring latency-sensitive messages (trades, BBO updates) are delivered immediately</w:t>
      </w:r>
    </w:p>
    <w:p>
      <w:pPr>
        <w:pStyle w:val="ListBullet"/>
      </w:pPr>
      <w:r>
        <w:t>Headroom planning: System capacity designed with significant headroom above normal peak volumes to accommodate extreme market conditions [estimated]</w:t>
      </w:r>
    </w:p>
    <w:p>
      <w:r>
        <w:t>────────────────────────────────────────────────────────────</w:t>
      </w:r>
    </w:p>
    <w:p>
      <w:pPr>
        <w:pStyle w:val="Heading2"/>
      </w:pPr>
      <w:r>
        <w:t>6. Notable Technical Features</w:t>
      </w:r>
    </w:p>
    <w:p>
      <w:pPr>
        <w:pStyle w:val="Heading3"/>
      </w:pPr>
      <w:r>
        <w:t>6.1 Multi-Market, Multi-Asset Platform</w:t>
      </w:r>
    </w:p>
    <w:p>
      <w:r>
        <w:t>Millennium Exchange is not a single-exchange system — it is a platform technology deployed across the entire LSEG group and licensed to external exchanges. Within LSE alone, three distinct trading models operate simultaneously on the same platform:</w:t>
      </w:r>
    </w:p>
    <w:p>
      <w:pPr>
        <w:pStyle w:val="ListBullet"/>
      </w:pPr>
      <w:r>
        <w:t>SETS: Pure order-driven continuous matching for the most liquid stocks (FTSE 100, FTSE 250, FTSE SmallCap); supports opening/closing/volatility auctions</w:t>
      </w:r>
    </w:p>
    <w:p>
      <w:pPr>
        <w:pStyle w:val="ListBullet"/>
      </w:pPr>
      <w:r>
        <w:t>SETSqx: Hybrid model combining periodic auctions (at 08:00, 09:00, 11:00, 14:00, 16:35) with continuous market maker quotes for less liquid securities</w:t>
      </w:r>
    </w:p>
    <w:p>
      <w:pPr>
        <w:pStyle w:val="ListBullet"/>
      </w:pPr>
      <w:r>
        <w:t>SEAQ: Pure quote-driven market with no electronic order matching; market makers provide continuous two-sided quotes</w:t>
      </w:r>
    </w:p>
    <w:p>
      <w:pPr>
        <w:pStyle w:val="Heading3"/>
      </w:pPr>
      <w:r>
        <w:t>6.2 Global Deployment Footprint</w:t>
      </w:r>
    </w:p>
    <w:p>
      <w:r>
        <w:t>LSEG Technology's Millennium platform powers over 40 financial market infrastructure and financial services firms worldwide, including: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Exchange/Venue</w:t>
            </w:r>
          </w:p>
        </w:tc>
        <w:tc>
          <w:tcPr>
            <w:tcW w:type="dxa" w:w="2880"/>
          </w:tcPr>
          <w:p>
            <w:pPr/>
            <w:r>
              <w:rPr>
                <w:b/>
                <w:sz w:val="18"/>
              </w:rPr>
              <w:t>Region</w:t>
            </w:r>
          </w:p>
        </w:tc>
        <w:tc>
          <w:tcPr>
            <w:tcW w:type="dxa" w:w="2880"/>
          </w:tcPr>
          <w:p>
            <w:pPr/>
            <w:r>
              <w:rPr>
                <w:b/>
                <w:sz w:val="18"/>
              </w:rPr>
              <w:t>Notes</w:t>
            </w:r>
          </w:p>
        </w:tc>
      </w:tr>
      <w:tr>
        <w:tc>
          <w:tcPr>
            <w:tcW w:type="dxa" w:w="2880"/>
          </w:tcPr>
          <w:p>
            <w:pPr/>
            <w:r>
              <w:rPr>
                <w:sz w:val="18"/>
              </w:rPr>
              <w:t>London Stock Exchange</w:t>
            </w:r>
          </w:p>
        </w:tc>
        <w:tc>
          <w:tcPr>
            <w:tcW w:type="dxa" w:w="2880"/>
          </w:tcPr>
          <w:p>
            <w:pPr/>
            <w:r>
              <w:rPr>
                <w:sz w:val="18"/>
              </w:rPr>
              <w:t>UK/Europe</w:t>
            </w:r>
          </w:p>
        </w:tc>
        <w:tc>
          <w:tcPr>
            <w:tcW w:type="dxa" w:w="2880"/>
          </w:tcPr>
          <w:p>
            <w:pPr/>
            <w:r>
              <w:rPr>
                <w:sz w:val="18"/>
              </w:rPr>
              <w:t>Primary deployment; SETS, SETSqx, SEAQ</w:t>
            </w:r>
          </w:p>
        </w:tc>
      </w:tr>
      <w:tr>
        <w:tc>
          <w:tcPr>
            <w:tcW w:type="dxa" w:w="2880"/>
          </w:tcPr>
          <w:p>
            <w:pPr/>
            <w:r>
              <w:rPr>
                <w:sz w:val="18"/>
              </w:rPr>
              <w:t>Turquoise</w:t>
            </w:r>
          </w:p>
        </w:tc>
        <w:tc>
          <w:tcPr>
            <w:tcW w:type="dxa" w:w="2880"/>
          </w:tcPr>
          <w:p>
            <w:pPr/>
            <w:r>
              <w:rPr>
                <w:sz w:val="18"/>
              </w:rPr>
              <w:t>Europe</w:t>
            </w:r>
          </w:p>
        </w:tc>
        <w:tc>
          <w:tcPr>
            <w:tcW w:type="dxa" w:w="2880"/>
          </w:tcPr>
          <w:p>
            <w:pPr/>
            <w:r>
              <w:rPr>
                <w:sz w:val="18"/>
              </w:rPr>
              <w:t>Pan-European MTF; dark pool and lit book</w:t>
            </w:r>
          </w:p>
        </w:tc>
      </w:tr>
      <w:tr>
        <w:tc>
          <w:tcPr>
            <w:tcW w:type="dxa" w:w="2880"/>
          </w:tcPr>
          <w:p>
            <w:pPr/>
            <w:r>
              <w:rPr>
                <w:sz w:val="18"/>
              </w:rPr>
              <w:t>Borsa Italiana</w:t>
            </w:r>
          </w:p>
        </w:tc>
        <w:tc>
          <w:tcPr>
            <w:tcW w:type="dxa" w:w="2880"/>
          </w:tcPr>
          <w:p>
            <w:pPr/>
            <w:r>
              <w:rPr>
                <w:sz w:val="18"/>
              </w:rPr>
              <w:t>Italy</w:t>
            </w:r>
          </w:p>
        </w:tc>
        <w:tc>
          <w:tcPr>
            <w:tcW w:type="dxa" w:w="2880"/>
          </w:tcPr>
          <w:p>
            <w:pPr/>
            <w:r>
              <w:rPr>
                <w:sz w:val="18"/>
              </w:rPr>
              <w:t>Cash markets migrated June 2012; IDEM derivatives</w:t>
            </w:r>
          </w:p>
        </w:tc>
      </w:tr>
      <w:tr>
        <w:tc>
          <w:tcPr>
            <w:tcW w:type="dxa" w:w="2880"/>
          </w:tcPr>
          <w:p>
            <w:pPr/>
            <w:r>
              <w:rPr>
                <w:sz w:val="18"/>
              </w:rPr>
              <w:t>Oslo Bors</w:t>
            </w:r>
          </w:p>
        </w:tc>
        <w:tc>
          <w:tcPr>
            <w:tcW w:type="dxa" w:w="2880"/>
          </w:tcPr>
          <w:p>
            <w:pPr/>
            <w:r>
              <w:rPr>
                <w:sz w:val="18"/>
              </w:rPr>
              <w:t>Norway</w:t>
            </w:r>
          </w:p>
        </w:tc>
        <w:tc>
          <w:tcPr>
            <w:tcW w:type="dxa" w:w="2880"/>
          </w:tcPr>
          <w:p>
            <w:pPr/>
            <w:r>
              <w:rPr>
                <w:sz w:val="18"/>
              </w:rPr>
              <w:t>Now part of Euronext but historically on Millennium</w:t>
            </w:r>
          </w:p>
        </w:tc>
      </w:tr>
      <w:tr>
        <w:tc>
          <w:tcPr>
            <w:tcW w:type="dxa" w:w="2880"/>
          </w:tcPr>
          <w:p>
            <w:pPr/>
            <w:r>
              <w:rPr>
                <w:sz w:val="18"/>
              </w:rPr>
              <w:t>Johannesburg Stock Exchange (JSE)</w:t>
            </w:r>
          </w:p>
        </w:tc>
        <w:tc>
          <w:tcPr>
            <w:tcW w:type="dxa" w:w="2880"/>
          </w:tcPr>
          <w:p>
            <w:pPr/>
            <w:r>
              <w:rPr>
                <w:sz w:val="18"/>
              </w:rPr>
              <w:t>South Africa</w:t>
            </w:r>
          </w:p>
        </w:tc>
        <w:tc>
          <w:tcPr>
            <w:tcW w:type="dxa" w:w="2880"/>
          </w:tcPr>
          <w:p>
            <w:pPr/>
            <w:r>
              <w:rPr>
                <w:sz w:val="18"/>
              </w:rPr>
              <w:t>Matching engine moved from London back to Johannesburg for operational efficiency</w:t>
            </w:r>
          </w:p>
        </w:tc>
      </w:tr>
      <w:tr>
        <w:tc>
          <w:tcPr>
            <w:tcW w:type="dxa" w:w="2880"/>
          </w:tcPr>
          <w:p>
            <w:pPr/>
            <w:r>
              <w:rPr>
                <w:sz w:val="18"/>
              </w:rPr>
              <w:t>Hong Kong Exchanges and Clearing (HKEX)</w:t>
            </w:r>
          </w:p>
        </w:tc>
        <w:tc>
          <w:tcPr>
            <w:tcW w:type="dxa" w:w="2880"/>
          </w:tcPr>
          <w:p>
            <w:pPr/>
            <w:r>
              <w:rPr>
                <w:sz w:val="18"/>
              </w:rPr>
              <w:t>Asia</w:t>
            </w:r>
          </w:p>
        </w:tc>
        <w:tc>
          <w:tcPr>
            <w:tcW w:type="dxa" w:w="2880"/>
          </w:tcPr>
          <w:p>
            <w:pPr/>
            <w:r>
              <w:rPr>
                <w:sz w:val="18"/>
              </w:rPr>
              <w:t>Orion Trading Platform built on Millennium technology</w:t>
            </w:r>
          </w:p>
        </w:tc>
      </w:tr>
      <w:tr>
        <w:tc>
          <w:tcPr>
            <w:tcW w:type="dxa" w:w="2880"/>
          </w:tcPr>
          <w:p>
            <w:pPr/>
            <w:r>
              <w:rPr>
                <w:sz w:val="18"/>
              </w:rPr>
              <w:t>Singapore Exchange (SGX)</w:t>
            </w:r>
          </w:p>
        </w:tc>
        <w:tc>
          <w:tcPr>
            <w:tcW w:type="dxa" w:w="2880"/>
          </w:tcPr>
          <w:p>
            <w:pPr/>
            <w:r>
              <w:rPr>
                <w:sz w:val="18"/>
              </w:rPr>
              <w:t>Asia</w:t>
            </w:r>
          </w:p>
        </w:tc>
        <w:tc>
          <w:tcPr>
            <w:tcW w:type="dxa" w:w="2880"/>
          </w:tcPr>
          <w:p>
            <w:pPr/>
            <w:r>
              <w:rPr>
                <w:sz w:val="18"/>
              </w:rPr>
              <w:t>Titan trading engine leverages Millennium technology</w:t>
            </w:r>
          </w:p>
        </w:tc>
      </w:tr>
      <w:tr>
        <w:tc>
          <w:tcPr>
            <w:tcW w:type="dxa" w:w="2880"/>
          </w:tcPr>
          <w:p>
            <w:pPr/>
            <w:r>
              <w:rPr>
                <w:sz w:val="18"/>
              </w:rPr>
              <w:t>Bolsa de Valores de Lima</w:t>
            </w:r>
          </w:p>
        </w:tc>
        <w:tc>
          <w:tcPr>
            <w:tcW w:type="dxa" w:w="2880"/>
          </w:tcPr>
          <w:p>
            <w:pPr/>
            <w:r>
              <w:rPr>
                <w:sz w:val="18"/>
              </w:rPr>
              <w:t>Peru</w:t>
            </w:r>
          </w:p>
        </w:tc>
        <w:tc>
          <w:tcPr>
            <w:tcW w:type="dxa" w:w="2880"/>
          </w:tcPr>
          <w:p>
            <w:pPr/>
            <w:r>
              <w:rPr>
                <w:sz w:val="18"/>
              </w:rPr>
              <w:t>South American deployment</w:t>
            </w:r>
          </w:p>
        </w:tc>
      </w:tr>
      <w:tr>
        <w:tc>
          <w:tcPr>
            <w:tcW w:type="dxa" w:w="2880"/>
          </w:tcPr>
          <w:p>
            <w:pPr/>
            <w:r>
              <w:rPr>
                <w:sz w:val="18"/>
              </w:rPr>
              <w:t>BYMA (Argentina)</w:t>
            </w:r>
          </w:p>
        </w:tc>
        <w:tc>
          <w:tcPr>
            <w:tcW w:type="dxa" w:w="2880"/>
          </w:tcPr>
          <w:p>
            <w:pPr/>
            <w:r>
              <w:rPr>
                <w:sz w:val="18"/>
              </w:rPr>
              <w:t>South America</w:t>
            </w:r>
          </w:p>
        </w:tc>
        <w:tc>
          <w:tcPr>
            <w:tcW w:type="dxa" w:w="2880"/>
          </w:tcPr>
          <w:p>
            <w:pPr/>
            <w:r>
              <w:rPr>
                <w:sz w:val="18"/>
              </w:rPr>
              <w:t>Live on Millennium Exchange</w:t>
            </w:r>
          </w:p>
        </w:tc>
      </w:tr>
      <w:tr>
        <w:tc>
          <w:tcPr>
            <w:tcW w:type="dxa" w:w="2880"/>
          </w:tcPr>
          <w:p>
            <w:pPr/>
            <w:r>
              <w:rPr>
                <w:sz w:val="18"/>
              </w:rPr>
              <w:t>Casablanca Stock Exchange</w:t>
            </w:r>
          </w:p>
        </w:tc>
        <w:tc>
          <w:tcPr>
            <w:tcW w:type="dxa" w:w="2880"/>
          </w:tcPr>
          <w:p>
            <w:pPr/>
            <w:r>
              <w:rPr>
                <w:sz w:val="18"/>
              </w:rPr>
              <w:t>Africa</w:t>
            </w:r>
          </w:p>
        </w:tc>
        <w:tc>
          <w:tcPr>
            <w:tcW w:type="dxa" w:w="2880"/>
          </w:tcPr>
          <w:p>
            <w:pPr/>
            <w:r>
              <w:rPr>
                <w:sz w:val="18"/>
              </w:rPr>
              <w:t>Went live March 2025 on Millennium Exchange and MAP</w:t>
            </w:r>
          </w:p>
        </w:tc>
      </w:tr>
      <w:tr>
        <w:tc>
          <w:tcPr>
            <w:tcW w:type="dxa" w:w="2880"/>
          </w:tcPr>
          <w:p>
            <w:pPr/>
            <w:r>
              <w:rPr>
                <w:sz w:val="18"/>
              </w:rPr>
              <w:t>TP-ICAP</w:t>
            </w:r>
          </w:p>
        </w:tc>
        <w:tc>
          <w:tcPr>
            <w:tcW w:type="dxa" w:w="2880"/>
          </w:tcPr>
          <w:p>
            <w:pPr/>
            <w:r>
              <w:rPr>
                <w:sz w:val="18"/>
              </w:rPr>
              <w:t>Global</w:t>
            </w:r>
          </w:p>
        </w:tc>
        <w:tc>
          <w:tcPr>
            <w:tcW w:type="dxa" w:w="2880"/>
          </w:tcPr>
          <w:p>
            <w:pPr/>
            <w:r>
              <w:rPr>
                <w:sz w:val="18"/>
              </w:rPr>
              <w:t>Interdealer broker platform</w:t>
            </w:r>
          </w:p>
        </w:tc>
      </w:tr>
      <w:tr>
        <w:tc>
          <w:tcPr>
            <w:tcW w:type="dxa" w:w="2880"/>
          </w:tcPr>
          <w:p>
            <w:pPr/>
            <w:r>
              <w:rPr>
                <w:sz w:val="18"/>
              </w:rPr>
              <w:t>AAX</w:t>
            </w:r>
          </w:p>
        </w:tc>
        <w:tc>
          <w:tcPr>
            <w:tcW w:type="dxa" w:w="2880"/>
          </w:tcPr>
          <w:p>
            <w:pPr/>
            <w:r>
              <w:rPr>
                <w:sz w:val="18"/>
              </w:rPr>
              <w:t>Global</w:t>
            </w:r>
          </w:p>
        </w:tc>
        <w:tc>
          <w:tcPr>
            <w:tcW w:type="dxa" w:w="2880"/>
          </w:tcPr>
          <w:p>
            <w:pPr/>
            <w:r>
              <w:rPr>
                <w:sz w:val="18"/>
              </w:rPr>
              <w:t>First digital asset exchange using Millennium Exchange (cloud deployment, 2019)</w:t>
            </w:r>
          </w:p>
        </w:tc>
      </w:tr>
    </w:tbl>
    <w:p/>
    <w:p>
      <w:pPr>
        <w:pStyle w:val="Heading3"/>
      </w:pPr>
      <w:r>
        <w:t>6.3 Millennium Advanced Platform (MAP)</w:t>
      </w:r>
    </w:p>
    <w:p>
      <w:r>
        <w:t>MAP represents the evolution of the Millennium product suite into an integrated, multi-asset class offering. It bundles:</w:t>
      </w:r>
    </w:p>
    <w:p>
      <w:pPr>
        <w:pStyle w:val="ListBullet"/>
      </w:pPr>
      <w:r>
        <w:t>Millennium Exchange — trading/matching</w:t>
      </w:r>
    </w:p>
    <w:p>
      <w:pPr>
        <w:pStyle w:val="ListBullet"/>
      </w:pPr>
      <w:r>
        <w:t>Millennium Surveillance — real-time market monitoring and regulatory surveillance</w:t>
      </w:r>
    </w:p>
    <w:p>
      <w:pPr>
        <w:pStyle w:val="ListBullet"/>
      </w:pPr>
      <w:r>
        <w:t>Millennium Post-Trade — clearing and settlement connectivity</w:t>
      </w:r>
    </w:p>
    <w:p>
      <w:pPr>
        <w:pStyle w:val="ListBullet"/>
      </w:pPr>
      <w:r>
        <w:t>Additional modules for depository, risk management, and reporting</w:t>
      </w:r>
    </w:p>
    <w:p>
      <w:pPr>
        <w:pStyle w:val="Heading3"/>
      </w:pPr>
      <w:r>
        <w:t>6.4 MillenniumIT Acquisition — Strategic Significance</w:t>
      </w:r>
    </w:p>
    <w:p>
      <w:r>
        <w:t>The 2009 acquisition of MillenniumIT for GBP 18 million is widely regarded as one of the most consequential technology deals in exchange history:</w:t>
      </w:r>
    </w:p>
    <w:p>
      <w:pPr>
        <w:pStyle w:val="ListBullet"/>
      </w:pPr>
      <w:r>
        <w:t>Background: MillenniumIT was founded in 1996 in Colombo, Sri Lanka by Tony Weerasinghe (former Oracle country manager). The company entered exchange technology accidentally — a systems integration contract from the Colombo Stock Exchange was reinterpreted as an opportunity to build a complete straight-through processing system. This became the foundation for a suite of capital markets software products.</w:t>
      </w:r>
    </w:p>
    <w:p>
      <w:pPr>
        <w:pStyle w:val="ListBullet"/>
      </w:pPr>
      <w:r>
        <w:t>Motivation: LSEG was under severe pressure from the failure of TradElect (Microsoft .NET-based), which suffered performance degradation and reliability issues. Competitors like Chi-X and BATS were capturing market share with lower latency platforms. LSEG evaluated building in-house but determined acquisition was faster and cheaper.</w:t>
      </w:r>
    </w:p>
    <w:p>
      <w:pPr>
        <w:pStyle w:val="ListBullet"/>
      </w:pPr>
      <w:r>
        <w:t>Impact: The GBP 18 million acquisition gave LSEG a platform that replaced a system built by Accenture on Microsoft technology at a vastly higher cost. The Millennium platform went on to become a significant revenue generator as a technology licensing business, deployed in 40+ markets globally.</w:t>
      </w:r>
    </w:p>
    <w:p>
      <w:pPr>
        <w:pStyle w:val="ListBullet"/>
      </w:pPr>
      <w:r>
        <w:t>Sri Lankan Technology Hub: MillenniumIT's development center in Colombo continued as the primary engineering hub for LSEG's exchange technology, employing hundreds of engineers. In 2017, LSEG sold the enterprise solutions (non-exchange) business of MillenniumIT ESP to Ambeon Holdings (Lanka Century Investments), retaining full ownership of the exchange software and development team.</w:t>
      </w:r>
    </w:p>
    <w:p>
      <w:pPr>
        <w:pStyle w:val="Heading3"/>
      </w:pPr>
      <w:r>
        <w:t>6.5 TradElect Failure — Lessons Learned</w:t>
      </w:r>
    </w:p>
    <w:p>
      <w:r>
        <w:t>The TradElect experience (2007-2011) serves as a cautionary tale in exchange technology:</w:t>
      </w:r>
    </w:p>
    <w:p>
      <w:pPr>
        <w:pStyle w:val="ListBullet"/>
      </w:pPr>
      <w:r>
        <w:t>Built on Microsoft .NET, Windows Server 2003, HP ProLiant blade servers, Cisco networking, and SQL Server 2000</w:t>
      </w:r>
    </w:p>
    <w:p>
      <w:pPr>
        <w:pStyle w:val="ListBullet"/>
      </w:pPr>
      <w:r>
        <w:t>Developed by Accenture at significant cost [exact figure not publicly disclosed]</w:t>
      </w:r>
    </w:p>
    <w:p>
      <w:pPr>
        <w:pStyle w:val="ListBullet"/>
      </w:pPr>
      <w:r>
        <w:t>Launched with ~10 ms latency — competitive in 2007 but rapidly overtaken</w:t>
      </w:r>
    </w:p>
    <w:p>
      <w:pPr>
        <w:pStyle w:val="ListBullet"/>
      </w:pPr>
      <w:r>
        <w:t>Degraded to ~2.7 ms average latency under real market conditions; significantly slower than emerging competitors</w:t>
      </w:r>
    </w:p>
    <w:p>
      <w:pPr>
        <w:pStyle w:val="ListBullet"/>
      </w:pPr>
      <w:r>
        <w:t>Suffered a 7-hour outage on 8 September 2008 — during the global financial crisis when reliable trading was most critical</w:t>
      </w:r>
    </w:p>
    <w:p>
      <w:pPr>
        <w:pStyle w:val="ListBullet"/>
      </w:pPr>
      <w:r>
        <w:t>The open-source community pointed to the TradElect-to-Millennium migration as evidence that Linux/C++ was superior to Windows/.NET for mission-critical, latency-sensitive applications</w:t>
      </w:r>
    </w:p>
    <w:p>
      <w:pPr>
        <w:pStyle w:val="Heading3"/>
      </w:pPr>
      <w:r>
        <w:t>6.6 Cloud Deployment Capability</w:t>
      </w:r>
    </w:p>
    <w:p>
      <w:r>
        <w:t>In 2019, AAX (a digital asset exchange) launched as the first exchange to run Millennium Exchange in the cloud, demonstrating that the platform's architecture could operate outside traditional on-premise data center environments. This represented an evolution from the original commodity-hardware-on-premise model.</w:t>
      </w:r>
    </w:p>
    <w:p>
      <w:r>
        <w:t>────────────────────────────────────────────────────────────</w:t>
      </w:r>
    </w:p>
    <w:p>
      <w:pPr>
        <w:pStyle w:val="Heading2"/>
      </w:pPr>
      <w:r>
        <w:t>7. Comparison Notes</w:t>
      </w:r>
    </w:p>
    <w:p>
      <w:pPr>
        <w:pStyle w:val="Heading3"/>
      </w:pPr>
      <w:r>
        <w:t>vs. KRX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Millennium Exchange (LSE)</w:t>
            </w:r>
          </w:p>
        </w:tc>
        <w:tc>
          <w:tcPr>
            <w:tcW w:type="dxa" w:w="2880"/>
          </w:tcPr>
          <w:p>
            <w:pPr/>
            <w:r>
              <w:rPr>
                <w:b/>
                <w:sz w:val="18"/>
              </w:rPr>
              <w:t>KRX Exture+</w:t>
            </w:r>
          </w:p>
        </w:tc>
      </w:tr>
      <w:tr>
        <w:tc>
          <w:tcPr>
            <w:tcW w:type="dxa" w:w="2880"/>
          </w:tcPr>
          <w:p>
            <w:pPr/>
            <w:r>
              <w:rPr>
                <w:sz w:val="18"/>
              </w:rPr>
              <w:t>**Launch Year**</w:t>
            </w:r>
          </w:p>
        </w:tc>
        <w:tc>
          <w:tcPr>
            <w:tcW w:type="dxa" w:w="2880"/>
          </w:tcPr>
          <w:p>
            <w:pPr/>
            <w:r>
              <w:rPr>
                <w:sz w:val="18"/>
              </w:rPr>
              <w:t>2011 (Millennium); platform continuously evolved</w:t>
            </w:r>
          </w:p>
        </w:tc>
        <w:tc>
          <w:tcPr>
            <w:tcW w:type="dxa" w:w="2880"/>
          </w:tcPr>
          <w:p>
            <w:pPr/>
            <w:r>
              <w:rPr>
                <w:sz w:val="18"/>
              </w:rPr>
              <w:t>2014 (Exture+); predecessor Exture launched 2009</w:t>
            </w:r>
          </w:p>
        </w:tc>
      </w:tr>
      <w:tr>
        <w:tc>
          <w:tcPr>
            <w:tcW w:type="dxa" w:w="2880"/>
          </w:tcPr>
          <w:p>
            <w:pPr/>
            <w:r>
              <w:rPr>
                <w:sz w:val="18"/>
              </w:rPr>
              <w:t>**Developer**</w:t>
            </w:r>
          </w:p>
        </w:tc>
        <w:tc>
          <w:tcPr>
            <w:tcW w:type="dxa" w:w="2880"/>
          </w:tcPr>
          <w:p>
            <w:pPr/>
            <w:r>
              <w:rPr>
                <w:sz w:val="18"/>
              </w:rPr>
              <w:t>MillenniumIT (LSEG subsidiary, Sri Lanka)</w:t>
            </w:r>
          </w:p>
        </w:tc>
        <w:tc>
          <w:tcPr>
            <w:tcW w:type="dxa" w:w="2880"/>
          </w:tcPr>
          <w:p>
            <w:pPr/>
            <w:r>
              <w:rPr>
                <w:sz w:val="18"/>
              </w:rPr>
              <w:t>KOSCOM (KRX subsidiary, South Korea)</w:t>
            </w:r>
          </w:p>
        </w:tc>
      </w:tr>
      <w:tr>
        <w:tc>
          <w:tcPr>
            <w:tcW w:type="dxa" w:w="2880"/>
          </w:tcPr>
          <w:p>
            <w:pPr/>
            <w:r>
              <w:rPr>
                <w:sz w:val="18"/>
              </w:rPr>
              <w:t>**Average Latency**</w:t>
            </w:r>
          </w:p>
        </w:tc>
        <w:tc>
          <w:tcPr>
            <w:tcW w:type="dxa" w:w="2880"/>
          </w:tcPr>
          <w:p>
            <w:pPr/>
            <w:r>
              <w:rPr>
                <w:sz w:val="18"/>
              </w:rPr>
              <w:t>~126 microseconds (native, at 2011 launch); current figures undisclosed but likely sub-100 microseconds</w:t>
            </w:r>
          </w:p>
        </w:tc>
        <w:tc>
          <w:tcPr>
            <w:tcW w:type="dxa" w:w="2880"/>
          </w:tcPr>
          <w:p>
            <w:pPr/>
            <w:r>
              <w:rPr>
                <w:sz w:val="18"/>
              </w:rPr>
              <w:t>~70 microseconds (order processing) — approximately 285x improvement over Exture's 20,000 microseconds</w:t>
            </w:r>
          </w:p>
        </w:tc>
      </w:tr>
      <w:tr>
        <w:tc>
          <w:tcPr>
            <w:tcW w:type="dxa" w:w="2880"/>
          </w:tcPr>
          <w:p>
            <w:pPr/>
            <w:r>
              <w:rPr>
                <w:sz w:val="18"/>
              </w:rPr>
              <w:t>**Technology Stack**</w:t>
            </w:r>
          </w:p>
        </w:tc>
        <w:tc>
          <w:tcPr>
            <w:tcW w:type="dxa" w:w="2880"/>
          </w:tcPr>
          <w:p>
            <w:pPr/>
            <w:r>
              <w:rPr>
                <w:sz w:val="18"/>
              </w:rPr>
              <w:t>C++ on SUSE Linux; commodity x86 hardware</w:t>
            </w:r>
          </w:p>
        </w:tc>
        <w:tc>
          <w:tcPr>
            <w:tcW w:type="dxa" w:w="2880"/>
          </w:tcPr>
          <w:p>
            <w:pPr/>
            <w:r>
              <w:rPr>
                <w:sz w:val="18"/>
              </w:rPr>
              <w:t>Memory-based solution; open-source architecture; Solace PubSub+ messaging middleware</w:t>
            </w:r>
          </w:p>
        </w:tc>
      </w:tr>
      <w:tr>
        <w:tc>
          <w:tcPr>
            <w:tcW w:type="dxa" w:w="2880"/>
          </w:tcPr>
          <w:p>
            <w:pPr/>
            <w:r>
              <w:rPr>
                <w:sz w:val="18"/>
              </w:rPr>
              <w:t>**Architecture**</w:t>
            </w:r>
          </w:p>
        </w:tc>
        <w:tc>
          <w:tcPr>
            <w:tcW w:type="dxa" w:w="2880"/>
          </w:tcPr>
          <w:p>
            <w:pPr/>
            <w:r>
              <w:rPr>
                <w:sz w:val="18"/>
              </w:rPr>
              <w:t>Distributed, event-driven; software-based fault tolerance</w:t>
            </w:r>
          </w:p>
        </w:tc>
        <w:tc>
          <w:tcPr>
            <w:tcW w:type="dxa" w:w="2880"/>
          </w:tcPr>
          <w:p>
            <w:pPr/>
            <w:r>
              <w:rPr>
                <w:sz w:val="18"/>
              </w:rPr>
              <w:t>Zero-latency matching engine design; memory-based processing</w:t>
            </w:r>
          </w:p>
        </w:tc>
      </w:tr>
      <w:tr>
        <w:tc>
          <w:tcPr>
            <w:tcW w:type="dxa" w:w="2880"/>
          </w:tcPr>
          <w:p>
            <w:pPr/>
            <w:r>
              <w:rPr>
                <w:sz w:val="18"/>
              </w:rPr>
              <w:t>**Asset Classes**</w:t>
            </w:r>
          </w:p>
        </w:tc>
        <w:tc>
          <w:tcPr>
            <w:tcW w:type="dxa" w:w="2880"/>
          </w:tcPr>
          <w:p>
            <w:pPr/>
            <w:r>
              <w:rPr>
                <w:sz w:val="18"/>
              </w:rPr>
              <w:t>Multi-asset (equities, ETFs, bonds, derivatives across multiple venues)</w:t>
            </w:r>
          </w:p>
        </w:tc>
        <w:tc>
          <w:tcPr>
            <w:tcW w:type="dxa" w:w="2880"/>
          </w:tcPr>
          <w:p>
            <w:pPr/>
            <w:r>
              <w:rPr>
                <w:sz w:val="18"/>
              </w:rPr>
              <w:t>Multi-asset (stocks, bonds, futures, options, ETFs, warrants, commodities) — all on single platform</w:t>
            </w:r>
          </w:p>
        </w:tc>
      </w:tr>
      <w:tr>
        <w:tc>
          <w:tcPr>
            <w:tcW w:type="dxa" w:w="2880"/>
          </w:tcPr>
          <w:p>
            <w:pPr/>
            <w:r>
              <w:rPr>
                <w:sz w:val="18"/>
              </w:rPr>
              <w:t>**Order Entry Protocols**</w:t>
            </w:r>
          </w:p>
        </w:tc>
        <w:tc>
          <w:tcPr>
            <w:tcW w:type="dxa" w:w="2880"/>
          </w:tcPr>
          <w:p>
            <w:pPr/>
            <w:r>
              <w:rPr>
                <w:sz w:val="18"/>
              </w:rPr>
              <w:t>Native binary (MIT203) + FIX 5.0 SP2 (MIT202)</w:t>
            </w:r>
          </w:p>
        </w:tc>
        <w:tc>
          <w:tcPr>
            <w:tcW w:type="dxa" w:w="2880"/>
          </w:tcPr>
          <w:p>
            <w:pPr/>
            <w:r>
              <w:rPr>
                <w:sz w:val="18"/>
              </w:rPr>
              <w:t>KRX proprietary protocol + FIX [unverified]</w:t>
            </w:r>
          </w:p>
        </w:tc>
      </w:tr>
      <w:tr>
        <w:tc>
          <w:tcPr>
            <w:tcW w:type="dxa" w:w="2880"/>
          </w:tcPr>
          <w:p>
            <w:pPr/>
            <w:r>
              <w:rPr>
                <w:sz w:val="18"/>
              </w:rPr>
              <w:t>**Market Data**</w:t>
            </w:r>
          </w:p>
        </w:tc>
        <w:tc>
          <w:tcPr>
            <w:tcW w:type="dxa" w:w="2880"/>
          </w:tcPr>
          <w:p>
            <w:pPr/>
            <w:r>
              <w:rPr>
                <w:sz w:val="18"/>
              </w:rPr>
              <w:t>MITCH (ITCH variant) via UDP multicast</w:t>
            </w:r>
          </w:p>
        </w:tc>
        <w:tc>
          <w:tcPr>
            <w:tcW w:type="dxa" w:w="2880"/>
          </w:tcPr>
          <w:p>
            <w:pPr/>
            <w:r>
              <w:rPr>
                <w:sz w:val="18"/>
              </w:rPr>
              <w:t>KRX proprietary feed; Solace-based distribution</w:t>
            </w:r>
          </w:p>
        </w:tc>
      </w:tr>
      <w:tr>
        <w:tc>
          <w:tcPr>
            <w:tcW w:type="dxa" w:w="2880"/>
          </w:tcPr>
          <w:p>
            <w:pPr/>
            <w:r>
              <w:rPr>
                <w:sz w:val="18"/>
              </w:rPr>
              <w:t>**Primary Data Center**</w:t>
            </w:r>
          </w:p>
        </w:tc>
        <w:tc>
          <w:tcPr>
            <w:tcW w:type="dxa" w:w="2880"/>
          </w:tcPr>
          <w:p>
            <w:pPr/>
            <w:r>
              <w:rPr>
                <w:sz w:val="18"/>
              </w:rPr>
              <w:t>Telehouse, Isle of Dogs, London Docklands (since 2022)</w:t>
            </w:r>
          </w:p>
        </w:tc>
        <w:tc>
          <w:tcPr>
            <w:tcW w:type="dxa" w:w="2880"/>
          </w:tcPr>
          <w:p>
            <w:pPr/>
            <w:r>
              <w:rPr>
                <w:sz w:val="18"/>
              </w:rPr>
              <w:t>Busan (moved from Seoul for DR considerations after 2010 strategy) [unverified]</w:t>
            </w:r>
          </w:p>
        </w:tc>
      </w:tr>
      <w:tr>
        <w:tc>
          <w:tcPr>
            <w:tcW w:type="dxa" w:w="2880"/>
          </w:tcPr>
          <w:p>
            <w:pPr/>
            <w:r>
              <w:rPr>
                <w:sz w:val="18"/>
              </w:rPr>
              <w:t>**Global Licensing**</w:t>
            </w:r>
          </w:p>
        </w:tc>
        <w:tc>
          <w:tcPr>
            <w:tcW w:type="dxa" w:w="2880"/>
          </w:tcPr>
          <w:p>
            <w:pPr/>
            <w:r>
              <w:rPr>
                <w:sz w:val="18"/>
              </w:rPr>
              <w:t>Extensively licensed — 40+ markets worldwide</w:t>
            </w:r>
          </w:p>
        </w:tc>
        <w:tc>
          <w:tcPr>
            <w:tcW w:type="dxa" w:w="2880"/>
          </w:tcPr>
          <w:p>
            <w:pPr/>
            <w:r>
              <w:rPr>
                <w:sz w:val="18"/>
              </w:rPr>
              <w:t>Primarily KRX internal use; some consulting to other Asian exchanges</w:t>
            </w:r>
          </w:p>
        </w:tc>
      </w:tr>
      <w:tr>
        <w:tc>
          <w:tcPr>
            <w:tcW w:type="dxa" w:w="2880"/>
          </w:tcPr>
          <w:p>
            <w:pPr/>
            <w:r>
              <w:rPr>
                <w:sz w:val="18"/>
              </w:rPr>
              <w:t>**Platform Hosting Model**</w:t>
            </w:r>
          </w:p>
        </w:tc>
        <w:tc>
          <w:tcPr>
            <w:tcW w:type="dxa" w:w="2880"/>
          </w:tcPr>
          <w:p>
            <w:pPr/>
            <w:r>
              <w:rPr>
                <w:sz w:val="18"/>
              </w:rPr>
              <w:t>On-premise (primary) + cloud capability demonstrated</w:t>
            </w:r>
          </w:p>
        </w:tc>
        <w:tc>
          <w:tcPr>
            <w:tcW w:type="dxa" w:w="2880"/>
          </w:tcPr>
          <w:p>
            <w:pPr/>
            <w:r>
              <w:rPr>
                <w:sz w:val="18"/>
              </w:rPr>
              <w:t>On-premise</w:t>
            </w:r>
          </w:p>
        </w:tc>
      </w:tr>
      <w:tr>
        <w:tc>
          <w:tcPr>
            <w:tcW w:type="dxa" w:w="2880"/>
          </w:tcPr>
          <w:p>
            <w:pPr/>
            <w:r>
              <w:rPr>
                <w:sz w:val="18"/>
              </w:rPr>
              <w:t>**Uptime Claim**</w:t>
            </w:r>
          </w:p>
        </w:tc>
        <w:tc>
          <w:tcPr>
            <w:tcW w:type="dxa" w:w="2880"/>
          </w:tcPr>
          <w:p>
            <w:pPr/>
            <w:r>
              <w:rPr>
                <w:sz w:val="18"/>
              </w:rPr>
              <w:t>99.999% (five nines)</w:t>
            </w:r>
          </w:p>
        </w:tc>
        <w:tc>
          <w:tcPr>
            <w:tcW w:type="dxa" w:w="2880"/>
          </w:tcPr>
          <w:p>
            <w:pPr/>
            <w:r>
              <w:rPr>
                <w:sz w:val="18"/>
              </w:rPr>
              <w:t>99.99%+ [estimated]</w:t>
            </w:r>
          </w:p>
        </w:tc>
      </w:tr>
    </w:tbl>
    <w:p/>
    <w:p>
      <w:pPr>
        <w:pStyle w:val="Heading3"/>
      </w:pPr>
      <w:r>
        <w:t>Key Differentiators</w:t>
      </w:r>
    </w:p>
    <w:p>
      <w:pPr>
        <w:pStyle w:val="ListBullet"/>
      </w:pPr>
      <w:r>
        <w:t>Commercial licensing model: Millennium Exchange's most distinctive feature compared to Exture+ is its global licensing business. While Exture+ is purpose-built for KRX, Millennium Exchange is a commercial product deployed across 40+ markets spanning six continents. This generates significant technology licensing revenue for LSEG and creates a network effect where improvements benefit all client exchanges.</w:t>
      </w:r>
    </w:p>
    <w:p>
      <w:pPr>
        <w:pStyle w:val="ListBullet"/>
      </w:pPr>
      <w:r>
        <w:t>Acquisition-driven innovation: LSEG's approach of acquiring MillenniumIT (GBP 18 million from Sri Lanka) contrasts with KRX's approach of developing Exture+ through its subsidiary KOSCOM. The LSEG model proved remarkably cost-effective — the acquisition price was a fraction of what TradElect cost to develop, yet the platform proved superior.</w:t>
      </w:r>
    </w:p>
    <w:p>
      <w:pPr>
        <w:pStyle w:val="ListBullet"/>
      </w:pPr>
      <w:r>
        <w:t>Latency comparison: At launch, Exture+ (70 microseconds, 2014) was faster than Millennium Exchange's published figure (126 microseconds, 2011). However, both exchanges have continued to optimize, and current comparative figures are not publicly available. The gap at launch may reflect both timing (Exture+ launched 3 years later) and Exture+'s memory-based zero-latency matching engine design versus Millennium's commodity-hardware approach.</w:t>
      </w:r>
    </w:p>
    <w:p>
      <w:pPr>
        <w:pStyle w:val="ListBullet"/>
      </w:pPr>
      <w:r>
        <w:t>Messaging infrastructure: Exture+ uses Solace PubSub+ as its core data delivery infrastructure — a commercial messaging appliance/software optimized for financial data. Millennium Exchange uses custom-built internal messaging with no third-party middleware dependency on the critical path. Both approaches have trade-offs: Solace provides proven ultra-low-latency messaging out of the box, while custom messaging provides maximum control and eliminates vendor dependency.</w:t>
      </w:r>
    </w:p>
    <w:p>
      <w:pPr>
        <w:pStyle w:val="ListBullet"/>
      </w:pPr>
      <w:r>
        <w:t>Multi-venue architecture: Millennium Exchange natively supports running multiple trading models (SETS, SETSqx, SEAQ) with different market microstructures on the same platform instance. KRX runs all asset classes on Exture+ but with a more unified market model. The multi-model flexibility is valuable for LSEG's diverse venue landscape (LSE, Turquoise, Borsa Italiana each with different market structures).</w:t>
      </w:r>
    </w:p>
    <w:p>
      <w:r>
        <w:t>────────────────────────────────────────────────────────────</w:t>
      </w:r>
    </w:p>
    <w:p>
      <w:pPr>
        <w:pStyle w:val="Heading2"/>
      </w:pPr>
      <w:r>
        <w:t>Sources</w:t>
      </w:r>
    </w:p>
    <w:p>
      <w:r>
        <w:t>[Source: LSEG, "Millennium Exchange Fact Sheet", lseg.com, accessed 2026-04-06]</w:t>
      </w:r>
    </w:p>
    <w:p>
      <w:r>
        <w:t>[Source: LSE Docs, "MIT201 - Guide to the Trading System Issue 15.6 / Draft 15.7", docs.londonstockexchange.com, accessed 2026-04-06]</w:t>
      </w:r>
    </w:p>
    <w:p>
      <w:r>
        <w:t>[Source: LSE Docs, "MIT203 - Native Trading Gateway Specification Issue 17.0", January 2024, accessed 2026-04-06]</w:t>
      </w:r>
    </w:p>
    <w:p>
      <w:r>
        <w:t>[Source: LSE Docs, "MIT202 - FIX Trading Gateway (FIX 5.0) Issue 13.1", accessed 2026-04-06]</w:t>
      </w:r>
    </w:p>
    <w:p>
      <w:r>
        <w:t>[Source: LSE Docs, "MIT303 - Level 2 MITCH Specification Issue 11.9", accessed 2026-04-06]</w:t>
      </w:r>
    </w:p>
    <w:p>
      <w:r>
        <w:t>[Source: LSE Docs, "MIT301 - Guide to Market Data Services Issue 10.1", accessed 2026-04-06]</w:t>
      </w:r>
    </w:p>
    <w:p>
      <w:r>
        <w:t>[Source: LSE Docs, "MIT401 - Guide to Reference Data Services Issue 18.1", February 2024, accessed 2026-04-06]</w:t>
      </w:r>
    </w:p>
    <w:p>
      <w:r>
        <w:t>[Source: LSE Docs, "MIT205 - Drop Copy Gateway Specification", accessed 2026-04-06]</w:t>
      </w:r>
    </w:p>
    <w:p>
      <w:r>
        <w:t>[Source: LSE Docs, "MIT1001 - Connectivity Guide Issue 4.2", accessed 2026-04-06]</w:t>
      </w:r>
    </w:p>
    <w:p>
      <w:r>
        <w:t>[Source: LSE Docs, "Service Announcement 001/28082024 - Functional Release 1.24.0", August 2024, accessed 2026-04-06]</w:t>
      </w:r>
    </w:p>
    <w:p>
      <w:r>
        <w:t>[Source: LSEG, "Primary Data Centre Move", lseg.com/en/capital-markets/primary-data-centre-move, accessed 2026-04-06]</w:t>
      </w:r>
    </w:p>
    <w:p>
      <w:r>
        <w:t>[Source: LSEG, "LSEG History", lseg.com/en/about-us/history, accessed 2026-04-06]</w:t>
      </w:r>
    </w:p>
    <w:p>
      <w:r>
        <w:t>[Source: LSEG, "MillenniumIT Acquisition Announcement", 16 September 2009, accessed 2026-04-06]</w:t>
      </w:r>
    </w:p>
    <w:p>
      <w:r>
        <w:t>[Source: LSEG, "LSEG Markets Technology - End-to-End Market Infrastructure", lseg.com, accessed 2026-04-06]</w:t>
      </w:r>
    </w:p>
    <w:p>
      <w:r>
        <w:t>[Source: Computerworld, "London Stock Exchange declares Millennium IT migration 'successful'", April 2011, accessed 2026-04-06]</w:t>
      </w:r>
    </w:p>
    <w:p>
      <w:r>
        <w:t>[Source: Computerworld, "London Stock Exchange smashes world record trade speed with Linux", October 2010, accessed 2026-04-06]</w:t>
      </w:r>
    </w:p>
    <w:p>
      <w:r>
        <w:t>[Source: Computerworld, "London Stock Exchange SUSE Linux choice based on HFT capacity", accessed 2026-04-06]</w:t>
      </w:r>
    </w:p>
    <w:p>
      <w:r>
        <w:t>[Source: Computer Weekly, "London Stock Exchange datacentre migration project secures low-latency network support from EXA", 2021, accessed 2026-04-06]</w:t>
      </w:r>
    </w:p>
    <w:p>
      <w:r>
        <w:t>[Source: WatersTechnology, "Jumping ship: Concerns raised over LSEG's 2022 Docklands datacenter move", accessed 2026-04-06]</w:t>
      </w:r>
    </w:p>
    <w:p>
      <w:r>
        <w:t>[Source: The TRADE, "Delayed LSE Millennium Exchange migration is successful", February 2011, accessed 2026-04-06]</w:t>
      </w:r>
    </w:p>
    <w:p>
      <w:r>
        <w:t>[Source: Borsa Italiana, "Borsa Italiana's cash market go live on Millennium", June 2012, accessed 2026-04-06]</w:t>
      </w:r>
    </w:p>
    <w:p>
      <w:r>
        <w:t>[Source: FinExtra, "LSE Millennium platform goes live on three continents", accessed 2026-04-06]</w:t>
      </w:r>
    </w:p>
    <w:p>
      <w:r>
        <w:t>[Source: FintechFutures, "LSE powers Casablanca Stock Exchange trading tech revamp", March 2025, accessed 2026-04-06]</w:t>
      </w:r>
    </w:p>
    <w:p>
      <w:r>
        <w:t>[Source: Markets Media, "Millennium Exchange Used By First Digital Asset Venue (AAX)", 2019, accessed 2026-04-06]</w:t>
      </w:r>
    </w:p>
    <w:p>
      <w:r>
        <w:t>[Source: Traders Magazine, "LSEG Millennium Exchange Trading Platform Live in Argentina", accessed 2026-04-06]</w:t>
      </w:r>
    </w:p>
    <w:p>
      <w:r>
        <w:t>[Source: Wikipedia, "Millennium Exchange", en.wikipedia.org, accessed 2026-04-06]</w:t>
      </w:r>
    </w:p>
    <w:p>
      <w:r>
        <w:t>[Source: Wikipedia, "TradElect", en.wikipedia.org, accessed 2026-04-06]</w:t>
      </w:r>
    </w:p>
    <w:p>
      <w:r>
        <w:t>[Source: Wikipedia, "MillenniumIT ESP", en.wikipedia.org, accessed 2026-04-06]</w:t>
      </w:r>
    </w:p>
    <w:p>
      <w:r>
        <w:t>[Source: HandWiki, "Company:MillenniumIT", accessed 2026-04-06]</w:t>
      </w:r>
    </w:p>
    <w:p>
      <w:r>
        <w:t>[Source: Island of Ingenuity, "The Ingenuity Powering the London Stock Exchange", islandofingenuity.com, accessed 2026-04-06]</w:t>
      </w:r>
    </w:p>
    <w:p>
      <w:r>
        <w:t>[Source: Echelon, "How MillenniumIT helped pull LSE back from the brink", echelon.lk, accessed 2026-04-06]</w:t>
      </w:r>
    </w:p>
    <w:p>
      <w:r>
        <w:t>[Source: Sunday Times Sri Lanka, "LSE's buyout of MillenniumIT - a done deal", September 2009, accessed 2026-04-06]</w:t>
      </w:r>
    </w:p>
    <w:p>
      <w:r>
        <w:t>[Source: KRX Global, "EXTURE+ Trading System", global.krx.co.kr, accessed 2026-04-06]</w:t>
      </w:r>
    </w:p>
    <w:p>
      <w:r>
        <w:t>[Source: KOSCOM, "KRX Trading System - Capital Market IT Service", english.koscom.co.kr, accessed 2026-04-06]</w:t>
      </w:r>
    </w:p>
    <w:p>
      <w:r>
        <w:t>[Source: Solace, "KRX - Korea Exchange Customer Story", solace.com, accessed 2026-04-06]</w:t>
      </w:r>
    </w:p>
    <w:p>
      <w:r>
        <w:t>[Source: A-Team Insight, "LME Relocates Matching Engine to Interxion's LON-1", accessed 2026-04-06]</w:t>
      </w:r>
    </w:p>
    <w:p>
      <w:r>
        <w:t>[Source: Beeks Group, "Equinix London LD4", beeksgroup.com, accessed 2026-04-06]</w:t>
      </w:r>
    </w:p>
    <w:p>
      <w:r>
        <w:t>[Source: DataCenterDynamics, "London Stock Exchange cedes exclusive access to data center rooftop for high-speed connectivity",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