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Bursa Malaysia Berhad (Bursa Malaysia)</w:t>
      </w:r>
    </w:p>
    <w:p>
      <w:r>
        <w:rPr>
          <w:i/>
          <w:sz w:val="18"/>
        </w:rPr>
        <w:t>**최종 업데이트:** 2026-04-06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**도메인:** 주식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Bursa Malaysia Berhad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Bursa Malaysia (구 KLSE)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https://www.bursamalaysia.com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1973년 Kuala Lumpur Stock Exchange(KLSE)로 설립; 2004년 4월 Bursa Malaysia로 개명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말레이시아 / 쿠알라룸푸르 (Exchange Square, Bukit Kewangan)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자사 Main Market에 상장 (종목코드: BURSA, 코드 1818)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 상장 거래소 지주회사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Securities Commission Malaysia (SC)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시가총액 (상장기업)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2025년 상반기 기준 약 1.9조 링깃 (약 4,300억 달러); 2024년 5월 잠시 2조 링깃 돌파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총 상장기업 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 시장 합산 약 1,051개 상장기업 + 22개 비기업 상장(ETF, REITs, SPACs, 사업신탁)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[미확인] 약 30~50억 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거래대금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25~30억 링깃; 소매 SDAV 약 4.5억 링깃(2025년) [미확인]</w:t>
            </w:r>
          </w:p>
        </w:tc>
      </w:tr>
    </w:tbl>
    <w:p/>
    <w:p>
      <w:r>
        <w:t>Bursa Malaysia Berhad 시가총액 (거래소 자체): 2026년 2월 기준 약 72.5억 링깃 (약 16억 달러).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1930년: 말라야 최초의 공식 증권거래(Singapore Stockbrokers' Association 경유)</w:t>
      </w:r>
    </w:p>
    <w:p>
      <w:pPr>
        <w:pStyle w:val="ListBullet"/>
      </w:pPr>
      <w:r>
        <w:t>1964년: Stock Exchange of Malaysia 설립 (싱가포르와 공동 거래소)</w:t>
      </w:r>
    </w:p>
    <w:p>
      <w:pPr>
        <w:pStyle w:val="ListBullet"/>
      </w:pPr>
      <w:r>
        <w:t>1973년: 말레이시아-싱가포르 간 통화 분리에 따라 Kuala Lumpur Stock Exchange(KLSE) 별도 설립</w:t>
      </w:r>
    </w:p>
    <w:p>
      <w:pPr>
        <w:pStyle w:val="ListBullet"/>
      </w:pPr>
      <w:r>
        <w:t>2004년 (1월 5일): 2003년 KLSE 상호회사 전환법에 의거 KLSE 상호회사 전환; 주식회사로 전환</w:t>
      </w:r>
    </w:p>
    <w:p>
      <w:pPr>
        <w:pStyle w:val="ListBullet"/>
      </w:pPr>
      <w:r>
        <w:t>2004년 (4월 14일): Bursa Malaysia Berhad로 개명; 증권거래 사업은 자회사 Bursa Malaysia Securities Berhad(BMSB)에 귀속</w:t>
      </w:r>
    </w:p>
    <w:p>
      <w:pPr>
        <w:pStyle w:val="ListBullet"/>
      </w:pPr>
      <w:r>
        <w:t>2005년 (3월 18일): Bursa Malaysia, IPO를 통해 자사 Main Board에 상장</w:t>
      </w:r>
    </w:p>
    <w:p>
      <w:pPr>
        <w:pStyle w:val="ListBullet"/>
      </w:pPr>
      <w:r>
        <w:t>2009년 (8월 3일): 유동성 개선 및 매수-매도 스프레드 축소를 위한 호가단위(최소가격변동폭) 인하</w:t>
      </w:r>
    </w:p>
    <w:p>
      <w:pPr>
        <w:pStyle w:val="ListBullet"/>
      </w:pPr>
      <w:r>
        <w:t>2013년 (12월 2일): Nasdaq의 X-Stream INET 기반 Bursa Trade Securities 2 (BTS2) 출시, NYSE Technologies의 NSC 엔진 대체</w:t>
      </w:r>
    </w:p>
    <w:p>
      <w:pPr>
        <w:pStyle w:val="ListBullet"/>
      </w:pPr>
      <w:r>
        <w:t>2019년 (4월 29일): 결제주기 T+3에서 T+2로 단축</w:t>
      </w:r>
    </w:p>
    <w:p>
      <w:pPr>
        <w:pStyle w:val="ListBullet"/>
      </w:pPr>
      <w:r>
        <w:t>2021년 (4월 1일): FCPO 실물 인도에 MSPO (Malaysian Sustainable Palm Oil) 인증 의무화 -- 상품 파생상품 실물 인도에 지속가능성 인증을 요구한 세계 최초의 거래소</w:t>
      </w:r>
    </w:p>
    <w:p>
      <w:pPr>
        <w:pStyle w:val="ListBullet"/>
      </w:pPr>
      <w:r>
        <w:t>2025년: Bursa Malaysia, 2025년 상반기 전체 시가총액 1.9조 링깃 기록; ASEAN IPO 활동에서 지속적 선도</w:t>
      </w:r>
    </w:p>
    <w:p>
      <w:pPr>
        <w:pStyle w:val="Heading3"/>
      </w:pPr>
      <w:r>
        <w:t>주요 지수 (Key Indices)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지수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**FTSE Bursa Malaysia KLCI (FBM KLCI)**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대표 벤치마크; 시가총액 기준 상위 30개사 (유동주식 가중); FTSE Russell과 Bursa Malaysia 공동 운영; 최소 15% 유동주식비율 요구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**FBM Emas**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FBM KLCI + FBM Small Cap 구성종목을 포괄하는 광범위 지수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**FBM ACE**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ACE Market 전 적격 기업 추적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**FBM Hijrah Shariah**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이슬람 투자자를 위한 샤리아 적합 지수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상장 요건 (요약)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**Main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안정적 영업 및 수익 실적을 가진 기성 기업을 위한 주요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상장 시 최소 시가총액 5억 링깃; 수익 실적 또는 시가총액 기준; 최소 25% 공모비율(대형주는 15%); 승인된 투자설명서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**ACE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성장 잠재력을 가진 기업을 위한 스폰서 주도 대안시장; 최소 규모 또는 수익 요건 없음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스폰서 감독; Bursa가 정량적 기준 미설정(스폰서가 적합성 판단); 주요 상장이어야 함; 높은 위험 공시 필요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**LEAP Market**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자금조달 접근을 원하는 신흥기업 및 SME를 위한 자문사 주도 시장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적격투자자에게만 제공; 영업 또는 재무 실적 불요; 자문사 주도(스폰서 주도가 아님); 적격 기관 및 고액순자산 투자자에 한정</w:t>
            </w:r>
          </w:p>
        </w:tc>
      </w:tr>
    </w:tbl>
    <w:p/>
    <w:p>
      <w:r>
        <w:t>샤리아 적합 시장의 중요성: 2025년 5월 기준, 상장 증권 1,056개 중 약 850개(약 80%)가 SC 산하 Shariah Advisory Council(SAC)에 의해 샤리아 적합으로 분류된다. 샤리아 적합 자산은 2.6조 링깃을 초과하며 2024년 말 기준 국가 자본시장의 약 63%를 차지한다. 말레이시아는 세계 최대 이슬람 자본시장 중 하나이며, 이 샤리아 분류는 Bursa Malaysia를 대부분의 다른 거래소와 구별짓는 특징이다. SAC는 매년 5월과 11월에 목록을 갱신한다.</w:t>
      </w:r>
    </w:p>
    <w:p>
      <w:pPr>
        <w:pStyle w:val="Heading3"/>
      </w:pPr>
      <w:r>
        <w:t>2.2 매매시간 (Trading Sessions)</w:t>
      </w:r>
    </w:p>
    <w:p>
      <w:r>
        <w:t>참고: 말레이시아는 연중 UTC+8 (MYT -- Malaysia Time) (일광절약시간제 없음).</w:t>
      </w:r>
    </w:p>
    <w:p>
      <w:r>
        <w:t>정규 매매일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현지시간 (MYT)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 세션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08:30 - 09:00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00:30 - 01:00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입력, 수정, 취소 가능; 매칭 없음; 이론적 시가(TOP) 및 거래량(TOV) 배포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오전 접속매매(연속매매)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09:00 - 12:30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01:00 - 04:30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의한 연속 주문 매칭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**점심시간**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**12:30 - 14:00**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**04:30 - 06:00**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**매매 없음; 1.5시간 점심시간**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 세션 (오후)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14:00 - 14:30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06:00 - 06:30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오후 세션 주문 입력; 오전 미체결 주문 이월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오후 접속매매(연속매매)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14:30 - 16:45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06:30 - 08:45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가격-시간 우선원칙에 의한 연속 주문 매칭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장전마감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16:45 - 16:50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08:45 - 08:50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 가능; 종가 경매가 산출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종가단일가매매(장마감 경매)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단일가매매에 의한 종가 결정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종가매매 (Trading at Last)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16:50 - 17:00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08:50 - 09:00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종가에서만 연속 매칭</w:t>
            </w:r>
          </w:p>
        </w:tc>
      </w:tr>
    </w:tbl>
    <w:p/>
    <w:p>
      <w:r>
        <w:t>아시아 특유의 특징 -- 점심시간: Bursa Malaysia는 다른 주요 아시아 거래소와 유사하게 1.5시간 점심시간(12:30-14:00 MYT)을 유지한다.</w:t>
      </w:r>
    </w:p>
    <w:p>
      <w:r>
        <w:t>반일 매매: 반일에는 오전 세션만 운영(08:30-12:30 MYT, 마감 루틴 포함).</w:t>
      </w:r>
    </w:p>
    <w:p>
      <w:pPr>
        <w:pStyle w:val="Heading3"/>
      </w:pPr>
      <w:r>
        <w:t>2.3 호가단위 (Tick Sizes)</w:t>
      </w:r>
    </w:p>
    <w:p>
      <w:r>
        <w:t>증권 (주식, 워런트, ETF)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가격 범위 (링깃)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호가단위(최소가격변동폭) (센)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1.00 링깃 미만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 센 (0.005 링깃)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1.00 링깃 이상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1.0 센 (0.01 링깃)</w:t>
            </w:r>
          </w:p>
        </w:tc>
      </w:tr>
    </w:tbl>
    <w:p/>
    <w:p>
      <w:r>
        <w:t>참고: 간소화된 2단계 호가단위(최소가격변동폭) 구조는 2009년 8월 3일 도입되었으며, 이전의 최대 6개 가격대 다단계 구조를 대체하였다. 호가단위(최소가격변동폭) 축소는 유동성 개선 및 매수-매도 스프레드 감소를 목표로 하였다.</w:t>
      </w:r>
    </w:p>
    <w:p>
      <w:pPr>
        <w:pStyle w:val="Heading3"/>
      </w:pPr>
      <w:r>
        <w:t>2.4 매매단위 (Lot Sizes)</w:t>
      </w:r>
    </w:p>
    <w:p>
      <w:pPr>
        <w:pStyle w:val="ListBullet"/>
      </w:pPr>
      <w:r>
        <w:t>표준 매매단위(거래단위): 100주 (Main, ACE, LEAP 전 시장)</w:t>
      </w:r>
    </w:p>
    <w:p>
      <w:pPr>
        <w:pStyle w:val="ListBullet"/>
      </w:pPr>
      <w:r>
        <w:t>단주 매매: 이용 가능; 100주 미만 단주는 단주 시장에서 별도 거래 가능</w:t>
      </w:r>
    </w:p>
    <w:p>
      <w:pPr>
        <w:pStyle w:val="ListBullet"/>
      </w:pPr>
      <w:r>
        <w:t>소수점 매매: 말레이시아 정부가 2023년 Bursa Malaysia에서 소수점 주식 매매 도입을 공약 [2026년 기준 시행 상태 미확인]</w:t>
      </w:r>
    </w:p>
    <w:p>
      <w:pPr>
        <w:pStyle w:val="Heading3"/>
      </w:pPr>
      <w:r>
        <w:t>2.5 시장조성자(마켓메이커) / 유동성공급자 프로그램</w:t>
      </w:r>
    </w:p>
    <w:p>
      <w:pPr>
        <w:pStyle w:val="ListBullet"/>
      </w:pPr>
      <w:r>
        <w:t>Bursa Malaysia는 ETF, 구조화 워런트, 선정된 저유동성 증권에 대한 지정시장조성자(DMM) 프로그램 운영 [미확인 -- 세부사항 제한적]</w:t>
      </w:r>
    </w:p>
    <w:p>
      <w:pPr>
        <w:pStyle w:val="ListBullet"/>
      </w:pPr>
      <w:r>
        <w:t>시장조성자(마켓메이커)는 매매시간 중 지속적 양방향 호가 제공 의무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경매 메커니즘</w:t>
      </w:r>
    </w:p>
    <w:p>
      <w:pPr>
        <w:pStyle w:val="ListBullet"/>
      </w:pPr>
      <w:r>
        <w:t>시가단일가매매(개장 경매): 장전 단계(오전 08:30-09:00; 오후 14:00-14:30) 동안 매칭 없이 주문 집적. 자동매매시스템(ATS)이 이론적 시가(TOP) 및 이론적 거래량(TOV)을 산출·배포. 장전 단계 종료 시 단일가매매로 체결 가능 거래량을 최대화하는 시가 결정</w:t>
      </w:r>
    </w:p>
    <w:p>
      <w:pPr>
        <w:pStyle w:val="ListBullet"/>
      </w:pPr>
      <w:r>
        <w:t>종가단일가매매(장마감 경매): 장전마감 단계(16:45-16:50) 동안 주문 집적. 16:50에 단일가매매로 종가 결정. 이어서 "Trading at Last" 단계(16:50-17:00)에서 고정된 종가에서만 연속 매칭</w:t>
      </w:r>
    </w:p>
    <w:p>
      <w:pPr>
        <w:pStyle w:val="Heading3"/>
      </w:pPr>
      <w:r>
        <w:t>3.2 접속매매 (Continuous Trading)</w:t>
      </w:r>
    </w:p>
    <w:p>
      <w:pPr>
        <w:pStyle w:val="ListBullet"/>
      </w:pPr>
      <w:r>
        <w:t>시장 유형: 주문주도형</w:t>
      </w:r>
    </w:p>
    <w:p>
      <w:pPr>
        <w:pStyle w:val="ListBullet"/>
      </w:pPr>
      <w:r>
        <w:t>매칭 알고리즘: 가격-시간 우선원칙</w:t>
      </w:r>
    </w:p>
    <w:p>
      <w:pPr>
        <w:pStyle w:val="ListBullet"/>
      </w:pPr>
      <w:r>
        <w:t>오전 세션: 09:00 - 12:30 MYT (3.5시간)</w:t>
      </w:r>
    </w:p>
    <w:p>
      <w:pPr>
        <w:pStyle w:val="ListBullet"/>
      </w:pPr>
      <w:r>
        <w:t>오후 세션: 14:30 - 16:45 MYT (2.25시간)</w:t>
      </w:r>
    </w:p>
    <w:p>
      <w:pPr>
        <w:pStyle w:val="ListBullet"/>
      </w:pPr>
      <w:r>
        <w:t>총 접속매매(연속매매): 정규 매매일당 약 5.75시간</w:t>
      </w:r>
    </w:p>
    <w:p>
      <w:pPr>
        <w:pStyle w:val="ListBullet"/>
      </w:pPr>
      <w:r>
        <w:t>오전 세션의 전 미체결 주문은 오후 세션으로 자동 이월</w:t>
      </w:r>
    </w:p>
    <w:p>
      <w:pPr>
        <w:pStyle w:val="Heading3"/>
      </w:pPr>
      <w:r>
        <w:t>3.3 가격 발견</w:t>
      </w:r>
    </w:p>
    <w:p>
      <w:pPr>
        <w:pStyle w:val="ListBullet"/>
      </w:pPr>
      <w:r>
        <w:t>시가 및 종가는 거래 가능 수량을 최대화하고 주문 불균형을 최소화하는 단일가매매 알고리즘에 의해 결정</w:t>
      </w:r>
    </w:p>
    <w:p>
      <w:pPr>
        <w:pStyle w:val="ListBullet"/>
      </w:pPr>
      <w:r>
        <w:t>접속매매(연속매매) 중 가격은 최우선 가격에서의 실시간 주문 매칭을 통해 발견</w:t>
      </w:r>
    </w:p>
    <w:p>
      <w:pPr>
        <w:pStyle w:val="ListBullet"/>
      </w:pPr>
      <w:r>
        <w:t>이론적 시가(TOP)는 장전 단계 동안 지속 갱신·배포되어 시장 참가자에게 투명성 제공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표준 주문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이상/이하로 매수/매도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**시장가주문**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즉시 체결 [미확인 -- Market-to-Limit으로 대체되었을 수 있음]</w:t>
            </w:r>
          </w:p>
        </w:tc>
      </w:tr>
    </w:tbl>
    <w:p/>
    <w:p>
      <w:pPr>
        <w:pStyle w:val="Heading3"/>
      </w:pPr>
      <w:r>
        <w:t>4.2 고급 주문 유형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**Market-to-Limit (MTL)**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시장가에서 매칭; 미매칭 잔량은 체결 가격의 지정가주문으로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and Kill (FAK)**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원하는 가격으로 매칭되지 않은 거래는 호가장에서 자동 삭제; 부분 체결 허용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**최소수량**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체결을 위한 최소 수량 기준 지정 가능</w:t>
            </w:r>
          </w:p>
        </w:tc>
      </w:tr>
    </w:tbl>
    <w:p/>
    <w:p>
      <w:pPr>
        <w:pStyle w:val="Heading3"/>
      </w:pPr>
      <w:r>
        <w:t>4.3 주문 유효기간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DAY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당일에만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GTC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취소시까지유효 [미확인]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IOC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즉시체결-잔량취소</w:t>
            </w:r>
          </w:p>
        </w:tc>
      </w:tr>
    </w:tbl>
    <w:p/>
    <w:p>
      <w:r>
        <w:t>참고: MTL 및 FAK 주문 유형의 도입은 2013년 BTS2 시스템 업그레이드의 일부로, 이전의 시장가 및 지정가주문만 제공하던 제한된 주문 유형을 확장하였다.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 /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Bursa Trade Securities 2 (BTS2)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 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(구 NASDAQ OMX) -- X-Stream INET 플랫폼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이전 시스템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NYSE Technologies(구 Atos Euronext)의 NSC 매매 엔진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 (Matching Engine)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X-Stream INET 매매체결엔진(매칭엔진)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밀리초 미만 [미확인 -- 구체적 수치 미공개; Nasdaq 참조 구현에서 40마이크로초 미만 달성]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전작 BTS1 대비 10배 높은 용량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체결 속도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전작 BTS1 대비 주문/거래 체결에서 1,000배 빠른 것으로 기술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출시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2013년 12월 2일 (당초 2014년 1분기 목표보다 조기 출시)</w:t>
            </w:r>
          </w:p>
        </w:tc>
      </w:tr>
    </w:tbl>
    <w:p/>
    <w:p>
      <w:pPr>
        <w:pStyle w:val="Heading3"/>
      </w:pPr>
      <w:r>
        <w:t>시스템 연혁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2000년대 이전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SCORE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KLSE의 초기 전자매매 시스템 [미확인]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~2000년대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NSC (Nouveau Systeme de Cotation)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NYSE Technologies (Atos Euronext)에서 라이선스; 다수 글로벌 거래소가 사용하는 동일 플랫폼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2013년-현재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Bursa Trade Securities 2 (BTS2)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Nasdaq X-Stream INET; 전작 대비 1,000배 빠른 속도, 10배 용량</w:t>
            </w:r>
          </w:p>
        </w:tc>
      </w:tr>
    </w:tbl>
    <w:p/>
    <w:p>
      <w:pPr>
        <w:pStyle w:val="Heading3"/>
      </w:pPr>
      <w:r>
        <w:t>기술 스택</w:t>
      </w:r>
    </w:p>
    <w:p>
      <w:pPr>
        <w:pStyle w:val="ListBullet"/>
      </w:pPr>
      <w:r>
        <w:t>매매 엔진: Nasdaq X-Stream INET</w:t>
      </w:r>
    </w:p>
    <w:p>
      <w:pPr>
        <w:pStyle w:val="ListBullet"/>
      </w:pPr>
      <w:r>
        <w:t>접속: Bursa Data Access(BDA) 게이트웨이를 통한 주문 라우팅 및 시장 정보에 FIX 프로토콜 지원</w:t>
      </w:r>
    </w:p>
    <w:p>
      <w:pPr>
        <w:pStyle w:val="ListBullet"/>
      </w:pPr>
      <w:r>
        <w:t>파생상품 플랫폼: FCPO를 포함한 Bursa Malaysia Derivatives 상품에 CME Globex 전자매매 플랫폼 사용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데이터 피드 프로토콜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FIX 프로토콜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BDA 게이트웨이를 통한 표준 메시징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라우팅 및 시장 정보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독자적 피드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Bursa Malaysia Information(BMI) 데이터 피드 [미확인]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실시간 시장 데이터 배포</w:t>
            </w:r>
          </w:p>
        </w:tc>
      </w:tr>
    </w:tbl>
    <w:p/>
    <w:p>
      <w:pPr>
        <w:pStyle w:val="Heading3"/>
      </w:pPr>
      <w:r>
        <w:t>6.2 데이터 수준</w:t>
      </w:r>
    </w:p>
    <w:p>
      <w:pPr>
        <w:pStyle w:val="ListBullet"/>
      </w:pPr>
      <w:r>
        <w:t>Level 1: 최우선 매수/매도 호가, 최근 체결가, 거래량</w:t>
      </w:r>
    </w:p>
    <w:p>
      <w:pPr>
        <w:pStyle w:val="ListBullet"/>
      </w:pPr>
      <w:r>
        <w:t>Level 2: 호가 깊이 (복수 가격 수준)</w:t>
      </w:r>
    </w:p>
    <w:p>
      <w:pPr>
        <w:pStyle w:val="ListBullet"/>
      </w:pPr>
      <w:r>
        <w:t>전체 깊이: 완전한 호가장 [미확인 -- 구독에 따라 이용 가능 여부 상이]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참가</w:t>
      </w:r>
    </w:p>
    <w:p>
      <w:pPr>
        <w:pStyle w:val="ListBullet"/>
      </w:pPr>
      <w:r>
        <w:t>SC Malaysia 인가 주식중개회사인 Participating Organisations(PO)를 통한 매매 접근</w:t>
      </w:r>
    </w:p>
    <w:p>
      <w:pPr>
        <w:pStyle w:val="ListBullet"/>
      </w:pPr>
      <w:r>
        <w:t>PO 및 ISV는 BTS2 운영 환경 접속 전 적합성 테스트 완료 필수</w:t>
      </w:r>
    </w:p>
    <w:p>
      <w:pPr>
        <w:pStyle w:val="Heading3"/>
      </w:pPr>
      <w:r>
        <w:t>7.4 API 프로토콜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4.2+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주문 라우팅, 체결, 시장 데이터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독자적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BDA 게이트웨이 특정 프로토콜 [미확인]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위험 통제 및 서킷브레이커(매매거래중단) (Risk Controls &amp; Circuit Breakers)</w:t>
      </w:r>
    </w:p>
    <w:p>
      <w:pPr>
        <w:pStyle w:val="Heading3"/>
      </w:pPr>
      <w:r>
        <w:t>8.1 가격제한 (Price Limits)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**정적 가격제한 (상한)**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종가 대비 +30% (1.00 링깃 이상 증권)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초과 주문 거부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**정적 가격제한 (하한)**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전일 종가 대비 -30% (1.00 링깃 이상 증권)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제한 초과 주문 거부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**정적 가격제한 (저가)**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1.00 링깃 미만 증권에 대해 +/- 30 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백분율이 아닌 절대 센 단위 제한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**동적 가격제한 (상한)**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최근 체결가 대비 +8% (1.00 링깃 이상 증권)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세션 내 급격한 가격 상승 방지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**동적 가격제한 (하한)**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최근 체결가 대비 -8% (1.00 링깃 이상 증권)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세션 내 급격한 가격 하락 방지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**동적 가격제한 (저가)**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1.00 링깃 미만 증권에 대해 +/- 8 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절대 동적 센 단위 제한</w:t>
            </w:r>
          </w:p>
        </w:tc>
      </w:tr>
    </w:tbl>
    <w:p/>
    <w:p>
      <w:r>
        <w:t>참고: 이 파라미터는 COVID-19 시장 변동성 기간 중 2020년 7월 시행된 임시 개정 후 2021년 5월 31일 복원되었다.</w:t>
      </w:r>
    </w:p>
    <w:p>
      <w:pPr>
        <w:pStyle w:val="Heading3"/>
      </w:pPr>
      <w:r>
        <w:t>8.2 서킷브레이커(매매거래중단) (Circuit Breakers)</w:t>
      </w:r>
    </w:p>
    <w:p>
      <w:r>
        <w:t>시장 전체 서킷브레이커(매매거래중단)는 FBM KLCI가 전일 종가 대비 지정된 기준만큼 하락할 때 자동 발동된다: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발동 기준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중단 기간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1**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FBM KLCI 10% 하락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09:00-11:15 또는 14:30-15:30 발동 시: **1시간 중단**. 11:15-12:30 또는 15:30-17:00 발동 시: **잔여 세션 중단**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2**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FBM KLCI 15% 하락 (누적)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**잔여 거래일 매매 중단**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3**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FBM KLCI 20% 하락 (누적)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**잔여 거래일 매매 중단** (추가 안전장치)</w:t>
            </w:r>
          </w:p>
        </w:tc>
      </w:tr>
    </w:tbl>
    <w:p/>
    <w:p>
      <w:pPr>
        <w:pStyle w:val="ListBullet"/>
      </w:pPr>
      <w:r>
        <w:t>서킷브레이커(매매거래중단)는 Bursa Malaysia Securities Berhad와 Bursa Malaysia Derivatives Berhad의 주식 연계 파생상품 모두 매매 중단</w:t>
      </w:r>
    </w:p>
    <w:p>
      <w:pPr>
        <w:pStyle w:val="ListBullet"/>
      </w:pPr>
      <w:r>
        <w:t>목적: 정보 배포를 위한 냉각 기간 제공, 시장 참가자의 신중한 투자 결정 지원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</w:t>
      </w:r>
    </w:p>
    <w:p>
      <w:pPr>
        <w:pStyle w:val="ListBullet"/>
      </w:pPr>
      <w:r>
        <w:t>Securities Commission Malaysia (SC): 1993년 증권위원회법에 의해 1993년 3월 1일 설립; 말레이시아 자본시장에 대한 규제 및 발전 책임을 가진 자체 재원 법정 기관</w:t>
      </w:r>
    </w:p>
    <w:p>
      <w:pPr>
        <w:pStyle w:val="ListBullet"/>
      </w:pPr>
      <w:r>
        <w:t>Bank Negara Malaysia (BNM): 중앙은행; 통화 정책 및 은행 부문 감독; 금융 안정성 관련 SC와 조율</w:t>
      </w:r>
    </w:p>
    <w:p>
      <w:pPr>
        <w:pStyle w:val="ListBullet"/>
      </w:pPr>
      <w:r>
        <w:t>Bursa Malaysia 자체가 최전선 규제기관(자율규제기관/SRO)으로 기능, 시장 감시, 상장 규정 집행, Participating Organisations 규제 수행</w:t>
      </w:r>
    </w:p>
    <w:p>
      <w:pPr>
        <w:pStyle w:val="Heading3"/>
      </w:pPr>
      <w:r>
        <w:t>9.2 주요 규정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법령 / 규정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**자본시장서비스법 2007 (CMSA)**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증권시장을 관할하는 주요 법률; 주식중개, 펀드관리, 파생상품, 증권 공모 규제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**증권위원회법 1993**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SC를 설립하고 규제 권한 정의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**상호회사 전환 (Kuala Lumpur Stock Exchange)법 2003**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KLSE의 회원 소유에서 주식회사 전환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**Bursa Malaysia Securities 규정**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매매, 상장, 시장 행위를 관할하는 거래소 규정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**상장 요건 (Main Market / ACE Market / LEAP Market)**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IPO 및 지속적 의무에 관한 상세 요건</w:t>
            </w:r>
          </w:p>
        </w:tc>
      </w:tr>
    </w:tbl>
    <w:p/>
    <w:p>
      <w:pPr>
        <w:pStyle w:val="Heading3"/>
      </w:pPr>
      <w:r>
        <w:t>9.5 샤리아 적합 증권 프레임워크 (Shariah-Compliant Securities Framework)</w:t>
      </w:r>
    </w:p>
    <w:p>
      <w:r>
        <w:t>이것은 Bursa Malaysia 규제 환경의 고유한 특징이다:</w:t>
      </w:r>
    </w:p>
    <w:p>
      <w:pPr>
        <w:pStyle w:val="ListBullet"/>
      </w:pPr>
      <w:r>
        <w:t>Shariah Advisory Council (SAC): SC 산하 설립, Bursa Malaysia 상장 증권의 샤리아 적합 분류를 위한 유일한 권위 기관</w:t>
      </w:r>
    </w:p>
    <w:p>
      <w:pPr>
        <w:pStyle w:val="ListBullet"/>
      </w:pPr>
      <w:r>
        <w:t>스크리닝 방법론: 2단계 정량적 접근:</w:t>
      </w:r>
    </w:p>
    <w:p>
      <w:pPr>
        <w:pStyle w:val="ListBullet"/>
      </w:pPr>
      <w:r>
        <w:t>사업 활동 벤치마크: 비허용 활동(예: 전통적 은행업, 도박, 주류, 담배)이 기준 수준 이하여야 함</w:t>
      </w:r>
    </w:p>
    <w:p>
      <w:pPr>
        <w:pStyle w:val="ListBullet"/>
      </w:pPr>
      <w:r>
        <w:t>재무비율 벤치마크: 전통적 부채 및 이자 관련 지표가 총자산 대비 지정 기준 이하여야 함</w:t>
      </w:r>
    </w:p>
    <w:p>
      <w:pPr>
        <w:pStyle w:val="ListBullet"/>
      </w:pPr>
      <w:r>
        <w:t>반기별 갱신: 샤리아 적합 증권 목록은 매년 5월과 11월에 갱신</w:t>
      </w:r>
    </w:p>
    <w:p>
      <w:pPr>
        <w:pStyle w:val="ListBullet"/>
      </w:pPr>
      <w:r>
        <w:t>규모: Bursa 상장 증권의 약 80%가 샤리아 적합 (2025년 5월 기준 1,056개 중 약 850개), 말레이시아는 세계 최대 이슬람 자본시장 중 하나</w:t>
      </w:r>
    </w:p>
    <w:p>
      <w:pPr>
        <w:pStyle w:val="ListBullet"/>
      </w:pPr>
      <w:r>
        <w:t>2024년 4월 시행: 상장 신청 기업이 별도 SAC 신청서를 제출할 필요 없음; SAC가 전 신규 상장을 자동 검토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 수수료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요율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위탁매매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협의; 규정에 의한 상한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온라인 최대 0.7%; 기관은 협의 [미확인]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청산 수수료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거래대금 대비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계약금액의 0.03%, 거래당 최대 1,000 링깃 [미확인]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인지세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정부 부과금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계약금액 1,000 링깃당 1 링깃, 거래당 최대 200 링깃 [미확인]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시스템 업그레이드 (최근 5년)</w:t>
      </w:r>
    </w:p>
    <w:p>
      <w:pPr>
        <w:pStyle w:val="ListBullet"/>
      </w:pPr>
      <w:r>
        <w:t>BTS2 플랫폼에 대한 용량 및 기능의 점진적 업그레이드 지속</w:t>
      </w:r>
    </w:p>
    <w:p>
      <w:pPr>
        <w:pStyle w:val="ListBullet"/>
      </w:pPr>
      <w:r>
        <w:t>Trading Manual, Version 37(2025년 7월)로 갱신, 지속적 파라미터 조정 반영</w:t>
      </w:r>
    </w:p>
    <w:p>
      <w:pPr>
        <w:pStyle w:val="Heading3"/>
      </w:pPr>
      <w:r>
        <w:t>신상품 / 신시장</w:t>
      </w:r>
    </w:p>
    <w:p>
      <w:pPr>
        <w:pStyle w:val="ListBullet"/>
      </w:pPr>
      <w:r>
        <w:t>FCPO MSPO 의무화 (2021년): Bursa Malaysia Derivatives가 실물 인도 상품 선물에 지속가능성 인증(MSPO)을 의무화한 세계 최초의 거래소</w:t>
      </w:r>
    </w:p>
    <w:p>
      <w:pPr>
        <w:pStyle w:val="ListBullet"/>
      </w:pPr>
      <w:r>
        <w:t>USD 크루드 팜유 선물 (FUPO): 링깃 표시 FCPO의 현금결제 달러 표시 보완 계약</w:t>
      </w:r>
    </w:p>
    <w:p>
      <w:pPr>
        <w:pStyle w:val="ListBullet"/>
      </w:pPr>
      <w:r>
        <w:t>Bursa Carbon Exchange (BCX): 자발적 탄소 크레딧 거래소로 출시 [미확인 -- 출시 시점 확인 필요]</w:t>
      </w:r>
    </w:p>
    <w:p>
      <w:pPr>
        <w:pStyle w:val="Heading3"/>
      </w:pPr>
      <w:r>
        <w:t>규제 변화</w:t>
      </w:r>
    </w:p>
    <w:p>
      <w:pPr>
        <w:pStyle w:val="ListBullet"/>
      </w:pPr>
      <w:r>
        <w:t>T+2 결제 (2019년): 글로벌 기준에 맞추어 T+3에서 단축</w:t>
      </w:r>
    </w:p>
    <w:p>
      <w:pPr>
        <w:pStyle w:val="ListBullet"/>
      </w:pPr>
      <w:r>
        <w:t>샤리아 스크리닝 간소화 (2024년): 신규 상장에 대한 별도 SAC 신청 요건 제거</w:t>
      </w:r>
    </w:p>
    <w:p>
      <w:pPr>
        <w:pStyle w:val="ListBullet"/>
      </w:pPr>
      <w:r>
        <w:t>서킷브레이커(매매거래중단) 복원 (2021년): COVID-19 임시 확대 후 원래 파라미터로 복원</w:t>
      </w:r>
    </w:p>
    <w:p>
      <w:pPr>
        <w:pStyle w:val="Heading3"/>
      </w:pPr>
      <w:r>
        <w:t>전략적 이니셔티브</w:t>
      </w:r>
    </w:p>
    <w:p>
      <w:pPr>
        <w:pStyle w:val="ListBullet"/>
      </w:pPr>
      <w:r>
        <w:t>이슬람 자본시장 선도: 이슬람 금융 및 샤리아 적합 자본시장의 글로벌 허브로 포지셔닝; 샤리아 적합 자산 2.6조 링깃 초과</w:t>
      </w:r>
    </w:p>
    <w:p>
      <w:pPr>
        <w:pStyle w:val="ListBullet"/>
      </w:pPr>
      <w:r>
        <w:t>ASEAN IPO 선도: 2025년 동남아시아 IPO 활동에서 선도적 위치 유지</w:t>
      </w:r>
    </w:p>
    <w:p>
      <w:pPr>
        <w:pStyle w:val="ListBullet"/>
      </w:pPr>
      <w:r>
        <w:t>팜유 파생상품: FCPO(1980년 매매 개시, CME Globex 경유 글로벌 접근)를 통한 크루드 팜유 가격 결정의 글로벌 벤치마크 지위</w:t>
      </w:r>
    </w:p>
    <w:p>
      <w:pPr>
        <w:pStyle w:val="ListBullet"/>
      </w:pPr>
      <w:r>
        <w:t>소매 투자자 참여: 일일 거래대금에서 상당한 비중의 활발한 소매 투자자 기반</w:t>
      </w:r>
    </w:p>
    <w:p>
      <w:pPr>
        <w:pStyle w:val="Heading3"/>
      </w:pPr>
      <w:r>
        <w:t>팜유 선물 -- 파생상품 하이라이트</w:t>
      </w:r>
    </w:p>
    <w:p>
      <w:r>
        <w:t>이 파일은 주식 도메인에 초점을 맞추지만, Bursa Malaysia의 파생상품 부문(Bursa Malaysia Derivatives Berhad)은 글로벌 차원에서 중요하다:</w:t>
      </w:r>
    </w:p>
    <w:p>
      <w:pPr>
        <w:pStyle w:val="ListBullet"/>
      </w:pPr>
      <w:r>
        <w:t>FCPO (크루드 팜유 선물): 1980년 10월 출시; 크루드 팜유 가격 결정의 글로벌 벤치마크. 링깃 표시, 실물 인도. 농장회사, 정유소, 밀러, 수출업자, 글로벌 펀드 매니저, CTA가 활발히 사용</w:t>
      </w:r>
    </w:p>
    <w:p>
      <w:pPr>
        <w:pStyle w:val="ListBullet"/>
      </w:pPr>
      <w:r>
        <w:t>글로벌 접근: FCPO 및 기타 Bursa 파생상품은 CME Globex 전자매매 플랫폼을 통해 전 세계 참여 가능</w:t>
      </w:r>
    </w:p>
    <w:p>
      <w:pPr>
        <w:pStyle w:val="ListBullet"/>
      </w:pPr>
      <w:r>
        <w:t>MSPO 인증: 2021년 4월 1일부터 모든 FCPO 실물 인도에 MSPO 인증 필요 -- 거래소 상장 상품 파생상품 최초</w:t>
      </w:r>
    </w:p>
    <w:p>
      <w:pPr>
        <w:pStyle w:val="ListBullet"/>
      </w:pPr>
      <w:r>
        <w:t>계약 규모: 계약당 25메트릭톤; 메트릭톤당 최소 가격 변동폭 1.00 링깃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Bursa Malaysia Official Website -- https://www.bursamalaysia.com (2026년 4월 접근)</w:t>
      </w:r>
    </w:p>
    <w:p>
      <w:pPr>
        <w:pStyle w:val="ListNumber"/>
      </w:pPr>
      <w:r>
        <w:t>Bursa Malaysia -- Trading Sessions -- https://www.bursamalaysia.com/trade/trading_resources/equities/trading_sessions</w:t>
      </w:r>
    </w:p>
    <w:p>
      <w:pPr>
        <w:pStyle w:val="ListNumber"/>
      </w:pPr>
      <w:r>
        <w:t>Bursa Malaysia -- Board Lot -- https://www.bursamalaysia.com/trade/trading_resources/equities/board_lot</w:t>
      </w:r>
    </w:p>
    <w:p>
      <w:pPr>
        <w:pStyle w:val="ListNumber"/>
      </w:pPr>
      <w:r>
        <w:t>Bursa Malaysia -- Order Types -- https://www.bursamalaysia.com/trade/trading_resources/equities/order_types</w:t>
      </w:r>
    </w:p>
    <w:p>
      <w:pPr>
        <w:pStyle w:val="ListNumber"/>
      </w:pPr>
      <w:r>
        <w:t>Bursa Malaysia -- FAQs on Circuit Breaker -- https://www.bursamalaysia.com/reference/faqs/securities/faqs_on_circuit_breaker</w:t>
      </w:r>
    </w:p>
    <w:p>
      <w:pPr>
        <w:pStyle w:val="ListNumber"/>
      </w:pPr>
      <w:r>
        <w:t>Bursa Malaysia -- BTS2 On-Boarding -- https://www.bursamalaysia.com/trade/our_products_services/bts2_on_boarding/overview</w:t>
      </w:r>
    </w:p>
    <w:p>
      <w:pPr>
        <w:pStyle w:val="ListNumber"/>
      </w:pPr>
      <w:r>
        <w:t>Bursa Malaysia -- POs Trading Manual V37 (14 July 2025)</w:t>
      </w:r>
    </w:p>
    <w:p>
      <w:pPr>
        <w:pStyle w:val="ListNumber"/>
      </w:pPr>
      <w:r>
        <w:t>Bursa Malaysia -- Crude Palm Oil Futures (FCPO)</w:t>
      </w:r>
    </w:p>
    <w:p>
      <w:pPr>
        <w:pStyle w:val="ListNumber"/>
      </w:pPr>
      <w:r>
        <w:t>Securities Commission Malaysia -- Shariah-Compliant Securities -- https://www.sc.com.my/development/icm/shariah-compliant-securities</w:t>
      </w:r>
    </w:p>
    <w:p>
      <w:pPr>
        <w:pStyle w:val="ListNumber"/>
      </w:pPr>
      <w:r>
        <w:t>BERNAMA -- "Bursa Malaysia Records RM1.9 Trillion Overall Market Cap in 1H2025"</w:t>
      </w:r>
    </w:p>
    <w:p>
      <w:pPr>
        <w:pStyle w:val="ListNumber"/>
      </w:pPr>
      <w:r>
        <w:t>BusinessToday -- "Bursa Malaysia Champions RM2.6 Trillion Islamic Market Push" (August 2025)</w:t>
      </w:r>
    </w:p>
    <w:p>
      <w:pPr>
        <w:pStyle w:val="ListNumber"/>
      </w:pPr>
      <w:r>
        <w:t>Nasdaq IR -- "Bursa Malaysia Goes Live With Its New Trading Engine Powered by NASDAQ OMX"</w:t>
      </w:r>
    </w:p>
    <w:p>
      <w:pPr>
        <w:pStyle w:val="ListNumber"/>
      </w:pPr>
      <w:r>
        <w:t>Wikipedia -- Bursa Malaysia -- https://en.wikipedia.org/wiki/Bursa_Malaysia</w:t>
      </w:r>
    </w:p>
    <w:p>
      <w:pPr>
        <w:pStyle w:val="ListNumber"/>
      </w:pPr>
      <w:r>
        <w:t>FTSE Russell -- FTSE Bursa Malaysia KLCI Factsheet</w:t>
      </w:r>
    </w:p>
    <w:p>
      <w:pPr>
        <w:pStyle w:val="ListNumber"/>
      </w:pPr>
      <w:r>
        <w:t>Capital Markets Malaysia -- Public Equities -- https://www.capitalmarketsmalaysia.com/public-equities/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