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Derivatives Markets — Overview</w:t>
      </w:r>
    </w:p>
    <w:p>
      <w:r>
        <w:rPr>
          <w:i/>
          <w:sz w:val="18"/>
        </w:rPr>
        <w:t>**Last Updated:** 2026-04-13</w:t>
      </w:r>
    </w:p>
    <w:p>
      <w:r>
        <w:rPr>
          <w:i/>
          <w:sz w:val="18"/>
        </w:rPr>
        <w:t>**Status:** Completed</w:t>
      </w:r>
    </w:p>
    <w:p>
      <w:r>
        <w:t>────────────────────────────────────────────────────────────</w:t>
      </w:r>
    </w:p>
    <w:p>
      <w:pPr>
        <w:pStyle w:val="Heading2"/>
      </w:pPr>
      <w:r>
        <w:t>1. Introduction</w:t>
      </w:r>
    </w:p>
    <w:p>
      <w:r>
        <w:t>This document provides a high-level overview of global derivatives markets (futures, options, and other listed derivatives), their structure, key players, and trends. It serves as the capstone summary for the derivatives domain of the Global Exchange Research project, synthesizing findings from 17 individual exchange research files.</w:t>
      </w:r>
    </w:p>
    <w:p>
      <w:r>
        <w:t>Related Resources:</w:t>
      </w:r>
    </w:p>
    <w:p>
      <w:pPr>
        <w:pStyle w:val="ListBullet"/>
      </w:pPr>
      <w:r>
        <w:t>Individual exchange files: [exchanges/](exchanges/)</w:t>
      </w:r>
    </w:p>
    <w:p>
      <w:pPr>
        <w:pStyle w:val="ListBullet"/>
      </w:pPr>
      <w:r>
        <w:t>System deep-dives: [systems/](systems/) (Globex, Genium INET, T7)</w:t>
      </w:r>
    </w:p>
    <w:p>
      <w:pPr>
        <w:pStyle w:val="ListBullet"/>
      </w:pPr>
      <w:r>
        <w:t>Regulatory analysis: [regulations/](regulations/) (U.S., EU, Asia)</w:t>
      </w:r>
    </w:p>
    <w:p>
      <w:r>
        <w:t>────────────────────────────────────────────────────────────</w:t>
      </w:r>
    </w:p>
    <w:p>
      <w:pPr>
        <w:pStyle w:val="Heading2"/>
      </w:pPr>
      <w:r>
        <w:t>2. Global Derivatives Market Landscape</w:t>
      </w:r>
    </w:p>
    <w:p>
      <w:pPr>
        <w:pStyle w:val="Heading3"/>
      </w:pPr>
      <w:r>
        <w:t>2.1 Market Size &amp; Scale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 (CY2024)</w:t>
            </w:r>
          </w:p>
        </w:tc>
        <w:tc>
          <w:tcPr>
            <w:tcW w:type="dxa" w:w="2880"/>
          </w:tcPr>
          <w:p>
            <w:pPr/>
            <w:r>
              <w:rPr>
                <w:b/>
                <w:sz w:val="18"/>
              </w:rPr>
              <w:t>Source</w:t>
            </w:r>
          </w:p>
        </w:tc>
      </w:tr>
      <w:tr>
        <w:tc>
          <w:tcPr>
            <w:tcW w:type="dxa" w:w="2880"/>
          </w:tcPr>
          <w:p>
            <w:pPr/>
            <w:r>
              <w:rPr>
                <w:sz w:val="18"/>
              </w:rPr>
              <w:t>**Total ETD contracts traded (annual)**</w:t>
            </w:r>
          </w:p>
        </w:tc>
        <w:tc>
          <w:tcPr>
            <w:tcW w:type="dxa" w:w="2880"/>
          </w:tcPr>
          <w:p>
            <w:pPr/>
            <w:r>
              <w:rPr>
                <w:sz w:val="18"/>
              </w:rPr>
              <w:t>~205.34 billion contracts (+51% YoY)</w:t>
            </w:r>
          </w:p>
        </w:tc>
        <w:tc>
          <w:tcPr>
            <w:tcW w:type="dxa" w:w="2880"/>
          </w:tcPr>
          <w:p>
            <w:pPr/>
            <w:r>
              <w:rPr>
                <w:sz w:val="18"/>
              </w:rPr>
              <w:t>FIA, 2024 Annual ETD Volume Review</w:t>
            </w:r>
          </w:p>
        </w:tc>
      </w:tr>
      <w:tr>
        <w:tc>
          <w:tcPr>
            <w:tcW w:type="dxa" w:w="2880"/>
          </w:tcPr>
          <w:p>
            <w:pPr/>
            <w:r>
              <w:rPr>
                <w:sz w:val="18"/>
              </w:rPr>
              <w:t>**Total options volume**</w:t>
            </w:r>
          </w:p>
        </w:tc>
        <w:tc>
          <w:tcPr>
            <w:tcW w:type="dxa" w:w="2880"/>
          </w:tcPr>
          <w:p>
            <w:pPr/>
            <w:r>
              <w:rPr>
                <w:sz w:val="18"/>
              </w:rPr>
              <w:t>~177.12 billion contracts (+63.8% YoY)</w:t>
            </w:r>
          </w:p>
        </w:tc>
        <w:tc>
          <w:tcPr>
            <w:tcW w:type="dxa" w:w="2880"/>
          </w:tcPr>
          <w:p>
            <w:pPr/>
            <w:r>
              <w:rPr>
                <w:sz w:val="18"/>
              </w:rPr>
              <w:t>FIA</w:t>
            </w:r>
          </w:p>
        </w:tc>
      </w:tr>
      <w:tr>
        <w:tc>
          <w:tcPr>
            <w:tcW w:type="dxa" w:w="2880"/>
          </w:tcPr>
          <w:p>
            <w:pPr/>
            <w:r>
              <w:rPr>
                <w:sz w:val="18"/>
              </w:rPr>
              <w:t>**Total futures volume**</w:t>
            </w:r>
          </w:p>
        </w:tc>
        <w:tc>
          <w:tcPr>
            <w:tcW w:type="dxa" w:w="2880"/>
          </w:tcPr>
          <w:p>
            <w:pPr/>
            <w:r>
              <w:rPr>
                <w:sz w:val="18"/>
              </w:rPr>
              <w:t>~28.22 billion contracts (+1.2% YoY)</w:t>
            </w:r>
          </w:p>
        </w:tc>
        <w:tc>
          <w:tcPr>
            <w:tcW w:type="dxa" w:w="2880"/>
          </w:tcPr>
          <w:p>
            <w:pPr/>
            <w:r>
              <w:rPr>
                <w:sz w:val="18"/>
              </w:rPr>
              <w:t>FIA</w:t>
            </w:r>
          </w:p>
        </w:tc>
      </w:tr>
      <w:tr>
        <w:tc>
          <w:tcPr>
            <w:tcW w:type="dxa" w:w="2880"/>
          </w:tcPr>
          <w:p>
            <w:pPr/>
            <w:r>
              <w:rPr>
                <w:sz w:val="18"/>
              </w:rPr>
              <w:t>**Open interest (end-2024)**</w:t>
            </w:r>
          </w:p>
        </w:tc>
        <w:tc>
          <w:tcPr>
            <w:tcW w:type="dxa" w:w="2880"/>
          </w:tcPr>
          <w:p>
            <w:pPr/>
            <w:r>
              <w:rPr>
                <w:sz w:val="18"/>
              </w:rPr>
              <w:t>~1.23 billion contracts</w:t>
            </w:r>
          </w:p>
        </w:tc>
        <w:tc>
          <w:tcPr>
            <w:tcW w:type="dxa" w:w="2880"/>
          </w:tcPr>
          <w:p>
            <w:pPr/>
            <w:r>
              <w:rPr>
                <w:sz w:val="18"/>
              </w:rPr>
              <w:t>FIA</w:t>
            </w:r>
          </w:p>
        </w:tc>
      </w:tr>
      <w:tr>
        <w:tc>
          <w:tcPr>
            <w:tcW w:type="dxa" w:w="2880"/>
          </w:tcPr>
          <w:p>
            <w:pPr/>
            <w:r>
              <w:rPr>
                <w:sz w:val="18"/>
              </w:rPr>
              <w:t>**OTC derivatives notional outstanding (end-2024)**</w:t>
            </w:r>
          </w:p>
        </w:tc>
        <w:tc>
          <w:tcPr>
            <w:tcW w:type="dxa" w:w="2880"/>
          </w:tcPr>
          <w:p>
            <w:pPr/>
            <w:r>
              <w:rPr>
                <w:sz w:val="18"/>
              </w:rPr>
              <w:t>~$700+ trillion</w:t>
            </w:r>
          </w:p>
        </w:tc>
        <w:tc>
          <w:tcPr>
            <w:tcW w:type="dxa" w:w="2880"/>
          </w:tcPr>
          <w:p>
            <w:pPr/>
            <w:r>
              <w:rPr>
                <w:sz w:val="18"/>
              </w:rPr>
              <w:t>BIS Semiannual Statistics</w:t>
            </w:r>
          </w:p>
        </w:tc>
      </w:tr>
      <w:tr>
        <w:tc>
          <w:tcPr>
            <w:tcW w:type="dxa" w:w="2880"/>
          </w:tcPr>
          <w:p>
            <w:pPr/>
            <w:r>
              <w:rPr>
                <w:sz w:val="18"/>
              </w:rPr>
              <w:t>— Interest rate derivatives</w:t>
            </w:r>
          </w:p>
        </w:tc>
        <w:tc>
          <w:tcPr>
            <w:tcW w:type="dxa" w:w="2880"/>
          </w:tcPr>
          <w:p>
            <w:pPr/>
            <w:r>
              <w:rPr>
                <w:sz w:val="18"/>
              </w:rPr>
              <w:t>~$548.3 trillion</w:t>
            </w:r>
          </w:p>
        </w:tc>
        <w:tc>
          <w:tcPr>
            <w:tcW w:type="dxa" w:w="2880"/>
          </w:tcPr>
          <w:p>
            <w:pPr/>
            <w:r>
              <w:rPr>
                <w:sz w:val="18"/>
              </w:rPr>
              <w:t>BIS</w:t>
            </w:r>
          </w:p>
        </w:tc>
      </w:tr>
      <w:tr>
        <w:tc>
          <w:tcPr>
            <w:tcW w:type="dxa" w:w="2880"/>
          </w:tcPr>
          <w:p>
            <w:pPr/>
            <w:r>
              <w:rPr>
                <w:sz w:val="18"/>
              </w:rPr>
              <w:t>— Foreign exchange derivatives</w:t>
            </w:r>
          </w:p>
        </w:tc>
        <w:tc>
          <w:tcPr>
            <w:tcW w:type="dxa" w:w="2880"/>
          </w:tcPr>
          <w:p>
            <w:pPr/>
            <w:r>
              <w:rPr>
                <w:sz w:val="18"/>
              </w:rPr>
              <w:t>~$130.1 trillion</w:t>
            </w:r>
          </w:p>
        </w:tc>
        <w:tc>
          <w:tcPr>
            <w:tcW w:type="dxa" w:w="2880"/>
          </w:tcPr>
          <w:p>
            <w:pPr/>
            <w:r>
              <w:rPr>
                <w:sz w:val="18"/>
              </w:rPr>
              <w:t>BIS</w:t>
            </w:r>
          </w:p>
        </w:tc>
      </w:tr>
      <w:tr>
        <w:tc>
          <w:tcPr>
            <w:tcW w:type="dxa" w:w="2880"/>
          </w:tcPr>
          <w:p>
            <w:pPr/>
            <w:r>
              <w:rPr>
                <w:sz w:val="18"/>
              </w:rPr>
              <w:t>— Credit derivatives</w:t>
            </w:r>
          </w:p>
        </w:tc>
        <w:tc>
          <w:tcPr>
            <w:tcW w:type="dxa" w:w="2880"/>
          </w:tcPr>
          <w:p>
            <w:pPr/>
            <w:r>
              <w:rPr>
                <w:sz w:val="18"/>
              </w:rPr>
              <w:t>~$9.2 trillion</w:t>
            </w:r>
          </w:p>
        </w:tc>
        <w:tc>
          <w:tcPr>
            <w:tcW w:type="dxa" w:w="2880"/>
          </w:tcPr>
          <w:p>
            <w:pPr/>
            <w:r>
              <w:rPr>
                <w:sz w:val="18"/>
              </w:rPr>
              <w:t>BIS</w:t>
            </w:r>
          </w:p>
        </w:tc>
      </w:tr>
      <w:tr>
        <w:tc>
          <w:tcPr>
            <w:tcW w:type="dxa" w:w="2880"/>
          </w:tcPr>
          <w:p>
            <w:pPr/>
            <w:r>
              <w:rPr>
                <w:sz w:val="18"/>
              </w:rPr>
              <w:t>— Equity derivatives (OTC)</w:t>
            </w:r>
          </w:p>
        </w:tc>
        <w:tc>
          <w:tcPr>
            <w:tcW w:type="dxa" w:w="2880"/>
          </w:tcPr>
          <w:p>
            <w:pPr/>
            <w:r>
              <w:rPr>
                <w:sz w:val="18"/>
              </w:rPr>
              <w:t>~$8.9 trillion</w:t>
            </w:r>
          </w:p>
        </w:tc>
        <w:tc>
          <w:tcPr>
            <w:tcW w:type="dxa" w:w="2880"/>
          </w:tcPr>
          <w:p>
            <w:pPr/>
            <w:r>
              <w:rPr>
                <w:sz w:val="18"/>
              </w:rPr>
              <w:t>BIS</w:t>
            </w:r>
          </w:p>
        </w:tc>
      </w:tr>
      <w:tr>
        <w:tc>
          <w:tcPr>
            <w:tcW w:type="dxa" w:w="2880"/>
          </w:tcPr>
          <w:p>
            <w:pPr/>
            <w:r>
              <w:rPr>
                <w:sz w:val="18"/>
              </w:rPr>
              <w:t>— Commodity derivatives (OTC)</w:t>
            </w:r>
          </w:p>
        </w:tc>
        <w:tc>
          <w:tcPr>
            <w:tcW w:type="dxa" w:w="2880"/>
          </w:tcPr>
          <w:p>
            <w:pPr/>
            <w:r>
              <w:rPr>
                <w:sz w:val="18"/>
              </w:rPr>
              <w:t>~$2.4 trillion</w:t>
            </w:r>
          </w:p>
        </w:tc>
        <w:tc>
          <w:tcPr>
            <w:tcW w:type="dxa" w:w="2880"/>
          </w:tcPr>
          <w:p>
            <w:pPr/>
            <w:r>
              <w:rPr>
                <w:sz w:val="18"/>
              </w:rPr>
              <w:t>BIS</w:t>
            </w:r>
          </w:p>
        </w:tc>
      </w:tr>
    </w:tbl>
    <w:p/>
    <w:p>
      <w:r>
        <w:t>Key Observation: The global ETD market surpassed 200 billion contracts for the first time in 2024, marking the sixth consecutive record year. The overwhelming majority of volume growth was driven by equity options, particularly in India, where NSE alone traded an estimated 92-108 billion contracts. Options now account for ~86% of all ETD volume globally, with futures representing the remaining ~14%.</w:t>
      </w:r>
    </w:p>
    <w:p>
      <w:r>
        <w:t>[Source: FIA, "2024 Annual ETD Volume Review", https://www.fia.org/fia/articles/2024-annual-etd-volume-review]</w:t>
      </w:r>
    </w:p>
    <w:p>
      <w:r>
        <w:t>[Source: BIS, "OTC derivatives statistics at end-June 2024", https://www.bis.org/publ/otc_hy2411.htm]</w:t>
      </w:r>
    </w:p>
    <w:p>
      <w:r>
        <w:t>[Source: ISDA, "Key Trends in OTC Derivatives Markets H2 2024", https://www.isda.org/2025/07/03/key-trends-in-the-size-and-composition-of-otc-derivatives-markets-in-the-second-half-of-2024]</w:t>
      </w:r>
    </w:p>
    <w:p>
      <w:pPr>
        <w:pStyle w:val="Heading3"/>
      </w:pPr>
      <w:r>
        <w:t>2.2 Top Exchanges by Volume (Contracts Traded, CY2024)</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Rank</w:t>
            </w:r>
          </w:p>
        </w:tc>
        <w:tc>
          <w:tcPr>
            <w:tcW w:type="dxa" w:w="1728"/>
          </w:tcPr>
          <w:p>
            <w:pPr/>
            <w:r>
              <w:rPr>
                <w:b/>
                <w:sz w:val="18"/>
              </w:rPr>
              <w:t>Exchange</w:t>
            </w:r>
          </w:p>
        </w:tc>
        <w:tc>
          <w:tcPr>
            <w:tcW w:type="dxa" w:w="1728"/>
          </w:tcPr>
          <w:p>
            <w:pPr/>
            <w:r>
              <w:rPr>
                <w:b/>
                <w:sz w:val="18"/>
              </w:rPr>
              <w:t>Contracts (est. annual, billions)</w:t>
            </w:r>
          </w:p>
        </w:tc>
        <w:tc>
          <w:tcPr>
            <w:tcW w:type="dxa" w:w="1728"/>
          </w:tcPr>
          <w:p>
            <w:pPr/>
            <w:r>
              <w:rPr>
                <w:b/>
                <w:sz w:val="18"/>
              </w:rPr>
              <w:t>Primary Products</w:t>
            </w:r>
          </w:p>
        </w:tc>
        <w:tc>
          <w:tcPr>
            <w:tcW w:type="dxa" w:w="1728"/>
          </w:tcPr>
          <w:p>
            <w:pPr/>
            <w:r>
              <w:rPr>
                <w:b/>
                <w:sz w:val="18"/>
              </w:rPr>
              <w:t>Region</w:t>
            </w:r>
          </w:p>
        </w:tc>
      </w:tr>
      <w:tr>
        <w:tc>
          <w:tcPr>
            <w:tcW w:type="dxa" w:w="1728"/>
          </w:tcPr>
          <w:p>
            <w:pPr/>
            <w:r>
              <w:rPr>
                <w:sz w:val="18"/>
              </w:rPr>
              <w:t>1</w:t>
            </w:r>
          </w:p>
        </w:tc>
        <w:tc>
          <w:tcPr>
            <w:tcW w:type="dxa" w:w="1728"/>
          </w:tcPr>
          <w:p>
            <w:pPr/>
            <w:r>
              <w:rPr>
                <w:sz w:val="18"/>
              </w:rPr>
              <w:t>**NSE (India)**</w:t>
            </w:r>
          </w:p>
        </w:tc>
        <w:tc>
          <w:tcPr>
            <w:tcW w:type="dxa" w:w="1728"/>
          </w:tcPr>
          <w:p>
            <w:pPr/>
            <w:r>
              <w:rPr>
                <w:sz w:val="18"/>
              </w:rPr>
              <w:t>~92-108</w:t>
            </w:r>
          </w:p>
        </w:tc>
        <w:tc>
          <w:tcPr>
            <w:tcW w:type="dxa" w:w="1728"/>
          </w:tcPr>
          <w:p>
            <w:pPr/>
            <w:r>
              <w:rPr>
                <w:sz w:val="18"/>
              </w:rPr>
              <w:t>Equity index &amp; single stock options (Nifty 50, Bank Nifty)</w:t>
            </w:r>
          </w:p>
        </w:tc>
        <w:tc>
          <w:tcPr>
            <w:tcW w:type="dxa" w:w="1728"/>
          </w:tcPr>
          <w:p>
            <w:pPr/>
            <w:r>
              <w:rPr>
                <w:sz w:val="18"/>
              </w:rPr>
              <w:t>Asia-Pacific</w:t>
            </w:r>
          </w:p>
        </w:tc>
      </w:tr>
      <w:tr>
        <w:tc>
          <w:tcPr>
            <w:tcW w:type="dxa" w:w="1728"/>
          </w:tcPr>
          <w:p>
            <w:pPr/>
            <w:r>
              <w:rPr>
                <w:sz w:val="18"/>
              </w:rPr>
              <w:t>2</w:t>
            </w:r>
          </w:p>
        </w:tc>
        <w:tc>
          <w:tcPr>
            <w:tcW w:type="dxa" w:w="1728"/>
          </w:tcPr>
          <w:p>
            <w:pPr/>
            <w:r>
              <w:rPr>
                <w:sz w:val="18"/>
              </w:rPr>
              <w:t>**B3 (Brazil)**</w:t>
            </w:r>
          </w:p>
        </w:tc>
        <w:tc>
          <w:tcPr>
            <w:tcW w:type="dxa" w:w="1728"/>
          </w:tcPr>
          <w:p>
            <w:pPr/>
            <w:r>
              <w:rPr>
                <w:sz w:val="18"/>
              </w:rPr>
              <w:t>~9-10</w:t>
            </w:r>
          </w:p>
        </w:tc>
        <w:tc>
          <w:tcPr>
            <w:tcW w:type="dxa" w:w="1728"/>
          </w:tcPr>
          <w:p>
            <w:pPr/>
            <w:r>
              <w:rPr>
                <w:sz w:val="18"/>
              </w:rPr>
              <w:t>Equity index &amp; interest rate futures/options</w:t>
            </w:r>
          </w:p>
        </w:tc>
        <w:tc>
          <w:tcPr>
            <w:tcW w:type="dxa" w:w="1728"/>
          </w:tcPr>
          <w:p>
            <w:pPr/>
            <w:r>
              <w:rPr>
                <w:sz w:val="18"/>
              </w:rPr>
              <w:t>Americas</w:t>
            </w:r>
          </w:p>
        </w:tc>
      </w:tr>
      <w:tr>
        <w:tc>
          <w:tcPr>
            <w:tcW w:type="dxa" w:w="1728"/>
          </w:tcPr>
          <w:p>
            <w:pPr/>
            <w:r>
              <w:rPr>
                <w:sz w:val="18"/>
              </w:rPr>
              <w:t>3</w:t>
            </w:r>
          </w:p>
        </w:tc>
        <w:tc>
          <w:tcPr>
            <w:tcW w:type="dxa" w:w="1728"/>
          </w:tcPr>
          <w:p>
            <w:pPr/>
            <w:r>
              <w:rPr>
                <w:sz w:val="18"/>
              </w:rPr>
              <w:t>**CME Group**</w:t>
            </w:r>
          </w:p>
        </w:tc>
        <w:tc>
          <w:tcPr>
            <w:tcW w:type="dxa" w:w="1728"/>
          </w:tcPr>
          <w:p>
            <w:pPr/>
            <w:r>
              <w:rPr>
                <w:sz w:val="18"/>
              </w:rPr>
              <w:t>~6.2 (ADV ~24.8M record)</w:t>
            </w:r>
          </w:p>
        </w:tc>
        <w:tc>
          <w:tcPr>
            <w:tcW w:type="dxa" w:w="1728"/>
          </w:tcPr>
          <w:p>
            <w:pPr/>
            <w:r>
              <w:rPr>
                <w:sz w:val="18"/>
              </w:rPr>
              <w:t>Multi-asset (interest rate, equity index, energy, metals, FX)</w:t>
            </w:r>
          </w:p>
        </w:tc>
        <w:tc>
          <w:tcPr>
            <w:tcW w:type="dxa" w:w="1728"/>
          </w:tcPr>
          <w:p>
            <w:pPr/>
            <w:r>
              <w:rPr>
                <w:sz w:val="18"/>
              </w:rPr>
              <w:t>Americas</w:t>
            </w:r>
          </w:p>
        </w:tc>
      </w:tr>
      <w:tr>
        <w:tc>
          <w:tcPr>
            <w:tcW w:type="dxa" w:w="1728"/>
          </w:tcPr>
          <w:p>
            <w:pPr/>
            <w:r>
              <w:rPr>
                <w:sz w:val="18"/>
              </w:rPr>
              <w:t>4</w:t>
            </w:r>
          </w:p>
        </w:tc>
        <w:tc>
          <w:tcPr>
            <w:tcW w:type="dxa" w:w="1728"/>
          </w:tcPr>
          <w:p>
            <w:pPr/>
            <w:r>
              <w:rPr>
                <w:sz w:val="18"/>
              </w:rPr>
              <w:t>**Cboe Global Markets**</w:t>
            </w:r>
          </w:p>
        </w:tc>
        <w:tc>
          <w:tcPr>
            <w:tcW w:type="dxa" w:w="1728"/>
          </w:tcPr>
          <w:p>
            <w:pPr/>
            <w:r>
              <w:rPr>
                <w:sz w:val="18"/>
              </w:rPr>
              <w:t>~4.5</w:t>
            </w:r>
          </w:p>
        </w:tc>
        <w:tc>
          <w:tcPr>
            <w:tcW w:type="dxa" w:w="1728"/>
          </w:tcPr>
          <w:p>
            <w:pPr/>
            <w:r>
              <w:rPr>
                <w:sz w:val="18"/>
              </w:rPr>
              <w:t>Equity options, VIX, SPX, 0DTE options</w:t>
            </w:r>
          </w:p>
        </w:tc>
        <w:tc>
          <w:tcPr>
            <w:tcW w:type="dxa" w:w="1728"/>
          </w:tcPr>
          <w:p>
            <w:pPr/>
            <w:r>
              <w:rPr>
                <w:sz w:val="18"/>
              </w:rPr>
              <w:t>Americas</w:t>
            </w:r>
          </w:p>
        </w:tc>
      </w:tr>
      <w:tr>
        <w:tc>
          <w:tcPr>
            <w:tcW w:type="dxa" w:w="1728"/>
          </w:tcPr>
          <w:p>
            <w:pPr/>
            <w:r>
              <w:rPr>
                <w:sz w:val="18"/>
              </w:rPr>
              <w:t>5</w:t>
            </w:r>
          </w:p>
        </w:tc>
        <w:tc>
          <w:tcPr>
            <w:tcW w:type="dxa" w:w="1728"/>
          </w:tcPr>
          <w:p>
            <w:pPr/>
            <w:r>
              <w:rPr>
                <w:sz w:val="18"/>
              </w:rPr>
              <w:t>**SHFE (incl. INE)**</w:t>
            </w:r>
          </w:p>
        </w:tc>
        <w:tc>
          <w:tcPr>
            <w:tcW w:type="dxa" w:w="1728"/>
          </w:tcPr>
          <w:p>
            <w:pPr/>
            <w:r>
              <w:rPr>
                <w:sz w:val="18"/>
              </w:rPr>
              <w:t>~3.0</w:t>
            </w:r>
          </w:p>
        </w:tc>
        <w:tc>
          <w:tcPr>
            <w:tcW w:type="dxa" w:w="1728"/>
          </w:tcPr>
          <w:p>
            <w:pPr/>
            <w:r>
              <w:rPr>
                <w:sz w:val="18"/>
              </w:rPr>
              <w:t>Metals (copper, gold, aluminum), crude oil, rubber</w:t>
            </w:r>
          </w:p>
        </w:tc>
        <w:tc>
          <w:tcPr>
            <w:tcW w:type="dxa" w:w="1728"/>
          </w:tcPr>
          <w:p>
            <w:pPr/>
            <w:r>
              <w:rPr>
                <w:sz w:val="18"/>
              </w:rPr>
              <w:t>Asia-Pacific</w:t>
            </w:r>
          </w:p>
        </w:tc>
      </w:tr>
      <w:tr>
        <w:tc>
          <w:tcPr>
            <w:tcW w:type="dxa" w:w="1728"/>
          </w:tcPr>
          <w:p>
            <w:pPr/>
            <w:r>
              <w:rPr>
                <w:sz w:val="18"/>
              </w:rPr>
              <w:t>6</w:t>
            </w:r>
          </w:p>
        </w:tc>
        <w:tc>
          <w:tcPr>
            <w:tcW w:type="dxa" w:w="1728"/>
          </w:tcPr>
          <w:p>
            <w:pPr/>
            <w:r>
              <w:rPr>
                <w:sz w:val="18"/>
              </w:rPr>
              <w:t>**DCE**</w:t>
            </w:r>
          </w:p>
        </w:tc>
        <w:tc>
          <w:tcPr>
            <w:tcW w:type="dxa" w:w="1728"/>
          </w:tcPr>
          <w:p>
            <w:pPr/>
            <w:r>
              <w:rPr>
                <w:sz w:val="18"/>
              </w:rPr>
              <w:t>~2.5</w:t>
            </w:r>
          </w:p>
        </w:tc>
        <w:tc>
          <w:tcPr>
            <w:tcW w:type="dxa" w:w="1728"/>
          </w:tcPr>
          <w:p>
            <w:pPr/>
            <w:r>
              <w:rPr>
                <w:sz w:val="18"/>
              </w:rPr>
              <w:t>Iron ore, soybean meal, agricultural/petrochemical</w:t>
            </w:r>
          </w:p>
        </w:tc>
        <w:tc>
          <w:tcPr>
            <w:tcW w:type="dxa" w:w="1728"/>
          </w:tcPr>
          <w:p>
            <w:pPr/>
            <w:r>
              <w:rPr>
                <w:sz w:val="18"/>
              </w:rPr>
              <w:t>Asia-Pacific</w:t>
            </w:r>
          </w:p>
        </w:tc>
      </w:tr>
      <w:tr>
        <w:tc>
          <w:tcPr>
            <w:tcW w:type="dxa" w:w="1728"/>
          </w:tcPr>
          <w:p>
            <w:pPr/>
            <w:r>
              <w:rPr>
                <w:sz w:val="18"/>
              </w:rPr>
              <w:t>7</w:t>
            </w:r>
          </w:p>
        </w:tc>
        <w:tc>
          <w:tcPr>
            <w:tcW w:type="dxa" w:w="1728"/>
          </w:tcPr>
          <w:p>
            <w:pPr/>
            <w:r>
              <w:rPr>
                <w:sz w:val="18"/>
              </w:rPr>
              <w:t>**Eurex**</w:t>
            </w:r>
          </w:p>
        </w:tc>
        <w:tc>
          <w:tcPr>
            <w:tcW w:type="dxa" w:w="1728"/>
          </w:tcPr>
          <w:p>
            <w:pPr/>
            <w:r>
              <w:rPr>
                <w:sz w:val="18"/>
              </w:rPr>
              <w:t>~2.4</w:t>
            </w:r>
          </w:p>
        </w:tc>
        <w:tc>
          <w:tcPr>
            <w:tcW w:type="dxa" w:w="1728"/>
          </w:tcPr>
          <w:p>
            <w:pPr/>
            <w:r>
              <w:rPr>
                <w:sz w:val="18"/>
              </w:rPr>
              <w:t>Equity index (Euro Stoxx 50), interest rate (Bund), single stock</w:t>
            </w:r>
          </w:p>
        </w:tc>
        <w:tc>
          <w:tcPr>
            <w:tcW w:type="dxa" w:w="1728"/>
          </w:tcPr>
          <w:p>
            <w:pPr/>
            <w:r>
              <w:rPr>
                <w:sz w:val="18"/>
              </w:rPr>
              <w:t>Europe</w:t>
            </w:r>
          </w:p>
        </w:tc>
      </w:tr>
      <w:tr>
        <w:tc>
          <w:tcPr>
            <w:tcW w:type="dxa" w:w="1728"/>
          </w:tcPr>
          <w:p>
            <w:pPr/>
            <w:r>
              <w:rPr>
                <w:sz w:val="18"/>
              </w:rPr>
              <w:t>8</w:t>
            </w:r>
          </w:p>
        </w:tc>
        <w:tc>
          <w:tcPr>
            <w:tcW w:type="dxa" w:w="1728"/>
          </w:tcPr>
          <w:p>
            <w:pPr/>
            <w:r>
              <w:rPr>
                <w:sz w:val="18"/>
              </w:rPr>
              <w:t>**ZCE (Zhengzhou)**</w:t>
            </w:r>
          </w:p>
        </w:tc>
        <w:tc>
          <w:tcPr>
            <w:tcW w:type="dxa" w:w="1728"/>
          </w:tcPr>
          <w:p>
            <w:pPr/>
            <w:r>
              <w:rPr>
                <w:sz w:val="18"/>
              </w:rPr>
              <w:t>~2.2</w:t>
            </w:r>
          </w:p>
        </w:tc>
        <w:tc>
          <w:tcPr>
            <w:tcW w:type="dxa" w:w="1728"/>
          </w:tcPr>
          <w:p>
            <w:pPr/>
            <w:r>
              <w:rPr>
                <w:sz w:val="18"/>
              </w:rPr>
              <w:t>Agricultural (cotton, sugar, PTA), glass, methanol</w:t>
            </w:r>
          </w:p>
        </w:tc>
        <w:tc>
          <w:tcPr>
            <w:tcW w:type="dxa" w:w="1728"/>
          </w:tcPr>
          <w:p>
            <w:pPr/>
            <w:r>
              <w:rPr>
                <w:sz w:val="18"/>
              </w:rPr>
              <w:t>Asia-Pacific</w:t>
            </w:r>
          </w:p>
        </w:tc>
      </w:tr>
      <w:tr>
        <w:tc>
          <w:tcPr>
            <w:tcW w:type="dxa" w:w="1728"/>
          </w:tcPr>
          <w:p>
            <w:pPr/>
            <w:r>
              <w:rPr>
                <w:sz w:val="18"/>
              </w:rPr>
              <w:t>9</w:t>
            </w:r>
          </w:p>
        </w:tc>
        <w:tc>
          <w:tcPr>
            <w:tcW w:type="dxa" w:w="1728"/>
          </w:tcPr>
          <w:p>
            <w:pPr/>
            <w:r>
              <w:rPr>
                <w:sz w:val="18"/>
              </w:rPr>
              <w:t>**ICE**</w:t>
            </w:r>
          </w:p>
        </w:tc>
        <w:tc>
          <w:tcPr>
            <w:tcW w:type="dxa" w:w="1728"/>
          </w:tcPr>
          <w:p>
            <w:pPr/>
            <w:r>
              <w:rPr>
                <w:sz w:val="18"/>
              </w:rPr>
              <w:t>~1.8</w:t>
            </w:r>
          </w:p>
        </w:tc>
        <w:tc>
          <w:tcPr>
            <w:tcW w:type="dxa" w:w="1728"/>
          </w:tcPr>
          <w:p>
            <w:pPr/>
            <w:r>
              <w:rPr>
                <w:sz w:val="18"/>
              </w:rPr>
              <w:t>Energy (Brent, gas), interest rates, soft commodities, carbon</w:t>
            </w:r>
          </w:p>
        </w:tc>
        <w:tc>
          <w:tcPr>
            <w:tcW w:type="dxa" w:w="1728"/>
          </w:tcPr>
          <w:p>
            <w:pPr/>
            <w:r>
              <w:rPr>
                <w:sz w:val="18"/>
              </w:rPr>
              <w:t>Americas/Europe</w:t>
            </w:r>
          </w:p>
        </w:tc>
      </w:tr>
      <w:tr>
        <w:tc>
          <w:tcPr>
            <w:tcW w:type="dxa" w:w="1728"/>
          </w:tcPr>
          <w:p>
            <w:pPr/>
            <w:r>
              <w:rPr>
                <w:sz w:val="18"/>
              </w:rPr>
              <w:t>10</w:t>
            </w:r>
          </w:p>
        </w:tc>
        <w:tc>
          <w:tcPr>
            <w:tcW w:type="dxa" w:w="1728"/>
          </w:tcPr>
          <w:p>
            <w:pPr/>
            <w:r>
              <w:rPr>
                <w:sz w:val="18"/>
              </w:rPr>
              <w:t>**KRX (Korea Exchange)**</w:t>
            </w:r>
          </w:p>
        </w:tc>
        <w:tc>
          <w:tcPr>
            <w:tcW w:type="dxa" w:w="1728"/>
          </w:tcPr>
          <w:p>
            <w:pPr/>
            <w:r>
              <w:rPr>
                <w:sz w:val="18"/>
              </w:rPr>
              <w:t>~1.5</w:t>
            </w:r>
          </w:p>
        </w:tc>
        <w:tc>
          <w:tcPr>
            <w:tcW w:type="dxa" w:w="1728"/>
          </w:tcPr>
          <w:p>
            <w:pPr/>
            <w:r>
              <w:rPr>
                <w:sz w:val="18"/>
              </w:rPr>
              <w:t>KOSPI 200 options, equity index futures</w:t>
            </w:r>
          </w:p>
        </w:tc>
        <w:tc>
          <w:tcPr>
            <w:tcW w:type="dxa" w:w="1728"/>
          </w:tcPr>
          <w:p>
            <w:pPr/>
            <w:r>
              <w:rPr>
                <w:sz w:val="18"/>
              </w:rPr>
              <w:t>Asia-Pacific</w:t>
            </w:r>
          </w:p>
        </w:tc>
      </w:tr>
    </w:tbl>
    <w:p/>
    <w:p>
      <w:r>
        <w:t>Notes:</w:t>
      </w:r>
    </w:p>
    <w:p>
      <w:pPr>
        <w:pStyle w:val="ListBullet"/>
      </w:pPr>
      <w:r>
        <w:t>NSE's dominance is driven by massive retail options participation; however, SEBI curbs implemented in November 2024 have reduced volumes by ~30-38% from their peak, and NSE ceded the #1 ranking to B3 in H1 2025.</w:t>
      </w:r>
    </w:p>
    <w:p>
      <w:pPr>
        <w:pStyle w:val="ListBullet"/>
      </w:pPr>
      <w:r>
        <w:t>CME Group ADV reached a record 24.8 million contracts in July 2024; international ADV hit 8.4 million in Q3 2024.</w:t>
      </w:r>
    </w:p>
    <w:p>
      <w:pPr>
        <w:pStyle w:val="ListBullet"/>
      </w:pPr>
      <w:r>
        <w:t>Rankings are approximate; exact figures pending final FIA annual publication. Chinese exchanges (SHFE, DCE, ZCE) rank consistently in the top 10 by contract volume.</w:t>
      </w:r>
    </w:p>
    <w:p>
      <w:r>
        <w:t>[Source: FIA ETD Tracker, https://www.fia.org/fia/etd-tracker]</w:t>
      </w:r>
    </w:p>
    <w:p>
      <w:r>
        <w:t>[Source: NSE, "NSE is the World's Largest Derivative Exchange for Fifth Consecutive Year", January 2024]</w:t>
      </w:r>
    </w:p>
    <w:p>
      <w:r>
        <w:t>[Source: CME Group, "CME Group International ADV Reached New Record of 8.4M Contracts in Q3 2024", October 2024]</w:t>
      </w:r>
    </w:p>
    <w:p>
      <w:r>
        <w:t>[Source: Business Standard, "NSE Loses Top Derivatives Exchange Spot to Brazil B3", July 2025]</w:t>
      </w:r>
    </w:p>
    <w:p>
      <w:pPr>
        <w:pStyle w:val="Heading3"/>
      </w:pPr>
      <w:r>
        <w:t>2.3 Product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Category</w:t>
            </w:r>
          </w:p>
        </w:tc>
        <w:tc>
          <w:tcPr>
            <w:tcW w:type="dxa" w:w="2880"/>
          </w:tcPr>
          <w:p>
            <w:pPr/>
            <w:r>
              <w:rPr>
                <w:b/>
                <w:sz w:val="18"/>
              </w:rPr>
              <w:t>Examples</w:t>
            </w:r>
          </w:p>
        </w:tc>
        <w:tc>
          <w:tcPr>
            <w:tcW w:type="dxa" w:w="2880"/>
          </w:tcPr>
          <w:p>
            <w:pPr/>
            <w:r>
              <w:rPr>
                <w:b/>
                <w:sz w:val="18"/>
              </w:rPr>
              <w:t>Key Exchanges</w:t>
            </w:r>
          </w:p>
        </w:tc>
      </w:tr>
      <w:tr>
        <w:tc>
          <w:tcPr>
            <w:tcW w:type="dxa" w:w="2880"/>
          </w:tcPr>
          <w:p>
            <w:pPr/>
            <w:r>
              <w:rPr>
                <w:sz w:val="18"/>
              </w:rPr>
              <w:t>**Equity Index Futures/Options**</w:t>
            </w:r>
          </w:p>
        </w:tc>
        <w:tc>
          <w:tcPr>
            <w:tcW w:type="dxa" w:w="2880"/>
          </w:tcPr>
          <w:p>
            <w:pPr/>
            <w:r>
              <w:rPr>
                <w:sz w:val="18"/>
              </w:rPr>
              <w:t>S&amp;P 500, Euro Stoxx 50, Nifty 50, KOSPI 200, TAIEX, SPI 200, CAC 40, FTSE MIB, Hang Seng, SGX Nifty (GIFT Nifty)</w:t>
            </w:r>
          </w:p>
        </w:tc>
        <w:tc>
          <w:tcPr>
            <w:tcW w:type="dxa" w:w="2880"/>
          </w:tcPr>
          <w:p>
            <w:pPr/>
            <w:r>
              <w:rPr>
                <w:sz w:val="18"/>
              </w:rPr>
              <w:t>NSE, CME, Eurex, Cboe, TAIFEX, ASX, Euronext, HKEX, SGX, KRX, OSE</w:t>
            </w:r>
          </w:p>
        </w:tc>
      </w:tr>
      <w:tr>
        <w:tc>
          <w:tcPr>
            <w:tcW w:type="dxa" w:w="2880"/>
          </w:tcPr>
          <w:p>
            <w:pPr/>
            <w:r>
              <w:rPr>
                <w:sz w:val="18"/>
              </w:rPr>
              <w:t>**Interest Rate Futures/Options**</w:t>
            </w:r>
          </w:p>
        </w:tc>
        <w:tc>
          <w:tcPr>
            <w:tcW w:type="dxa" w:w="2880"/>
          </w:tcPr>
          <w:p>
            <w:pPr/>
            <w:r>
              <w:rPr>
                <w:sz w:val="18"/>
              </w:rPr>
              <w:t>SOFR, Euribor, Bund, T-Note/T-Bond, 3Y/10Y AUS TB, GoC Bond, CORRA, JGB, TONA</w:t>
            </w:r>
          </w:p>
        </w:tc>
        <w:tc>
          <w:tcPr>
            <w:tcW w:type="dxa" w:w="2880"/>
          </w:tcPr>
          <w:p>
            <w:pPr/>
            <w:r>
              <w:rPr>
                <w:sz w:val="18"/>
              </w:rPr>
              <w:t>CME, Eurex, ICE, ASX, MX (Montreal), OSE</w:t>
            </w:r>
          </w:p>
        </w:tc>
      </w:tr>
      <w:tr>
        <w:tc>
          <w:tcPr>
            <w:tcW w:type="dxa" w:w="2880"/>
          </w:tcPr>
          <w:p>
            <w:pPr/>
            <w:r>
              <w:rPr>
                <w:sz w:val="18"/>
              </w:rPr>
              <w:t>**FX Futures/Options**</w:t>
            </w:r>
          </w:p>
        </w:tc>
        <w:tc>
          <w:tcPr>
            <w:tcW w:type="dxa" w:w="2880"/>
          </w:tcPr>
          <w:p>
            <w:pPr/>
            <w:r>
              <w:rPr>
                <w:sz w:val="18"/>
              </w:rPr>
              <w:t>EUR/USD, JPY/USD, USD/INR, AUD/USD, GBP/USD</w:t>
            </w:r>
          </w:p>
        </w:tc>
        <w:tc>
          <w:tcPr>
            <w:tcW w:type="dxa" w:w="2880"/>
          </w:tcPr>
          <w:p>
            <w:pPr/>
            <w:r>
              <w:rPr>
                <w:sz w:val="18"/>
              </w:rPr>
              <w:t>CME, SGX, NSE, TAIFEX</w:t>
            </w:r>
          </w:p>
        </w:tc>
      </w:tr>
      <w:tr>
        <w:tc>
          <w:tcPr>
            <w:tcW w:type="dxa" w:w="2880"/>
          </w:tcPr>
          <w:p>
            <w:pPr/>
            <w:r>
              <w:rPr>
                <w:sz w:val="18"/>
              </w:rPr>
              <w:t>**Commodity — Energy**</w:t>
            </w:r>
          </w:p>
        </w:tc>
        <w:tc>
          <w:tcPr>
            <w:tcW w:type="dxa" w:w="2880"/>
          </w:tcPr>
          <w:p>
            <w:pPr/>
            <w:r>
              <w:rPr>
                <w:sz w:val="18"/>
              </w:rPr>
              <w:t>WTI Crude, Brent Crude, Oman Crude, Natural Gas, Electricity, LNG</w:t>
            </w:r>
          </w:p>
        </w:tc>
        <w:tc>
          <w:tcPr>
            <w:tcW w:type="dxa" w:w="2880"/>
          </w:tcPr>
          <w:p>
            <w:pPr/>
            <w:r>
              <w:rPr>
                <w:sz w:val="18"/>
              </w:rPr>
              <w:t>NYMEX/CME, ICE, DME (GME), INE/SHFE, ASX</w:t>
            </w:r>
          </w:p>
        </w:tc>
      </w:tr>
      <w:tr>
        <w:tc>
          <w:tcPr>
            <w:tcW w:type="dxa" w:w="2880"/>
          </w:tcPr>
          <w:p>
            <w:pPr/>
            <w:r>
              <w:rPr>
                <w:sz w:val="18"/>
              </w:rPr>
              <w:t>**Commodity — Metals**</w:t>
            </w:r>
          </w:p>
        </w:tc>
        <w:tc>
          <w:tcPr>
            <w:tcW w:type="dxa" w:w="2880"/>
          </w:tcPr>
          <w:p>
            <w:pPr/>
            <w:r>
              <w:rPr>
                <w:sz w:val="18"/>
              </w:rPr>
              <w:t>Gold, Silver, Copper, Aluminum, Iron Ore, Nickel, Zinc</w:t>
            </w:r>
          </w:p>
        </w:tc>
        <w:tc>
          <w:tcPr>
            <w:tcW w:type="dxa" w:w="2880"/>
          </w:tcPr>
          <w:p>
            <w:pPr/>
            <w:r>
              <w:rPr>
                <w:sz w:val="18"/>
              </w:rPr>
              <w:t>COMEX/CME, LME, SHFE, DCE</w:t>
            </w:r>
          </w:p>
        </w:tc>
      </w:tr>
      <w:tr>
        <w:tc>
          <w:tcPr>
            <w:tcW w:type="dxa" w:w="2880"/>
          </w:tcPr>
          <w:p>
            <w:pPr/>
            <w:r>
              <w:rPr>
                <w:sz w:val="18"/>
              </w:rPr>
              <w:t>**Commodity — Agriculture**</w:t>
            </w:r>
          </w:p>
        </w:tc>
        <w:tc>
          <w:tcPr>
            <w:tcW w:type="dxa" w:w="2880"/>
          </w:tcPr>
          <w:p>
            <w:pPr/>
            <w:r>
              <w:rPr>
                <w:sz w:val="18"/>
              </w:rPr>
              <w:t>Corn, Wheat, Soybeans, Soybean Meal, Palm Oil, Cotton, Sugar, Rapeseed, Live Hog</w:t>
            </w:r>
          </w:p>
        </w:tc>
        <w:tc>
          <w:tcPr>
            <w:tcW w:type="dxa" w:w="2880"/>
          </w:tcPr>
          <w:p>
            <w:pPr/>
            <w:r>
              <w:rPr>
                <w:sz w:val="18"/>
              </w:rPr>
              <w:t>CBOT/CME, ICE, DCE, ZCE, Euronext (MATIF)</w:t>
            </w:r>
          </w:p>
        </w:tc>
      </w:tr>
      <w:tr>
        <w:tc>
          <w:tcPr>
            <w:tcW w:type="dxa" w:w="2880"/>
          </w:tcPr>
          <w:p>
            <w:pPr/>
            <w:r>
              <w:rPr>
                <w:sz w:val="18"/>
              </w:rPr>
              <w:t>**Single Stock Futures/Options**</w:t>
            </w:r>
          </w:p>
        </w:tc>
        <w:tc>
          <w:tcPr>
            <w:tcW w:type="dxa" w:w="2880"/>
          </w:tcPr>
          <w:p>
            <w:pPr/>
            <w:r>
              <w:rPr>
                <w:sz w:val="18"/>
              </w:rPr>
              <w:t>Options/futures on individual equities</w:t>
            </w:r>
          </w:p>
        </w:tc>
        <w:tc>
          <w:tcPr>
            <w:tcW w:type="dxa" w:w="2880"/>
          </w:tcPr>
          <w:p>
            <w:pPr/>
            <w:r>
              <w:rPr>
                <w:sz w:val="18"/>
              </w:rPr>
              <w:t>NSE, Eurex, Cboe, Euronext, ASX (ETOs), TAIFEX, HKEX</w:t>
            </w:r>
          </w:p>
        </w:tc>
      </w:tr>
      <w:tr>
        <w:tc>
          <w:tcPr>
            <w:tcW w:type="dxa" w:w="2880"/>
          </w:tcPr>
          <w:p>
            <w:pPr/>
            <w:r>
              <w:rPr>
                <w:sz w:val="18"/>
              </w:rPr>
              <w:t>**Volatility Products**</w:t>
            </w:r>
          </w:p>
        </w:tc>
        <w:tc>
          <w:tcPr>
            <w:tcW w:type="dxa" w:w="2880"/>
          </w:tcPr>
          <w:p>
            <w:pPr/>
            <w:r>
              <w:rPr>
                <w:sz w:val="18"/>
              </w:rPr>
              <w:t>VIX Futures/Options, VSTOXX</w:t>
            </w:r>
          </w:p>
        </w:tc>
        <w:tc>
          <w:tcPr>
            <w:tcW w:type="dxa" w:w="2880"/>
          </w:tcPr>
          <w:p>
            <w:pPr/>
            <w:r>
              <w:rPr>
                <w:sz w:val="18"/>
              </w:rPr>
              <w:t>Cboe (CFE), Eurex</w:t>
            </w:r>
          </w:p>
        </w:tc>
      </w:tr>
      <w:tr>
        <w:tc>
          <w:tcPr>
            <w:tcW w:type="dxa" w:w="2880"/>
          </w:tcPr>
          <w:p>
            <w:pPr/>
            <w:r>
              <w:rPr>
                <w:sz w:val="18"/>
              </w:rPr>
              <w:t>**Environmental / ESG**</w:t>
            </w:r>
          </w:p>
        </w:tc>
        <w:tc>
          <w:tcPr>
            <w:tcW w:type="dxa" w:w="2880"/>
          </w:tcPr>
          <w:p>
            <w:pPr/>
            <w:r>
              <w:rPr>
                <w:sz w:val="18"/>
              </w:rPr>
              <w:t>EU Allowances (EUA), Carbon Credits (ACCU, NZU), Renewable Energy Certificates</w:t>
            </w:r>
          </w:p>
        </w:tc>
        <w:tc>
          <w:tcPr>
            <w:tcW w:type="dxa" w:w="2880"/>
          </w:tcPr>
          <w:p>
            <w:pPr/>
            <w:r>
              <w:rPr>
                <w:sz w:val="18"/>
              </w:rPr>
              <w:t>ICE, Eurex, ASX, EEX</w:t>
            </w:r>
          </w:p>
        </w:tc>
      </w:tr>
      <w:tr>
        <w:tc>
          <w:tcPr>
            <w:tcW w:type="dxa" w:w="2880"/>
          </w:tcPr>
          <w:p>
            <w:pPr/>
            <w:r>
              <w:rPr>
                <w:sz w:val="18"/>
              </w:rPr>
              <w:t>**Dividend Derivatives**</w:t>
            </w:r>
          </w:p>
        </w:tc>
        <w:tc>
          <w:tcPr>
            <w:tcW w:type="dxa" w:w="2880"/>
          </w:tcPr>
          <w:p>
            <w:pPr/>
            <w:r>
              <w:rPr>
                <w:sz w:val="18"/>
              </w:rPr>
              <w:t>Index dividend futures, single stock dividend futures</w:t>
            </w:r>
          </w:p>
        </w:tc>
        <w:tc>
          <w:tcPr>
            <w:tcW w:type="dxa" w:w="2880"/>
          </w:tcPr>
          <w:p>
            <w:pPr/>
            <w:r>
              <w:rPr>
                <w:sz w:val="18"/>
              </w:rPr>
              <w:t>Eurex, Euronext</w:t>
            </w:r>
          </w:p>
        </w:tc>
      </w:tr>
      <w:tr>
        <w:tc>
          <w:tcPr>
            <w:tcW w:type="dxa" w:w="2880"/>
          </w:tcPr>
          <w:p>
            <w:pPr/>
            <w:r>
              <w:rPr>
                <w:sz w:val="18"/>
              </w:rPr>
              <w:t>**Government Bond Futures (China)**</w:t>
            </w:r>
          </w:p>
        </w:tc>
        <w:tc>
          <w:tcPr>
            <w:tcW w:type="dxa" w:w="2880"/>
          </w:tcPr>
          <w:p>
            <w:pPr/>
            <w:r>
              <w:rPr>
                <w:sz w:val="18"/>
              </w:rPr>
              <w:t>2Y/5Y/10Y/30Y CGB Futures</w:t>
            </w:r>
          </w:p>
        </w:tc>
        <w:tc>
          <w:tcPr>
            <w:tcW w:type="dxa" w:w="2880"/>
          </w:tcPr>
          <w:p>
            <w:pPr/>
            <w:r>
              <w:rPr>
                <w:sz w:val="18"/>
              </w:rPr>
              <w:t>CFFEX</w:t>
            </w:r>
          </w:p>
        </w:tc>
      </w:tr>
    </w:tbl>
    <w:p/>
    <w:p>
      <w:r>
        <w:t>────────────────────────────────────────────────────────────</w:t>
      </w:r>
    </w:p>
    <w:p>
      <w:pPr>
        <w:pStyle w:val="Heading2"/>
      </w:pPr>
      <w:r>
        <w:t>3. Market Structure</w:t>
      </w:r>
    </w:p>
    <w:p>
      <w:pPr>
        <w:pStyle w:val="Heading3"/>
      </w:pPr>
      <w:r>
        <w:t>3.1 Exchange-Traded vs OTC</w:t>
      </w:r>
    </w:p>
    <w:p>
      <w:r>
        <w:t>The global derivatives market spans both exchange-traded derivatives (ETD) and over-the-counter (OTC) markets:</w:t>
      </w:r>
    </w:p>
    <w:p>
      <w:pPr>
        <w:pStyle w:val="ListBullet"/>
      </w:pPr>
      <w:r>
        <w:t>ETD markets reached ~205 billion contracts in 2024, dominated by equity options (~86% of volume)</w:t>
      </w:r>
    </w:p>
    <w:p>
      <w:pPr>
        <w:pStyle w:val="ListBullet"/>
      </w:pPr>
      <w:r>
        <w:t>OTC notional outstanding exceeded $700 trillion (end-2024), dominated by interest rate derivatives (~$548T)</w:t>
      </w:r>
    </w:p>
    <w:p>
      <w:pPr>
        <w:pStyle w:val="ListBullet"/>
      </w:pPr>
      <w:r>
        <w:t>Post-2008 regulatory mandates (Dodd-Frank, EMIR) have pushed standardized OTC derivatives toward central clearing, blurring the line between exchange-traded and OTC markets</w:t>
      </w:r>
    </w:p>
    <w:p>
      <w:pPr>
        <w:pStyle w:val="ListBullet"/>
      </w:pPr>
      <w:r>
        <w:t>Major CCPs now clear both ETD and OTC products (e.g., CME Clearing, Eurex Clearing, ASX Clear Futures, LCH)</w:t>
      </w:r>
    </w:p>
    <w:p>
      <w:pPr>
        <w:pStyle w:val="Heading3"/>
      </w:pPr>
      <w:r>
        <w:t>3.2 Trading Mechanisms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Mechanism</w:t>
            </w:r>
          </w:p>
        </w:tc>
        <w:tc>
          <w:tcPr>
            <w:tcW w:type="dxa" w:w="2880"/>
          </w:tcPr>
          <w:p>
            <w:pPr/>
            <w:r>
              <w:rPr>
                <w:b/>
                <w:sz w:val="18"/>
              </w:rPr>
              <w:t>Description</w:t>
            </w:r>
          </w:p>
        </w:tc>
        <w:tc>
          <w:tcPr>
            <w:tcW w:type="dxa" w:w="2880"/>
          </w:tcPr>
          <w:p>
            <w:pPr/>
            <w:r>
              <w:rPr>
                <w:b/>
                <w:sz w:val="18"/>
              </w:rPr>
              <w:t>Examples</w:t>
            </w:r>
          </w:p>
        </w:tc>
      </w:tr>
      <w:tr>
        <w:tc>
          <w:tcPr>
            <w:tcW w:type="dxa" w:w="2880"/>
          </w:tcPr>
          <w:p>
            <w:pPr/>
            <w:r>
              <w:rPr>
                <w:sz w:val="18"/>
              </w:rPr>
              <w:t>**Electronic order book (CLOB)**</w:t>
            </w:r>
          </w:p>
        </w:tc>
        <w:tc>
          <w:tcPr>
            <w:tcW w:type="dxa" w:w="2880"/>
          </w:tcPr>
          <w:p>
            <w:pPr/>
            <w:r>
              <w:rPr>
                <w:sz w:val="18"/>
              </w:rPr>
              <w:t>Continuous matching via price-time priority; dominant mechanism globally</w:t>
            </w:r>
          </w:p>
        </w:tc>
        <w:tc>
          <w:tcPr>
            <w:tcW w:type="dxa" w:w="2880"/>
          </w:tcPr>
          <w:p>
            <w:pPr/>
            <w:r>
              <w:rPr>
                <w:sz w:val="18"/>
              </w:rPr>
              <w:t>CME Globex, Eurex T7, Optiq, SOLA, ASX 24, HKATS, J-GATE, Titan, Cboe Titanium</w:t>
            </w:r>
          </w:p>
        </w:tc>
      </w:tr>
      <w:tr>
        <w:tc>
          <w:tcPr>
            <w:tcW w:type="dxa" w:w="2880"/>
          </w:tcPr>
          <w:p>
            <w:pPr/>
            <w:r>
              <w:rPr>
                <w:sz w:val="18"/>
              </w:rPr>
              <w:t>**Request for Quote (RFQ)**</w:t>
            </w:r>
          </w:p>
        </w:tc>
        <w:tc>
          <w:tcPr>
            <w:tcW w:type="dxa" w:w="2880"/>
          </w:tcPr>
          <w:p>
            <w:pPr/>
            <w:r>
              <w:rPr>
                <w:sz w:val="18"/>
              </w:rPr>
              <w:t>Electronic negotiation for less liquid instruments; market makers provide competitive quotes</w:t>
            </w:r>
          </w:p>
        </w:tc>
        <w:tc>
          <w:tcPr>
            <w:tcW w:type="dxa" w:w="2880"/>
          </w:tcPr>
          <w:p>
            <w:pPr/>
            <w:r>
              <w:rPr>
                <w:sz w:val="18"/>
              </w:rPr>
              <w:t>Eurex EnLight, ICE, HKEX, Cboe AIM</w:t>
            </w:r>
          </w:p>
        </w:tc>
      </w:tr>
      <w:tr>
        <w:tc>
          <w:tcPr>
            <w:tcW w:type="dxa" w:w="2880"/>
          </w:tcPr>
          <w:p>
            <w:pPr/>
            <w:r>
              <w:rPr>
                <w:sz w:val="18"/>
              </w:rPr>
              <w:t>**Block trading / negotiated trades**</w:t>
            </w:r>
          </w:p>
        </w:tc>
        <w:tc>
          <w:tcPr>
            <w:tcW w:type="dxa" w:w="2880"/>
          </w:tcPr>
          <w:p>
            <w:pPr/>
            <w:r>
              <w:rPr>
                <w:sz w:val="18"/>
              </w:rPr>
              <w:t>Off-book large-lot transactions at pre-agreed prices, reported to exchange for clearing</w:t>
            </w:r>
          </w:p>
        </w:tc>
        <w:tc>
          <w:tcPr>
            <w:tcW w:type="dxa" w:w="2880"/>
          </w:tcPr>
          <w:p>
            <w:pPr/>
            <w:r>
              <w:rPr>
                <w:sz w:val="18"/>
              </w:rPr>
              <w:t>All major exchanges (e.g., CME EFP/EFS/EOO, Eurex TES, OSE J-NET, SGX NLT, ASX Custom Market)</w:t>
            </w:r>
          </w:p>
        </w:tc>
      </w:tr>
      <w:tr>
        <w:tc>
          <w:tcPr>
            <w:tcW w:type="dxa" w:w="2880"/>
          </w:tcPr>
          <w:p>
            <w:pPr/>
            <w:r>
              <w:rPr>
                <w:sz w:val="18"/>
              </w:rPr>
              <w:t>**Trade at Marker (TAM)**</w:t>
            </w:r>
          </w:p>
        </w:tc>
        <w:tc>
          <w:tcPr>
            <w:tcW w:type="dxa" w:w="2880"/>
          </w:tcPr>
          <w:p>
            <w:pPr/>
            <w:r>
              <w:rPr>
                <w:sz w:val="18"/>
              </w:rPr>
              <w:t>Execution at a published daily marker price</w:t>
            </w:r>
          </w:p>
        </w:tc>
        <w:tc>
          <w:tcPr>
            <w:tcW w:type="dxa" w:w="2880"/>
          </w:tcPr>
          <w:p>
            <w:pPr/>
            <w:r>
              <w:rPr>
                <w:sz w:val="18"/>
              </w:rPr>
              <w:t>DME/GME (Oman Marker Price)</w:t>
            </w:r>
          </w:p>
        </w:tc>
      </w:tr>
    </w:tbl>
    <w:p/>
    <w:p>
      <w:pPr>
        <w:pStyle w:val="Heading3"/>
      </w:pPr>
      <w:r>
        <w:t>3.3 Market Participants</w:t>
      </w:r>
    </w:p>
    <w:p>
      <w:pPr>
        <w:pStyle w:val="ListBullet"/>
      </w:pPr>
      <w:r>
        <w:t>Hedgers: Commercial entities managing commodity, interest rate, FX, and equity risk</w:t>
      </w:r>
    </w:p>
    <w:p>
      <w:pPr>
        <w:pStyle w:val="ListBullet"/>
      </w:pPr>
      <w:r>
        <w:t>Speculators: Including retail investors (particularly dominant in India's options market), hedge funds, and proprietary firms</w:t>
      </w:r>
    </w:p>
    <w:p>
      <w:pPr>
        <w:pStyle w:val="ListBullet"/>
      </w:pPr>
      <w:r>
        <w:t>Arbitrageurs: Exploiting price discrepancies across related contracts and venues</w:t>
      </w:r>
    </w:p>
    <w:p>
      <w:pPr>
        <w:pStyle w:val="ListBullet"/>
      </w:pPr>
      <w:r>
        <w:t>Proprietary trading firms / HFT: High-speed algorithmic market makers providing liquidity</w:t>
      </w:r>
    </w:p>
    <w:p>
      <w:pPr>
        <w:pStyle w:val="ListBullet"/>
      </w:pPr>
      <w:r>
        <w:t>Market makers: Exchange-designated liquidity providers with quoting obligations and incentives</w:t>
      </w:r>
    </w:p>
    <w:p>
      <w:r>
        <w:t>────────────────────────────────────────────────────────────</w:t>
      </w:r>
    </w:p>
    <w:p>
      <w:pPr>
        <w:pStyle w:val="Heading2"/>
      </w:pPr>
      <w:r>
        <w:t>4. Margin &amp; Risk Framework</w:t>
      </w:r>
    </w:p>
    <w:p>
      <w:r>
        <w:t>Global derivatives exchanges employ several margin methodologies, with a clear industry-wide trend from scenario-based (SPAN) to VaR-based approaches: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Methodology</w:t>
            </w:r>
          </w:p>
        </w:tc>
        <w:tc>
          <w:tcPr>
            <w:tcW w:type="dxa" w:w="2160"/>
          </w:tcPr>
          <w:p>
            <w:pPr/>
            <w:r>
              <w:rPr>
                <w:b/>
                <w:sz w:val="18"/>
              </w:rPr>
              <w:t>Type</w:t>
            </w:r>
          </w:p>
        </w:tc>
        <w:tc>
          <w:tcPr>
            <w:tcW w:type="dxa" w:w="2160"/>
          </w:tcPr>
          <w:p>
            <w:pPr/>
            <w:r>
              <w:rPr>
                <w:b/>
                <w:sz w:val="18"/>
              </w:rPr>
              <w:t>Key Exchanges/CCPs</w:t>
            </w:r>
          </w:p>
        </w:tc>
        <w:tc>
          <w:tcPr>
            <w:tcW w:type="dxa" w:w="2160"/>
          </w:tcPr>
          <w:p>
            <w:pPr/>
            <w:r>
              <w:rPr>
                <w:b/>
                <w:sz w:val="18"/>
              </w:rPr>
              <w:t>Status</w:t>
            </w:r>
          </w:p>
        </w:tc>
      </w:tr>
      <w:tr>
        <w:tc>
          <w:tcPr>
            <w:tcW w:type="dxa" w:w="2160"/>
          </w:tcPr>
          <w:p>
            <w:pPr/>
            <w:r>
              <w:rPr>
                <w:sz w:val="18"/>
              </w:rPr>
              <w:t>**SPAN (original)**</w:t>
            </w:r>
          </w:p>
        </w:tc>
        <w:tc>
          <w:tcPr>
            <w:tcW w:type="dxa" w:w="2160"/>
          </w:tcPr>
          <w:p>
            <w:pPr/>
            <w:r>
              <w:rPr>
                <w:sz w:val="18"/>
              </w:rPr>
              <w:t>Scenario-based (16 scenarios)</w:t>
            </w:r>
          </w:p>
        </w:tc>
        <w:tc>
          <w:tcPr>
            <w:tcW w:type="dxa" w:w="2160"/>
          </w:tcPr>
          <w:p>
            <w:pPr/>
            <w:r>
              <w:rPr>
                <w:sz w:val="18"/>
              </w:rPr>
              <w:t>TAIFEX, CDCC (Montreal), HKCC (PRiME), many smaller exchanges</w:t>
            </w:r>
          </w:p>
        </w:tc>
        <w:tc>
          <w:tcPr>
            <w:tcW w:type="dxa" w:w="2160"/>
          </w:tcPr>
          <w:p>
            <w:pPr/>
            <w:r>
              <w:rPr>
                <w:sz w:val="18"/>
              </w:rPr>
              <w:t>Legacy; being phased out at major exchanges</w:t>
            </w:r>
          </w:p>
        </w:tc>
      </w:tr>
      <w:tr>
        <w:tc>
          <w:tcPr>
            <w:tcW w:type="dxa" w:w="2160"/>
          </w:tcPr>
          <w:p>
            <w:pPr/>
            <w:r>
              <w:rPr>
                <w:sz w:val="18"/>
              </w:rPr>
              <w:t>**SPAN 2**</w:t>
            </w:r>
          </w:p>
        </w:tc>
        <w:tc>
          <w:tcPr>
            <w:tcW w:type="dxa" w:w="2160"/>
          </w:tcPr>
          <w:p>
            <w:pPr/>
            <w:r>
              <w:rPr>
                <w:sz w:val="18"/>
              </w:rPr>
              <w:t>HVaR-based (thousands of scenarios)</w:t>
            </w:r>
          </w:p>
        </w:tc>
        <w:tc>
          <w:tcPr>
            <w:tcW w:type="dxa" w:w="2160"/>
          </w:tcPr>
          <w:p>
            <w:pPr/>
            <w:r>
              <w:rPr>
                <w:sz w:val="18"/>
              </w:rPr>
              <w:t>CME Clearing</w:t>
            </w:r>
          </w:p>
        </w:tc>
        <w:tc>
          <w:tcPr>
            <w:tcW w:type="dxa" w:w="2160"/>
          </w:tcPr>
          <w:p>
            <w:pPr/>
            <w:r>
              <w:rPr>
                <w:sz w:val="18"/>
              </w:rPr>
              <w:t>Energy products migrated 2023; broader rollout ongoing</w:t>
            </w:r>
          </w:p>
        </w:tc>
      </w:tr>
      <w:tr>
        <w:tc>
          <w:tcPr>
            <w:tcW w:type="dxa" w:w="2160"/>
          </w:tcPr>
          <w:p>
            <w:pPr/>
            <w:r>
              <w:rPr>
                <w:sz w:val="18"/>
              </w:rPr>
              <w:t>**Prisma**</w:t>
            </w:r>
          </w:p>
        </w:tc>
        <w:tc>
          <w:tcPr>
            <w:tcW w:type="dxa" w:w="2160"/>
          </w:tcPr>
          <w:p>
            <w:pPr/>
            <w:r>
              <w:rPr>
                <w:sz w:val="18"/>
              </w:rPr>
              <w:t>Filtered Historical Simulation VaR</w:t>
            </w:r>
          </w:p>
        </w:tc>
        <w:tc>
          <w:tcPr>
            <w:tcW w:type="dxa" w:w="2160"/>
          </w:tcPr>
          <w:p>
            <w:pPr/>
            <w:r>
              <w:rPr>
                <w:sz w:val="18"/>
              </w:rPr>
              <w:t>Eurex Clearing</w:t>
            </w:r>
          </w:p>
        </w:tc>
        <w:tc>
          <w:tcPr>
            <w:tcW w:type="dxa" w:w="2160"/>
          </w:tcPr>
          <w:p>
            <w:pPr/>
            <w:r>
              <w:rPr>
                <w:sz w:val="18"/>
              </w:rPr>
              <w:t>In production since 2013; first CCP to apply VaR to financial futures</w:t>
            </w:r>
          </w:p>
        </w:tc>
      </w:tr>
      <w:tr>
        <w:tc>
          <w:tcPr>
            <w:tcW w:type="dxa" w:w="2160"/>
          </w:tcPr>
          <w:p>
            <w:pPr/>
            <w:r>
              <w:rPr>
                <w:sz w:val="18"/>
              </w:rPr>
              <w:t>**ICE Risk Model 2 (IRM 2)**</w:t>
            </w:r>
          </w:p>
        </w:tc>
        <w:tc>
          <w:tcPr>
            <w:tcW w:type="dxa" w:w="2160"/>
          </w:tcPr>
          <w:p>
            <w:pPr/>
            <w:r>
              <w:rPr>
                <w:sz w:val="18"/>
              </w:rPr>
              <w:t>Filtered Historical Simulation VaR</w:t>
            </w:r>
          </w:p>
        </w:tc>
        <w:tc>
          <w:tcPr>
            <w:tcW w:type="dxa" w:w="2160"/>
          </w:tcPr>
          <w:p>
            <w:pPr/>
            <w:r>
              <w:rPr>
                <w:sz w:val="18"/>
              </w:rPr>
              <w:t>ICE Clear</w:t>
            </w:r>
          </w:p>
        </w:tc>
        <w:tc>
          <w:tcPr>
            <w:tcW w:type="dxa" w:w="2160"/>
          </w:tcPr>
          <w:p>
            <w:pPr/>
            <w:r>
              <w:rPr>
                <w:sz w:val="18"/>
              </w:rPr>
              <w:t>Launched 2024-2025, replacing legacy IRM</w:t>
            </w:r>
          </w:p>
        </w:tc>
      </w:tr>
      <w:tr>
        <w:tc>
          <w:tcPr>
            <w:tcW w:type="dxa" w:w="2160"/>
          </w:tcPr>
          <w:p>
            <w:pPr/>
            <w:r>
              <w:rPr>
                <w:sz w:val="18"/>
              </w:rPr>
              <w:t>**Euronext Clearing**</w:t>
            </w:r>
          </w:p>
        </w:tc>
        <w:tc>
          <w:tcPr>
            <w:tcW w:type="dxa" w:w="2160"/>
          </w:tcPr>
          <w:p>
            <w:pPr/>
            <w:r>
              <w:rPr>
                <w:sz w:val="18"/>
              </w:rPr>
              <w:t>VaR-based</w:t>
            </w:r>
          </w:p>
        </w:tc>
        <w:tc>
          <w:tcPr>
            <w:tcW w:type="dxa" w:w="2160"/>
          </w:tcPr>
          <w:p>
            <w:pPr/>
            <w:r>
              <w:rPr>
                <w:sz w:val="18"/>
              </w:rPr>
              <w:t>Euronext Clearing (formerly CC&amp;G)</w:t>
            </w:r>
          </w:p>
        </w:tc>
        <w:tc>
          <w:tcPr>
            <w:tcW w:type="dxa" w:w="2160"/>
          </w:tcPr>
          <w:p>
            <w:pPr/>
            <w:r>
              <w:rPr>
                <w:sz w:val="18"/>
              </w:rPr>
              <w:t>Expanded to all Euronext financial derivatives Sept 2024</w:t>
            </w:r>
          </w:p>
        </w:tc>
      </w:tr>
      <w:tr>
        <w:tc>
          <w:tcPr>
            <w:tcW w:type="dxa" w:w="2160"/>
          </w:tcPr>
          <w:p>
            <w:pPr/>
            <w:r>
              <w:rPr>
                <w:sz w:val="18"/>
              </w:rPr>
              <w:t>**Fixed-percentage**</w:t>
            </w:r>
          </w:p>
        </w:tc>
        <w:tc>
          <w:tcPr>
            <w:tcW w:type="dxa" w:w="2160"/>
          </w:tcPr>
          <w:p>
            <w:pPr/>
            <w:r>
              <w:rPr>
                <w:sz w:val="18"/>
              </w:rPr>
              <w:t>Percentage of contract value</w:t>
            </w:r>
          </w:p>
        </w:tc>
        <w:tc>
          <w:tcPr>
            <w:tcW w:type="dxa" w:w="2160"/>
          </w:tcPr>
          <w:p>
            <w:pPr/>
            <w:r>
              <w:rPr>
                <w:sz w:val="18"/>
              </w:rPr>
              <w:t>CFFEX, DCE, SHFE (China)</w:t>
            </w:r>
          </w:p>
        </w:tc>
        <w:tc>
          <w:tcPr>
            <w:tcW w:type="dxa" w:w="2160"/>
          </w:tcPr>
          <w:p>
            <w:pPr/>
            <w:r>
              <w:rPr>
                <w:sz w:val="18"/>
              </w:rPr>
              <w:t>Chinese exchanges use fixed-percentage margins with regulatory discretion to adjust</w:t>
            </w:r>
          </w:p>
        </w:tc>
      </w:tr>
      <w:tr>
        <w:tc>
          <w:tcPr>
            <w:tcW w:type="dxa" w:w="2160"/>
          </w:tcPr>
          <w:p>
            <w:pPr/>
            <w:r>
              <w:rPr>
                <w:sz w:val="18"/>
              </w:rPr>
              <w:t>**SEBI Peak Margin**</w:t>
            </w:r>
          </w:p>
        </w:tc>
        <w:tc>
          <w:tcPr>
            <w:tcW w:type="dxa" w:w="2160"/>
          </w:tcPr>
          <w:p>
            <w:pPr/>
            <w:r>
              <w:rPr>
                <w:sz w:val="18"/>
              </w:rPr>
              <w:t>Upfront 100% margin</w:t>
            </w:r>
          </w:p>
        </w:tc>
        <w:tc>
          <w:tcPr>
            <w:tcW w:type="dxa" w:w="2160"/>
          </w:tcPr>
          <w:p>
            <w:pPr/>
            <w:r>
              <w:rPr>
                <w:sz w:val="18"/>
              </w:rPr>
              <w:t>NSE (India)</w:t>
            </w:r>
          </w:p>
        </w:tc>
        <w:tc>
          <w:tcPr>
            <w:tcW w:type="dxa" w:w="2160"/>
          </w:tcPr>
          <w:p>
            <w:pPr/>
            <w:r>
              <w:rPr>
                <w:sz w:val="18"/>
              </w:rPr>
              <w:t>Implemented 2021; additional ELM on expiry day from Nov 2024</w:t>
            </w:r>
          </w:p>
        </w:tc>
      </w:tr>
      <w:tr>
        <w:tc>
          <w:tcPr>
            <w:tcW w:type="dxa" w:w="2160"/>
          </w:tcPr>
          <w:p>
            <w:pPr/>
            <w:r>
              <w:rPr>
                <w:sz w:val="18"/>
              </w:rPr>
              <w:t>**KRX-SPAN**</w:t>
            </w:r>
          </w:p>
        </w:tc>
        <w:tc>
          <w:tcPr>
            <w:tcW w:type="dxa" w:w="2160"/>
          </w:tcPr>
          <w:p>
            <w:pPr/>
            <w:r>
              <w:rPr>
                <w:sz w:val="18"/>
              </w:rPr>
              <w:t>Scenario-based (modified SPAN)</w:t>
            </w:r>
          </w:p>
        </w:tc>
        <w:tc>
          <w:tcPr>
            <w:tcW w:type="dxa" w:w="2160"/>
          </w:tcPr>
          <w:p>
            <w:pPr/>
            <w:r>
              <w:rPr>
                <w:sz w:val="18"/>
              </w:rPr>
              <w:t>KRX</w:t>
            </w:r>
          </w:p>
        </w:tc>
        <w:tc>
          <w:tcPr>
            <w:tcW w:type="dxa" w:w="2160"/>
          </w:tcPr>
          <w:p>
            <w:pPr/>
            <w:r>
              <w:rPr>
                <w:sz w:val="18"/>
              </w:rPr>
              <w:t>Active; evaluation of VaR-based migration underway</w:t>
            </w:r>
          </w:p>
        </w:tc>
      </w:tr>
    </w:tbl>
    <w:p/>
    <w:p>
      <w:r>
        <w:t>Key Observations:</w:t>
      </w:r>
    </w:p>
    <w:p>
      <w:pPr>
        <w:pStyle w:val="ListBullet"/>
      </w:pPr>
      <w:r>
        <w:t>The industry is converging toward VaR-based methodologies (SPAN 2, Prisma, IRM 2) that use historical simulation with thousands of scenarios, replacing SPAN's fixed 16-scenario framework</w:t>
      </w:r>
    </w:p>
    <w:p>
      <w:pPr>
        <w:pStyle w:val="ListBullet"/>
      </w:pPr>
      <w:r>
        <w:t>Chinese exchanges (CFFEX, DCE, SHFE) remain on fixed-percentage systems with extensive regulatory discretion to adjust margins during volatile periods or holidays</w:t>
      </w:r>
    </w:p>
    <w:p>
      <w:pPr>
        <w:pStyle w:val="ListBullet"/>
      </w:pPr>
      <w:r>
        <w:t>Cross-margining across products is increasingly available at CME, Eurex, and other multi-asset CCPs</w:t>
      </w:r>
    </w:p>
    <w:p>
      <w:pPr>
        <w:pStyle w:val="ListBullet"/>
      </w:pPr>
      <w:r>
        <w:t>Anti-procyclicality measures (stress VaR floors, volatility buffers) are now standard at major CCPs</w:t>
      </w:r>
    </w:p>
    <w:p>
      <w:r>
        <w:t>────────────────────────────────────────────────────────────</w:t>
      </w:r>
    </w:p>
    <w:p>
      <w:pPr>
        <w:pStyle w:val="Heading2"/>
      </w:pPr>
      <w:r>
        <w:t>5. Regulatory Landscape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Jurisdiction</w:t>
            </w:r>
          </w:p>
        </w:tc>
        <w:tc>
          <w:tcPr>
            <w:tcW w:type="dxa" w:w="2160"/>
          </w:tcPr>
          <w:p>
            <w:pPr/>
            <w:r>
              <w:rPr>
                <w:b/>
                <w:sz w:val="18"/>
              </w:rPr>
              <w:t>Key Regulation</w:t>
            </w:r>
          </w:p>
        </w:tc>
        <w:tc>
          <w:tcPr>
            <w:tcW w:type="dxa" w:w="2160"/>
          </w:tcPr>
          <w:p>
            <w:pPr/>
            <w:r>
              <w:rPr>
                <w:b/>
                <w:sz w:val="18"/>
              </w:rPr>
              <w:t>Regulator</w:t>
            </w:r>
          </w:p>
        </w:tc>
        <w:tc>
          <w:tcPr>
            <w:tcW w:type="dxa" w:w="2160"/>
          </w:tcPr>
          <w:p>
            <w:pPr/>
            <w:r>
              <w:rPr>
                <w:b/>
                <w:sz w:val="18"/>
              </w:rPr>
              <w:t>Scope</w:t>
            </w:r>
          </w:p>
        </w:tc>
      </w:tr>
      <w:tr>
        <w:tc>
          <w:tcPr>
            <w:tcW w:type="dxa" w:w="2160"/>
          </w:tcPr>
          <w:p>
            <w:pPr/>
            <w:r>
              <w:rPr>
                <w:sz w:val="18"/>
              </w:rPr>
              <w:t>**United States**</w:t>
            </w:r>
          </w:p>
        </w:tc>
        <w:tc>
          <w:tcPr>
            <w:tcW w:type="dxa" w:w="2160"/>
          </w:tcPr>
          <w:p>
            <w:pPr/>
            <w:r>
              <w:rPr>
                <w:sz w:val="18"/>
              </w:rPr>
              <w:t>Dodd-Frank Act (2010)</w:t>
            </w:r>
          </w:p>
        </w:tc>
        <w:tc>
          <w:tcPr>
            <w:tcW w:type="dxa" w:w="2160"/>
          </w:tcPr>
          <w:p>
            <w:pPr/>
            <w:r>
              <w:rPr>
                <w:sz w:val="18"/>
              </w:rPr>
              <w:t>CFTC, SEC</w:t>
            </w:r>
          </w:p>
        </w:tc>
        <w:tc>
          <w:tcPr>
            <w:tcW w:type="dxa" w:w="2160"/>
          </w:tcPr>
          <w:p>
            <w:pPr/>
            <w:r>
              <w:rPr>
                <w:sz w:val="18"/>
              </w:rPr>
              <w:t>Central clearing mandates for standardized swaps; position limits; DCM/DCO registration; SIFMU designation for systemically important CCPs</w:t>
            </w:r>
          </w:p>
        </w:tc>
      </w:tr>
      <w:tr>
        <w:tc>
          <w:tcPr>
            <w:tcW w:type="dxa" w:w="2160"/>
          </w:tcPr>
          <w:p>
            <w:pPr/>
            <w:r>
              <w:rPr>
                <w:sz w:val="18"/>
              </w:rPr>
              <w:t>**European Union**</w:t>
            </w:r>
          </w:p>
        </w:tc>
        <w:tc>
          <w:tcPr>
            <w:tcW w:type="dxa" w:w="2160"/>
          </w:tcPr>
          <w:p>
            <w:pPr/>
            <w:r>
              <w:rPr>
                <w:sz w:val="18"/>
              </w:rPr>
              <w:t>EMIR (2012, amended), MiFID II/MiFIR (2018)</w:t>
            </w:r>
          </w:p>
        </w:tc>
        <w:tc>
          <w:tcPr>
            <w:tcW w:type="dxa" w:w="2160"/>
          </w:tcPr>
          <w:p>
            <w:pPr/>
            <w:r>
              <w:rPr>
                <w:sz w:val="18"/>
              </w:rPr>
              <w:t>ESMA, national NCAs</w:t>
            </w:r>
          </w:p>
        </w:tc>
        <w:tc>
          <w:tcPr>
            <w:tcW w:type="dxa" w:w="2160"/>
          </w:tcPr>
          <w:p>
            <w:pPr/>
            <w:r>
              <w:rPr>
                <w:sz w:val="18"/>
              </w:rPr>
              <w:t>CCP authorization; clearing obligations; position limits and reporting; MiFIR Refit (2024) introducing consolidated tape, single volume cap</w:t>
            </w:r>
          </w:p>
        </w:tc>
      </w:tr>
      <w:tr>
        <w:tc>
          <w:tcPr>
            <w:tcW w:type="dxa" w:w="2160"/>
          </w:tcPr>
          <w:p>
            <w:pPr/>
            <w:r>
              <w:rPr>
                <w:sz w:val="18"/>
              </w:rPr>
              <w:t>**United Kingdom**</w:t>
            </w:r>
          </w:p>
        </w:tc>
        <w:tc>
          <w:tcPr>
            <w:tcW w:type="dxa" w:w="2160"/>
          </w:tcPr>
          <w:p>
            <w:pPr/>
            <w:r>
              <w:rPr>
                <w:sz w:val="18"/>
              </w:rPr>
              <w:t>UK EMIR, UK MiFID II (post-Brexit)</w:t>
            </w:r>
          </w:p>
        </w:tc>
        <w:tc>
          <w:tcPr>
            <w:tcW w:type="dxa" w:w="2160"/>
          </w:tcPr>
          <w:p>
            <w:pPr/>
            <w:r>
              <w:rPr>
                <w:sz w:val="18"/>
              </w:rPr>
              <w:t>FCA, Bank of England</w:t>
            </w:r>
          </w:p>
        </w:tc>
        <w:tc>
          <w:tcPr>
            <w:tcW w:type="dxa" w:w="2160"/>
          </w:tcPr>
          <w:p>
            <w:pPr/>
            <w:r>
              <w:rPr>
                <w:sz w:val="18"/>
              </w:rPr>
              <w:t>Parallel regime to EU; independent CCP supervision</w:t>
            </w:r>
          </w:p>
        </w:tc>
      </w:tr>
      <w:tr>
        <w:tc>
          <w:tcPr>
            <w:tcW w:type="dxa" w:w="2160"/>
          </w:tcPr>
          <w:p>
            <w:pPr/>
            <w:r>
              <w:rPr>
                <w:sz w:val="18"/>
              </w:rPr>
              <w:t>**China**</w:t>
            </w:r>
          </w:p>
        </w:tc>
        <w:tc>
          <w:tcPr>
            <w:tcW w:type="dxa" w:w="2160"/>
          </w:tcPr>
          <w:p>
            <w:pPr/>
            <w:r>
              <w:rPr>
                <w:sz w:val="18"/>
              </w:rPr>
              <w:t>Futures and Derivatives Law (2022), State Council Regulations</w:t>
            </w:r>
          </w:p>
        </w:tc>
        <w:tc>
          <w:tcPr>
            <w:tcW w:type="dxa" w:w="2160"/>
          </w:tcPr>
          <w:p>
            <w:pPr/>
            <w:r>
              <w:rPr>
                <w:sz w:val="18"/>
              </w:rPr>
              <w:t>CSRC</w:t>
            </w:r>
          </w:p>
        </w:tc>
        <w:tc>
          <w:tcPr>
            <w:tcW w:type="dxa" w:w="2160"/>
          </w:tcPr>
          <w:p>
            <w:pPr/>
            <w:r>
              <w:rPr>
                <w:sz w:val="18"/>
              </w:rPr>
              <w:t>Comprehensive legal framework; QFI access for foreign investors; strict position limits and margin controls</w:t>
            </w:r>
          </w:p>
        </w:tc>
      </w:tr>
      <w:tr>
        <w:tc>
          <w:tcPr>
            <w:tcW w:type="dxa" w:w="2160"/>
          </w:tcPr>
          <w:p>
            <w:pPr/>
            <w:r>
              <w:rPr>
                <w:sz w:val="18"/>
              </w:rPr>
              <w:t>**India**</w:t>
            </w:r>
          </w:p>
        </w:tc>
        <w:tc>
          <w:tcPr>
            <w:tcW w:type="dxa" w:w="2160"/>
          </w:tcPr>
          <w:p>
            <w:pPr/>
            <w:r>
              <w:rPr>
                <w:sz w:val="18"/>
              </w:rPr>
              <w:t>SEBI Act, SEBI F&amp;O Regulations</w:t>
            </w:r>
          </w:p>
        </w:tc>
        <w:tc>
          <w:tcPr>
            <w:tcW w:type="dxa" w:w="2160"/>
          </w:tcPr>
          <w:p>
            <w:pPr/>
            <w:r>
              <w:rPr>
                <w:sz w:val="18"/>
              </w:rPr>
              <w:t>SEBI</w:t>
            </w:r>
          </w:p>
        </w:tc>
        <w:tc>
          <w:tcPr>
            <w:tcW w:type="dxa" w:w="2160"/>
          </w:tcPr>
          <w:p>
            <w:pPr/>
            <w:r>
              <w:rPr>
                <w:sz w:val="18"/>
              </w:rPr>
              <w:t>Six-point F&amp;O reform package (Oct 2024); weekly expiry restrictions; peak margin rules; 93% retail loss study</w:t>
            </w:r>
          </w:p>
        </w:tc>
      </w:tr>
      <w:tr>
        <w:tc>
          <w:tcPr>
            <w:tcW w:type="dxa" w:w="2160"/>
          </w:tcPr>
          <w:p>
            <w:pPr/>
            <w:r>
              <w:rPr>
                <w:sz w:val="18"/>
              </w:rPr>
              <w:t>**Japan**</w:t>
            </w:r>
          </w:p>
        </w:tc>
        <w:tc>
          <w:tcPr>
            <w:tcW w:type="dxa" w:w="2160"/>
          </w:tcPr>
          <w:p>
            <w:pPr/>
            <w:r>
              <w:rPr>
                <w:sz w:val="18"/>
              </w:rPr>
              <w:t>Financial Instruments and Exchange Act (FIEA)</w:t>
            </w:r>
          </w:p>
        </w:tc>
        <w:tc>
          <w:tcPr>
            <w:tcW w:type="dxa" w:w="2160"/>
          </w:tcPr>
          <w:p>
            <w:pPr/>
            <w:r>
              <w:rPr>
                <w:sz w:val="18"/>
              </w:rPr>
              <w:t>JFSA, SESC</w:t>
            </w:r>
          </w:p>
        </w:tc>
        <w:tc>
          <w:tcPr>
            <w:tcW w:type="dxa" w:w="2160"/>
          </w:tcPr>
          <w:p>
            <w:pPr/>
            <w:r>
              <w:rPr>
                <w:sz w:val="18"/>
              </w:rPr>
              <w:t>Exchange consolidation under JPX; BOJ rate normalization driving TONA futures growth</w:t>
            </w:r>
          </w:p>
        </w:tc>
      </w:tr>
      <w:tr>
        <w:tc>
          <w:tcPr>
            <w:tcW w:type="dxa" w:w="2160"/>
          </w:tcPr>
          <w:p>
            <w:pPr/>
            <w:r>
              <w:rPr>
                <w:sz w:val="18"/>
              </w:rPr>
              <w:t>**Singapore**</w:t>
            </w:r>
          </w:p>
        </w:tc>
        <w:tc>
          <w:tcPr>
            <w:tcW w:type="dxa" w:w="2160"/>
          </w:tcPr>
          <w:p>
            <w:pPr/>
            <w:r>
              <w:rPr>
                <w:sz w:val="18"/>
              </w:rPr>
              <w:t>Securities and Futures Act (SFA)</w:t>
            </w:r>
          </w:p>
        </w:tc>
        <w:tc>
          <w:tcPr>
            <w:tcW w:type="dxa" w:w="2160"/>
          </w:tcPr>
          <w:p>
            <w:pPr/>
            <w:r>
              <w:rPr>
                <w:sz w:val="18"/>
              </w:rPr>
              <w:t>MAS</w:t>
            </w:r>
          </w:p>
        </w:tc>
        <w:tc>
          <w:tcPr>
            <w:tcW w:type="dxa" w:w="2160"/>
          </w:tcPr>
          <w:p>
            <w:pPr/>
            <w:r>
              <w:rPr>
                <w:sz w:val="18"/>
              </w:rPr>
              <w:t>International hub; mutual offset with CME; GIFT Connect with NSE IX</w:t>
            </w:r>
          </w:p>
        </w:tc>
      </w:tr>
      <w:tr>
        <w:tc>
          <w:tcPr>
            <w:tcW w:type="dxa" w:w="2160"/>
          </w:tcPr>
          <w:p>
            <w:pPr/>
            <w:r>
              <w:rPr>
                <w:sz w:val="18"/>
              </w:rPr>
              <w:t>**Hong Kong**</w:t>
            </w:r>
          </w:p>
        </w:tc>
        <w:tc>
          <w:tcPr>
            <w:tcW w:type="dxa" w:w="2160"/>
          </w:tcPr>
          <w:p>
            <w:pPr/>
            <w:r>
              <w:rPr>
                <w:sz w:val="18"/>
              </w:rPr>
              <w:t>Securities and Futures Ordinance</w:t>
            </w:r>
          </w:p>
        </w:tc>
        <w:tc>
          <w:tcPr>
            <w:tcW w:type="dxa" w:w="2160"/>
          </w:tcPr>
          <w:p>
            <w:pPr/>
            <w:r>
              <w:rPr>
                <w:sz w:val="18"/>
              </w:rPr>
              <w:t>SFC</w:t>
            </w:r>
          </w:p>
        </w:tc>
        <w:tc>
          <w:tcPr>
            <w:tcW w:type="dxa" w:w="2160"/>
          </w:tcPr>
          <w:p>
            <w:pPr/>
            <w:r>
              <w:rPr>
                <w:sz w:val="18"/>
              </w:rPr>
              <w:t>Swap Connect (2023); Stock Connect extension; dual CCP (HKCC/SEOCH)</w:t>
            </w:r>
          </w:p>
        </w:tc>
      </w:tr>
      <w:tr>
        <w:tc>
          <w:tcPr>
            <w:tcW w:type="dxa" w:w="2160"/>
          </w:tcPr>
          <w:p>
            <w:pPr/>
            <w:r>
              <w:rPr>
                <w:sz w:val="18"/>
              </w:rPr>
              <w:t>**Australia**</w:t>
            </w:r>
          </w:p>
        </w:tc>
        <w:tc>
          <w:tcPr>
            <w:tcW w:type="dxa" w:w="2160"/>
          </w:tcPr>
          <w:p>
            <w:pPr/>
            <w:r>
              <w:rPr>
                <w:sz w:val="18"/>
              </w:rPr>
              <w:t>Corporations Act, ASIC Market Integrity Rules</w:t>
            </w:r>
          </w:p>
        </w:tc>
        <w:tc>
          <w:tcPr>
            <w:tcW w:type="dxa" w:w="2160"/>
          </w:tcPr>
          <w:p>
            <w:pPr/>
            <w:r>
              <w:rPr>
                <w:sz w:val="18"/>
              </w:rPr>
              <w:t>ASIC, RBA</w:t>
            </w:r>
          </w:p>
        </w:tc>
        <w:tc>
          <w:tcPr>
            <w:tcW w:type="dxa" w:w="2160"/>
          </w:tcPr>
          <w:p>
            <w:pPr/>
            <w:r>
              <w:rPr>
                <w:sz w:val="18"/>
              </w:rPr>
              <w:t>OTC clearing mandates; ASX vertically integrated model; CHESS replacement ongoing</w:t>
            </w:r>
          </w:p>
        </w:tc>
      </w:tr>
      <w:tr>
        <w:tc>
          <w:tcPr>
            <w:tcW w:type="dxa" w:w="2160"/>
          </w:tcPr>
          <w:p>
            <w:pPr/>
            <w:r>
              <w:rPr>
                <w:sz w:val="18"/>
              </w:rPr>
              <w:t>**Taiwan**</w:t>
            </w:r>
          </w:p>
        </w:tc>
        <w:tc>
          <w:tcPr>
            <w:tcW w:type="dxa" w:w="2160"/>
          </w:tcPr>
          <w:p>
            <w:pPr/>
            <w:r>
              <w:rPr>
                <w:sz w:val="18"/>
              </w:rPr>
              <w:t>Futures Trading Law (1997)</w:t>
            </w:r>
          </w:p>
        </w:tc>
        <w:tc>
          <w:tcPr>
            <w:tcW w:type="dxa" w:w="2160"/>
          </w:tcPr>
          <w:p>
            <w:pPr/>
            <w:r>
              <w:rPr>
                <w:sz w:val="18"/>
              </w:rPr>
              <w:t>FSC</w:t>
            </w:r>
          </w:p>
        </w:tc>
        <w:tc>
          <w:tcPr>
            <w:tcW w:type="dxa" w:w="2160"/>
          </w:tcPr>
          <w:p>
            <w:pPr/>
            <w:r>
              <w:rPr>
                <w:sz w:val="18"/>
              </w:rPr>
              <w:t>TAIFEX as sole domestic derivatives exchange; QCCP designation (2020)</w:t>
            </w:r>
          </w:p>
        </w:tc>
      </w:tr>
      <w:tr>
        <w:tc>
          <w:tcPr>
            <w:tcW w:type="dxa" w:w="2160"/>
          </w:tcPr>
          <w:p>
            <w:pPr/>
            <w:r>
              <w:rPr>
                <w:sz w:val="18"/>
              </w:rPr>
              <w:t>**Canada**</w:t>
            </w:r>
          </w:p>
        </w:tc>
        <w:tc>
          <w:tcPr>
            <w:tcW w:type="dxa" w:w="2160"/>
          </w:tcPr>
          <w:p>
            <w:pPr/>
            <w:r>
              <w:rPr>
                <w:sz w:val="18"/>
              </w:rPr>
              <w:t>Derivatives Act (Quebec), provincial securities acts</w:t>
            </w:r>
          </w:p>
        </w:tc>
        <w:tc>
          <w:tcPr>
            <w:tcW w:type="dxa" w:w="2160"/>
          </w:tcPr>
          <w:p>
            <w:pPr/>
            <w:r>
              <w:rPr>
                <w:sz w:val="18"/>
              </w:rPr>
              <w:t>AMF, CIRO, Bank of Canada</w:t>
            </w:r>
          </w:p>
        </w:tc>
        <w:tc>
          <w:tcPr>
            <w:tcW w:type="dxa" w:w="2160"/>
          </w:tcPr>
          <w:p>
            <w:pPr/>
            <w:r>
              <w:rPr>
                <w:sz w:val="18"/>
              </w:rPr>
              <w:t>MX/CDCC as systemically important FMI; T+1 settlement (May 2024); CDOR cessation</w:t>
            </w:r>
          </w:p>
        </w:tc>
      </w:tr>
      <w:tr>
        <w:tc>
          <w:tcPr>
            <w:tcW w:type="dxa" w:w="2160"/>
          </w:tcPr>
          <w:p>
            <w:pPr/>
            <w:r>
              <w:rPr>
                <w:sz w:val="18"/>
              </w:rPr>
              <w:t>**UAE (DIFC)**</w:t>
            </w:r>
          </w:p>
        </w:tc>
        <w:tc>
          <w:tcPr>
            <w:tcW w:type="dxa" w:w="2160"/>
          </w:tcPr>
          <w:p>
            <w:pPr/>
            <w:r>
              <w:rPr>
                <w:sz w:val="18"/>
              </w:rPr>
              <w:t>DIFC Markets Law</w:t>
            </w:r>
          </w:p>
        </w:tc>
        <w:tc>
          <w:tcPr>
            <w:tcW w:type="dxa" w:w="2160"/>
          </w:tcPr>
          <w:p>
            <w:pPr/>
            <w:r>
              <w:rPr>
                <w:sz w:val="18"/>
              </w:rPr>
              <w:t>DFSA</w:t>
            </w:r>
          </w:p>
        </w:tc>
        <w:tc>
          <w:tcPr>
            <w:tcW w:type="dxa" w:w="2160"/>
          </w:tcPr>
          <w:p>
            <w:pPr/>
            <w:r>
              <w:rPr>
                <w:sz w:val="18"/>
              </w:rPr>
              <w:t>DME/GME regulated within DIFC free zone; CME Clearing provides CCP services</w:t>
            </w:r>
          </w:p>
        </w:tc>
      </w:tr>
      <w:tr>
        <w:tc>
          <w:tcPr>
            <w:tcW w:type="dxa" w:w="2160"/>
          </w:tcPr>
          <w:p>
            <w:pPr/>
            <w:r>
              <w:rPr>
                <w:sz w:val="18"/>
              </w:rPr>
              <w:t>**South Korea**</w:t>
            </w:r>
          </w:p>
        </w:tc>
        <w:tc>
          <w:tcPr>
            <w:tcW w:type="dxa" w:w="2160"/>
          </w:tcPr>
          <w:p>
            <w:pPr/>
            <w:r>
              <w:rPr>
                <w:sz w:val="18"/>
              </w:rPr>
              <w:t>FSCMA (2007), Derivatives Market Business Regulations</w:t>
            </w:r>
          </w:p>
        </w:tc>
        <w:tc>
          <w:tcPr>
            <w:tcW w:type="dxa" w:w="2160"/>
          </w:tcPr>
          <w:p>
            <w:pPr/>
            <w:r>
              <w:rPr>
                <w:sz w:val="18"/>
              </w:rPr>
              <w:t>FSC, FSS</w:t>
            </w:r>
          </w:p>
        </w:tc>
        <w:tc>
          <w:tcPr>
            <w:tcW w:type="dxa" w:w="2160"/>
          </w:tcPr>
          <w:p>
            <w:pPr/>
            <w:r>
              <w:rPr>
                <w:sz w:val="18"/>
              </w:rPr>
              <w:t>Integrated exchange-CCP model; night session launched June 2025; QFI access for foreign participants; Nextrade (NXT) alternative exchange launched March 2025</w:t>
            </w:r>
          </w:p>
        </w:tc>
      </w:tr>
    </w:tbl>
    <w:p/>
    <w:p>
      <w:r>
        <w:t>Cross-cutting regulatory trends:</w:t>
      </w:r>
    </w:p>
    <w:p>
      <w:pPr>
        <w:pStyle w:val="ListBullet"/>
      </w:pPr>
      <w:r>
        <w:t>Increasing central clearing mandates for OTC derivatives globally</w:t>
      </w:r>
    </w:p>
    <w:p>
      <w:pPr>
        <w:pStyle w:val="ListBullet"/>
      </w:pPr>
      <w:r>
        <w:t>Enhanced position limit regimes and large trader reporting</w:t>
      </w:r>
    </w:p>
    <w:p>
      <w:pPr>
        <w:pStyle w:val="ListBullet"/>
      </w:pPr>
      <w:r>
        <w:t>Retail investor protection measures (particularly India's SEBI reforms)</w:t>
      </w:r>
    </w:p>
    <w:p>
      <w:pPr>
        <w:pStyle w:val="ListBullet"/>
      </w:pPr>
      <w:r>
        <w:t>Digital Operational Resilience Act (DORA) in the EU (effective January 2025)</w:t>
      </w:r>
    </w:p>
    <w:p>
      <w:pPr>
        <w:pStyle w:val="ListBullet"/>
      </w:pPr>
      <w:r>
        <w:t>PFMI (Principles for Financial Market Infrastructures) compliance as global standard</w:t>
      </w:r>
    </w:p>
    <w:p>
      <w:r>
        <w:t>For detailed regulatory analysis, see:</w:t>
      </w:r>
    </w:p>
    <w:p>
      <w:pPr>
        <w:pStyle w:val="ListBullet"/>
      </w:pPr>
      <w:r>
        <w:t>[U.S. Derivatives Regulation](regulations/us_derivatives_regulation.md)</w:t>
      </w:r>
    </w:p>
    <w:p>
      <w:pPr>
        <w:pStyle w:val="ListBullet"/>
      </w:pPr>
      <w:r>
        <w:t>[EU Derivatives Regulation](regulations/eu_derivatives_regulation.md)</w:t>
      </w:r>
    </w:p>
    <w:p>
      <w:pPr>
        <w:pStyle w:val="ListBullet"/>
      </w:pPr>
      <w:r>
        <w:t>[Asia Derivatives Regulation](regulations/asia_derivatives_regulation.md)</w:t>
      </w:r>
    </w:p>
    <w:p>
      <w:r>
        <w:t>────────────────────────────────────────────────────────────</w:t>
      </w:r>
    </w:p>
    <w:p>
      <w:pPr>
        <w:pStyle w:val="Heading2"/>
      </w:pPr>
      <w:r>
        <w:t>6. Key Trends</w:t>
      </w:r>
    </w:p>
    <w:p>
      <w:pPr>
        <w:pStyle w:val="Heading3"/>
      </w:pPr>
      <w:r>
        <w:t>6.1 Explosion of Options Trading &amp; Retail Participation</w:t>
      </w:r>
    </w:p>
    <w:p>
      <w:pPr>
        <w:pStyle w:val="ListBullet"/>
      </w:pPr>
      <w:r>
        <w:t>Global options volume reached 177 billion contracts in 2024 (+63.8% YoY), now ~86% of all ETD volume</w:t>
      </w:r>
    </w:p>
    <w:p>
      <w:pPr>
        <w:pStyle w:val="ListBullet"/>
      </w:pPr>
      <w:r>
        <w:t>NSE India alone traded ~92-108 billion contracts in 2024 (mostly equity options), driven by massive retail participation</w:t>
      </w:r>
    </w:p>
    <w:p>
      <w:pPr>
        <w:pStyle w:val="ListBullet"/>
      </w:pPr>
      <w:r>
        <w:t>SEBI's September 2024 study revealed 93% of individual F&amp;O traders incurred losses between FY22-FY24, leading to comprehensive regulatory curbs</w:t>
      </w:r>
    </w:p>
    <w:p>
      <w:pPr>
        <w:pStyle w:val="ListBullet"/>
      </w:pPr>
      <w:r>
        <w:t>Post-SEBI curbs (November 2024), NSE volumes declined ~30-38%, and B3 overtook NSE as #1 globally in H1 2025</w:t>
      </w:r>
    </w:p>
    <w:p>
      <w:pPr>
        <w:pStyle w:val="Heading3"/>
      </w:pPr>
      <w:r>
        <w:t>6.2 0DTE (Zero Days to Expiration) Options Revolution</w:t>
      </w:r>
    </w:p>
    <w:p>
      <w:pPr>
        <w:pStyle w:val="ListBullet"/>
      </w:pPr>
      <w:r>
        <w:t>0DTE options averaged 14 million contracts/day in 2025, up 41% YoY</w:t>
      </w:r>
    </w:p>
    <w:p>
      <w:pPr>
        <w:pStyle w:val="ListBullet"/>
      </w:pPr>
      <w:r>
        <w:t>0DTE accounted for 24.1% of all U.S. listed options volume in 2025 (up from 21.5% in 2024, nearly double the 2022 share)</w:t>
      </w:r>
    </w:p>
    <w:p>
      <w:pPr>
        <w:pStyle w:val="ListBullet"/>
      </w:pPr>
      <w:r>
        <w:t>SPX 0DTE contracts became the most traded S&amp;P 500 options, surpassing all other expiration dates combined in Q4 2024</w:t>
      </w:r>
    </w:p>
    <w:p>
      <w:pPr>
        <w:pStyle w:val="ListBullet"/>
      </w:pPr>
      <w:r>
        <w:t>Cboe's daily SPX expirations (launched 2022) were the catalyst; 0DTE reached ~59% of SPX options volume by 2025</w:t>
      </w:r>
    </w:p>
    <w:p>
      <w:pPr>
        <w:pStyle w:val="ListBullet"/>
      </w:pPr>
      <w:r>
        <w:t>Both retail (50% of options volume via retail broker flows) and institutional participants are adopting 0DTE strategies</w:t>
      </w:r>
    </w:p>
    <w:p>
      <w:pPr>
        <w:pStyle w:val="Heading3"/>
      </w:pPr>
      <w:r>
        <w:t>6.3 Micro/Nano Contracts for Retail Access</w:t>
      </w:r>
    </w:p>
    <w:p>
      <w:pPr>
        <w:pStyle w:val="ListBullet"/>
      </w:pPr>
      <w:r>
        <w:t>CME Micro E-mini suite (S&amp;P 500, Nasdaq, Gold, Crude) continues to grow, lowering capital requirements for retail</w:t>
      </w:r>
    </w:p>
    <w:p>
      <w:pPr>
        <w:pStyle w:val="ListBullet"/>
      </w:pPr>
      <w:r>
        <w:t>TAIFEX launched Micro TAIEX Futures; ASX offers Mini SPI 200</w:t>
      </w:r>
    </w:p>
    <w:p>
      <w:pPr>
        <w:pStyle w:val="ListBullet"/>
      </w:pPr>
      <w:r>
        <w:t>DME/GME launched Micro Oman Crude Oil Futures (100 barrels vs. standard 1,000)</w:t>
      </w:r>
    </w:p>
    <w:p>
      <w:pPr>
        <w:pStyle w:val="ListBullet"/>
      </w:pPr>
      <w:r>
        <w:t>Euronext introduced mini single stock options (May 2025) and mini ETF options (March 2026)</w:t>
      </w:r>
    </w:p>
    <w:p>
      <w:pPr>
        <w:pStyle w:val="Heading3"/>
      </w:pPr>
      <w:r>
        <w:t>6.4 ESG &amp; Environmental Derivatives</w:t>
      </w:r>
    </w:p>
    <w:p>
      <w:pPr>
        <w:pStyle w:val="ListBullet"/>
      </w:pPr>
      <w:r>
        <w:t>ICE environmental markets saw a record 20.9 million contracts in 2025 (+4% YoY)</w:t>
      </w:r>
    </w:p>
    <w:p>
      <w:pPr>
        <w:pStyle w:val="ListBullet"/>
      </w:pPr>
      <w:r>
        <w:t>EU Emissions Trading System (ETS) allowances remain the most liquid environmental derivative (ICE Futures Europe primary venue)</w:t>
      </w:r>
    </w:p>
    <w:p>
      <w:pPr>
        <w:pStyle w:val="ListBullet"/>
      </w:pPr>
      <w:r>
        <w:t>ASX lists ACCU (Australian Carbon Credit Unit) Futures, NZU Futures, and LGC Futures</w:t>
      </w:r>
    </w:p>
    <w:p>
      <w:pPr>
        <w:pStyle w:val="ListBullet"/>
      </w:pPr>
      <w:r>
        <w:t>Euronext launched CAC 40 ESG index futures</w:t>
      </w:r>
    </w:p>
    <w:p>
      <w:pPr>
        <w:pStyle w:val="ListBullet"/>
      </w:pPr>
      <w:r>
        <w:t>Global carbon market exceeded $1 trillion in 2025</w:t>
      </w:r>
    </w:p>
    <w:p>
      <w:pPr>
        <w:pStyle w:val="ListBullet"/>
      </w:pPr>
      <w:r>
        <w:t>Renewable energy carbon credit market exceeded USD 43.3 billion in 2024</w:t>
      </w:r>
    </w:p>
    <w:p>
      <w:pPr>
        <w:pStyle w:val="Heading3"/>
      </w:pPr>
      <w:r>
        <w:t>6.5 Cryptocurrency Derivatives</w:t>
      </w:r>
    </w:p>
    <w:p>
      <w:pPr>
        <w:pStyle w:val="ListBullet"/>
      </w:pPr>
      <w:r>
        <w:t>Crypto derivatives market expanded to $8.94 trillion monthly in 2025</w:t>
      </w:r>
    </w:p>
    <w:p>
      <w:pPr>
        <w:pStyle w:val="ListBullet"/>
      </w:pPr>
      <w:r>
        <w:t>CME Bitcoin and Ether futures/options continue to grow as regulated venues</w:t>
      </w:r>
    </w:p>
    <w:p>
      <w:pPr>
        <w:pStyle w:val="ListBullet"/>
      </w:pPr>
      <w:r>
        <w:t>Average daily volume in Ether options grew 65% from 2024 to 2025</w:t>
      </w:r>
    </w:p>
    <w:p>
      <w:pPr>
        <w:pStyle w:val="ListBullet"/>
      </w:pPr>
      <w:r>
        <w:t>Bitcoin and Ethereum together account for ~68% of crypto derivatives volume</w:t>
      </w:r>
    </w:p>
    <w:p>
      <w:pPr>
        <w:pStyle w:val="Heading3"/>
      </w:pPr>
      <w:r>
        <w:t>6.6 Extended Trading Hours</w:t>
      </w:r>
    </w:p>
    <w:p>
      <w:pPr>
        <w:pStyle w:val="ListBullet"/>
      </w:pPr>
      <w:r>
        <w:t>TAIFEX offers 19-hour coverage (day + after-hours T+1 session since 2017)</w:t>
      </w:r>
    </w:p>
    <w:p>
      <w:pPr>
        <w:pStyle w:val="ListBullet"/>
      </w:pPr>
      <w:r>
        <w:t>ASX 24 provides near-24-hour trading for interest rate and equity index futures</w:t>
      </w:r>
    </w:p>
    <w:p>
      <w:pPr>
        <w:pStyle w:val="ListBullet"/>
      </w:pPr>
      <w:r>
        <w:t>CME Globex offers ~23 hours/day across asset classes</w:t>
      </w:r>
    </w:p>
    <w:p>
      <w:pPr>
        <w:pStyle w:val="ListBullet"/>
      </w:pPr>
      <w:r>
        <w:t>SHFE/DCE/CFFEX night sessions extend coverage to overlap with London and New York</w:t>
      </w:r>
    </w:p>
    <w:p>
      <w:pPr>
        <w:pStyle w:val="ListBullet"/>
      </w:pPr>
      <w:r>
        <w:t>Euronext extended equity index futures hours to 22:00 CET (covering U.S. session)</w:t>
      </w:r>
    </w:p>
    <w:p>
      <w:pPr>
        <w:pStyle w:val="ListBullet"/>
      </w:pPr>
      <w:r>
        <w:t>KRX launched independent night session (18:00-06:00 KST) on June 9, 2025, expanding derivatives trading to ~19 hours/day</w:t>
      </w:r>
    </w:p>
    <w:p>
      <w:pPr>
        <w:pStyle w:val="Heading3"/>
      </w:pPr>
      <w:r>
        <w:t>6.7 Technology Modernization</w:t>
      </w:r>
    </w:p>
    <w:p>
      <w:pPr>
        <w:pStyle w:val="ListBullet"/>
      </w:pPr>
      <w:r>
        <w:t>Margin methodology transition: SPAN to VaR-based (SPAN 2, Prisma, IRM 2) across major CCPs</w:t>
      </w:r>
    </w:p>
    <w:p>
      <w:pPr>
        <w:pStyle w:val="ListBullet"/>
      </w:pPr>
      <w:r>
        <w:t>Euronext completed Optiq platform migration for all derivatives (including IDEM, April 2024)</w:t>
      </w:r>
    </w:p>
    <w:p>
      <w:pPr>
        <w:pStyle w:val="ListBullet"/>
      </w:pPr>
      <w:r>
        <w:t>Euronext Clearing migration from LCH SA completed for all financial derivatives (September 2024)</w:t>
      </w:r>
    </w:p>
    <w:p>
      <w:pPr>
        <w:pStyle w:val="ListBullet"/>
      </w:pPr>
      <w:r>
        <w:t>ASX 24 platform modernization with LSEG announced (March 2026, target go-live H1 2028)</w:t>
      </w:r>
    </w:p>
    <w:p>
      <w:pPr>
        <w:pStyle w:val="ListBullet"/>
      </w:pPr>
      <w:r>
        <w:t>NSE planning nanosecond-latency upgrade (100M transactions/second, from April 2026)</w:t>
      </w:r>
    </w:p>
    <w:p>
      <w:pPr>
        <w:pStyle w:val="ListBullet"/>
      </w:pPr>
      <w:r>
        <w:t>OSE J-GATE 4.0 planned on Nasdaq Eqlipse platform (~2028)</w:t>
      </w:r>
    </w:p>
    <w:p>
      <w:pPr>
        <w:pStyle w:val="Heading3"/>
      </w:pPr>
      <w:r>
        <w:t>6.8 China's Internationalization</w:t>
      </w:r>
    </w:p>
    <w:p>
      <w:pPr>
        <w:pStyle w:val="ListBullet"/>
      </w:pPr>
      <w:r>
        <w:t>INE crude oil futures (launched 2018) established RMB-denominated energy benchmark</w:t>
      </w:r>
    </w:p>
    <w:p>
      <w:pPr>
        <w:pStyle w:val="ListBullet"/>
      </w:pPr>
      <w:r>
        <w:t>DCE iron ore and palm olein opened to overseas traders</w:t>
      </w:r>
    </w:p>
    <w:p>
      <w:pPr>
        <w:pStyle w:val="ListBullet"/>
      </w:pPr>
      <w:r>
        <w:t>SHFE bonded copper and low sulfur fuel oil accessible to foreign participants</w:t>
      </w:r>
    </w:p>
    <w:p>
      <w:pPr>
        <w:pStyle w:val="ListBullet"/>
      </w:pPr>
      <w:r>
        <w:t>QFI scheme expanded access across CFFEX, DCE, SHFE products</w:t>
      </w:r>
    </w:p>
    <w:p>
      <w:pPr>
        <w:pStyle w:val="ListBullet"/>
      </w:pPr>
      <w:r>
        <w:t>Futures and Derivatives Law (2022) provided comprehensive legal foundation</w:t>
      </w:r>
    </w:p>
    <w:p>
      <w:pPr>
        <w:pStyle w:val="Heading3"/>
      </w:pPr>
      <w:r>
        <w:t>6.9 Fixed Income Derivatives Growth</w:t>
      </w:r>
    </w:p>
    <w:p>
      <w:pPr>
        <w:pStyle w:val="ListBullet"/>
      </w:pPr>
      <w:r>
        <w:t>BOJ rate normalization driving TONA futures growth on OSE</w:t>
      </w:r>
    </w:p>
    <w:p>
      <w:pPr>
        <w:pStyle w:val="ListBullet"/>
      </w:pPr>
      <w:r>
        <w:t>Euronext launched mini cash-settled government bond futures (BTP, OAT, Bund, Bono) in September 2025</w:t>
      </w:r>
    </w:p>
    <w:p>
      <w:pPr>
        <w:pStyle w:val="ListBullet"/>
      </w:pPr>
      <w:r>
        <w:t>Montreal Exchange CORRA futures (CRA) reached ~170K ADV in 2025 following successful BAX-to-CRA transition</w:t>
      </w:r>
    </w:p>
    <w:p>
      <w:pPr>
        <w:pStyle w:val="ListBullet"/>
      </w:pPr>
      <w:r>
        <w:t>ASX interest rate futures hit record volumes in Q4 2025 (+23% YoY)</w:t>
      </w:r>
    </w:p>
    <w:p>
      <w:pPr>
        <w:pStyle w:val="ListBullet"/>
      </w:pPr>
      <w:r>
        <w:t>CFFEX 30-year CGB futures launched April 2023, completing China's yield curve coverage</w:t>
      </w:r>
    </w:p>
    <w:p>
      <w:r>
        <w:t>────────────────────────────────────────────────────────────</w:t>
      </w:r>
    </w:p>
    <w:p>
      <w:pPr>
        <w:pStyle w:val="Heading2"/>
      </w:pPr>
      <w:r>
        <w:t>7. Research Roadmap</w:t>
      </w:r>
    </w:p>
    <w:p>
      <w:pPr>
        <w:pStyle w:val="Heading3"/>
      </w:pPr>
      <w:r>
        <w:t>Tier 1 — Deep Dive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w:t>
            </w:r>
          </w:p>
        </w:tc>
        <w:tc>
          <w:tcPr>
            <w:tcW w:type="dxa" w:w="2880"/>
          </w:tcPr>
          <w:p>
            <w:pPr/>
            <w:r>
              <w:rPr>
                <w:b/>
                <w:sz w:val="18"/>
              </w:rPr>
              <w:t>File</w:t>
            </w:r>
          </w:p>
        </w:tc>
        <w:tc>
          <w:tcPr>
            <w:tcW w:type="dxa" w:w="2880"/>
          </w:tcPr>
          <w:p>
            <w:pPr/>
            <w:r>
              <w:rPr>
                <w:b/>
                <w:sz w:val="18"/>
              </w:rPr>
              <w:t>Status</w:t>
            </w:r>
          </w:p>
        </w:tc>
      </w:tr>
      <w:tr>
        <w:tc>
          <w:tcPr>
            <w:tcW w:type="dxa" w:w="2880"/>
          </w:tcPr>
          <w:p>
            <w:pPr/>
            <w:r>
              <w:rPr>
                <w:sz w:val="18"/>
              </w:rPr>
              <w:t>CME Group</w:t>
            </w:r>
          </w:p>
        </w:tc>
        <w:tc>
          <w:tcPr>
            <w:tcW w:type="dxa" w:w="2880"/>
          </w:tcPr>
          <w:p>
            <w:pPr/>
            <w:r>
              <w:rPr>
                <w:sz w:val="18"/>
              </w:rPr>
              <w:t>[cme_group.md](exchanges/cme_group.md)</w:t>
            </w:r>
          </w:p>
        </w:tc>
        <w:tc>
          <w:tcPr>
            <w:tcW w:type="dxa" w:w="2880"/>
          </w:tcPr>
          <w:p>
            <w:pPr/>
            <w:r>
              <w:rPr>
                <w:sz w:val="18"/>
              </w:rPr>
              <w:t>✅ Completed (2026-04-06)</w:t>
            </w:r>
          </w:p>
        </w:tc>
      </w:tr>
      <w:tr>
        <w:tc>
          <w:tcPr>
            <w:tcW w:type="dxa" w:w="2880"/>
          </w:tcPr>
          <w:p>
            <w:pPr/>
            <w:r>
              <w:rPr>
                <w:sz w:val="18"/>
              </w:rPr>
              <w:t>Eurex</w:t>
            </w:r>
          </w:p>
        </w:tc>
        <w:tc>
          <w:tcPr>
            <w:tcW w:type="dxa" w:w="2880"/>
          </w:tcPr>
          <w:p>
            <w:pPr/>
            <w:r>
              <w:rPr>
                <w:sz w:val="18"/>
              </w:rPr>
              <w:t>[eurex.md](exchanges/eurex.md)</w:t>
            </w:r>
          </w:p>
        </w:tc>
        <w:tc>
          <w:tcPr>
            <w:tcW w:type="dxa" w:w="2880"/>
          </w:tcPr>
          <w:p>
            <w:pPr/>
            <w:r>
              <w:rPr>
                <w:sz w:val="18"/>
              </w:rPr>
              <w:t>✅ Completed (2026-04-06)</w:t>
            </w:r>
          </w:p>
        </w:tc>
      </w:tr>
      <w:tr>
        <w:tc>
          <w:tcPr>
            <w:tcW w:type="dxa" w:w="2880"/>
          </w:tcPr>
          <w:p>
            <w:pPr/>
            <w:r>
              <w:rPr>
                <w:sz w:val="18"/>
              </w:rPr>
              <w:t>HKEX Derivatives</w:t>
            </w:r>
          </w:p>
        </w:tc>
        <w:tc>
          <w:tcPr>
            <w:tcW w:type="dxa" w:w="2880"/>
          </w:tcPr>
          <w:p>
            <w:pPr/>
            <w:r>
              <w:rPr>
                <w:sz w:val="18"/>
              </w:rPr>
              <w:t>[hkex_derivatives.md](exchanges/hkex_derivatives.md)</w:t>
            </w:r>
          </w:p>
        </w:tc>
        <w:tc>
          <w:tcPr>
            <w:tcW w:type="dxa" w:w="2880"/>
          </w:tcPr>
          <w:p>
            <w:pPr/>
            <w:r>
              <w:rPr>
                <w:sz w:val="18"/>
              </w:rPr>
              <w:t>✅ Completed (2026-04-06)</w:t>
            </w:r>
          </w:p>
        </w:tc>
      </w:tr>
      <w:tr>
        <w:tc>
          <w:tcPr>
            <w:tcW w:type="dxa" w:w="2880"/>
          </w:tcPr>
          <w:p>
            <w:pPr/>
            <w:r>
              <w:rPr>
                <w:sz w:val="18"/>
              </w:rPr>
              <w:t>SGX Derivatives</w:t>
            </w:r>
          </w:p>
        </w:tc>
        <w:tc>
          <w:tcPr>
            <w:tcW w:type="dxa" w:w="2880"/>
          </w:tcPr>
          <w:p>
            <w:pPr/>
            <w:r>
              <w:rPr>
                <w:sz w:val="18"/>
              </w:rPr>
              <w:t>[sgx_derivatives.md](exchanges/sgx_derivatives.md)</w:t>
            </w:r>
          </w:p>
        </w:tc>
        <w:tc>
          <w:tcPr>
            <w:tcW w:type="dxa" w:w="2880"/>
          </w:tcPr>
          <w:p>
            <w:pPr/>
            <w:r>
              <w:rPr>
                <w:sz w:val="18"/>
              </w:rPr>
              <w:t>✅ Completed (2026-04-06)</w:t>
            </w:r>
          </w:p>
        </w:tc>
      </w:tr>
      <w:tr>
        <w:tc>
          <w:tcPr>
            <w:tcW w:type="dxa" w:w="2880"/>
          </w:tcPr>
          <w:p>
            <w:pPr/>
            <w:r>
              <w:rPr>
                <w:sz w:val="18"/>
              </w:rPr>
              <w:t>KRX Derivatives</w:t>
            </w:r>
          </w:p>
        </w:tc>
        <w:tc>
          <w:tcPr>
            <w:tcW w:type="dxa" w:w="2880"/>
          </w:tcPr>
          <w:p>
            <w:pPr/>
            <w:r>
              <w:rPr>
                <w:sz w:val="18"/>
              </w:rPr>
              <w:t>[krx_derivatives.md](exchanges/krx_derivatives.md)</w:t>
            </w:r>
          </w:p>
        </w:tc>
        <w:tc>
          <w:tcPr>
            <w:tcW w:type="dxa" w:w="2880"/>
          </w:tcPr>
          <w:p>
            <w:pPr/>
            <w:r>
              <w:rPr>
                <w:sz w:val="18"/>
              </w:rPr>
              <w:t>✅ Completed (2026-04-13)</w:t>
            </w:r>
          </w:p>
        </w:tc>
      </w:tr>
    </w:tbl>
    <w:p/>
    <w:p>
      <w:pPr>
        <w:pStyle w:val="Heading3"/>
      </w:pPr>
      <w:r>
        <w:t>Tier 2 — Standard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w:t>
            </w:r>
          </w:p>
        </w:tc>
        <w:tc>
          <w:tcPr>
            <w:tcW w:type="dxa" w:w="2880"/>
          </w:tcPr>
          <w:p>
            <w:pPr/>
            <w:r>
              <w:rPr>
                <w:b/>
                <w:sz w:val="18"/>
              </w:rPr>
              <w:t>File</w:t>
            </w:r>
          </w:p>
        </w:tc>
        <w:tc>
          <w:tcPr>
            <w:tcW w:type="dxa" w:w="2880"/>
          </w:tcPr>
          <w:p>
            <w:pPr/>
            <w:r>
              <w:rPr>
                <w:b/>
                <w:sz w:val="18"/>
              </w:rPr>
              <w:t>Status</w:t>
            </w:r>
          </w:p>
        </w:tc>
      </w:tr>
      <w:tr>
        <w:tc>
          <w:tcPr>
            <w:tcW w:type="dxa" w:w="2880"/>
          </w:tcPr>
          <w:p>
            <w:pPr/>
            <w:r>
              <w:rPr>
                <w:sz w:val="18"/>
              </w:rPr>
              <w:t>Cboe</w:t>
            </w:r>
          </w:p>
        </w:tc>
        <w:tc>
          <w:tcPr>
            <w:tcW w:type="dxa" w:w="2880"/>
          </w:tcPr>
          <w:p>
            <w:pPr/>
            <w:r>
              <w:rPr>
                <w:sz w:val="18"/>
              </w:rPr>
              <w:t>[cboe.md](exchanges/cboe.md)</w:t>
            </w:r>
          </w:p>
        </w:tc>
        <w:tc>
          <w:tcPr>
            <w:tcW w:type="dxa" w:w="2880"/>
          </w:tcPr>
          <w:p>
            <w:pPr/>
            <w:r>
              <w:rPr>
                <w:sz w:val="18"/>
              </w:rPr>
              <w:t>✅ Completed (2026-04-06)</w:t>
            </w:r>
          </w:p>
        </w:tc>
      </w:tr>
      <w:tr>
        <w:tc>
          <w:tcPr>
            <w:tcW w:type="dxa" w:w="2880"/>
          </w:tcPr>
          <w:p>
            <w:pPr/>
            <w:r>
              <w:rPr>
                <w:sz w:val="18"/>
              </w:rPr>
              <w:t>ICE Futures</w:t>
            </w:r>
          </w:p>
        </w:tc>
        <w:tc>
          <w:tcPr>
            <w:tcW w:type="dxa" w:w="2880"/>
          </w:tcPr>
          <w:p>
            <w:pPr/>
            <w:r>
              <w:rPr>
                <w:sz w:val="18"/>
              </w:rPr>
              <w:t>[ice_futures.md](exchanges/ice_futures.md)</w:t>
            </w:r>
          </w:p>
        </w:tc>
        <w:tc>
          <w:tcPr>
            <w:tcW w:type="dxa" w:w="2880"/>
          </w:tcPr>
          <w:p>
            <w:pPr/>
            <w:r>
              <w:rPr>
                <w:sz w:val="18"/>
              </w:rPr>
              <w:t>✅ Completed (2026-04-06)</w:t>
            </w:r>
          </w:p>
        </w:tc>
      </w:tr>
      <w:tr>
        <w:tc>
          <w:tcPr>
            <w:tcW w:type="dxa" w:w="2880"/>
          </w:tcPr>
          <w:p>
            <w:pPr/>
            <w:r>
              <w:rPr>
                <w:sz w:val="18"/>
              </w:rPr>
              <w:t>Osaka Exchange</w:t>
            </w:r>
          </w:p>
        </w:tc>
        <w:tc>
          <w:tcPr>
            <w:tcW w:type="dxa" w:w="2880"/>
          </w:tcPr>
          <w:p>
            <w:pPr/>
            <w:r>
              <w:rPr>
                <w:sz w:val="18"/>
              </w:rPr>
              <w:t>[osaka_exchange.md](exchanges/osaka_exchange.md)</w:t>
            </w:r>
          </w:p>
        </w:tc>
        <w:tc>
          <w:tcPr>
            <w:tcW w:type="dxa" w:w="2880"/>
          </w:tcPr>
          <w:p>
            <w:pPr/>
            <w:r>
              <w:rPr>
                <w:sz w:val="18"/>
              </w:rPr>
              <w:t>✅ Completed (2026-04-06)</w:t>
            </w:r>
          </w:p>
        </w:tc>
      </w:tr>
      <w:tr>
        <w:tc>
          <w:tcPr>
            <w:tcW w:type="dxa" w:w="2880"/>
          </w:tcPr>
          <w:p>
            <w:pPr/>
            <w:r>
              <w:rPr>
                <w:sz w:val="18"/>
              </w:rPr>
              <w:t>Euronext Derivatives</w:t>
            </w:r>
          </w:p>
        </w:tc>
        <w:tc>
          <w:tcPr>
            <w:tcW w:type="dxa" w:w="2880"/>
          </w:tcPr>
          <w:p>
            <w:pPr/>
            <w:r>
              <w:rPr>
                <w:sz w:val="18"/>
              </w:rPr>
              <w:t>[euronext_derivatives.md](exchanges/euronext_derivatives.md)</w:t>
            </w:r>
          </w:p>
        </w:tc>
        <w:tc>
          <w:tcPr>
            <w:tcW w:type="dxa" w:w="2880"/>
          </w:tcPr>
          <w:p>
            <w:pPr/>
            <w:r>
              <w:rPr>
                <w:sz w:val="18"/>
              </w:rPr>
              <w:t>✅ Completed (2026-04-07)</w:t>
            </w:r>
          </w:p>
        </w:tc>
      </w:tr>
      <w:tr>
        <w:tc>
          <w:tcPr>
            <w:tcW w:type="dxa" w:w="2880"/>
          </w:tcPr>
          <w:p>
            <w:pPr/>
            <w:r>
              <w:rPr>
                <w:sz w:val="18"/>
              </w:rPr>
              <w:t>ASX Derivatives</w:t>
            </w:r>
          </w:p>
        </w:tc>
        <w:tc>
          <w:tcPr>
            <w:tcW w:type="dxa" w:w="2880"/>
          </w:tcPr>
          <w:p>
            <w:pPr/>
            <w:r>
              <w:rPr>
                <w:sz w:val="18"/>
              </w:rPr>
              <w:t>[asx_derivatives.md](exchanges/asx_derivatives.md)</w:t>
            </w:r>
          </w:p>
        </w:tc>
        <w:tc>
          <w:tcPr>
            <w:tcW w:type="dxa" w:w="2880"/>
          </w:tcPr>
          <w:p>
            <w:pPr/>
            <w:r>
              <w:rPr>
                <w:sz w:val="18"/>
              </w:rPr>
              <w:t>✅ Completed (2026-04-07)</w:t>
            </w:r>
          </w:p>
        </w:tc>
      </w:tr>
    </w:tbl>
    <w:p/>
    <w:p>
      <w:pPr>
        <w:pStyle w:val="Heading3"/>
      </w:pPr>
      <w:r>
        <w:t>Tier 3 — Overview</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w:t>
            </w:r>
          </w:p>
        </w:tc>
        <w:tc>
          <w:tcPr>
            <w:tcW w:type="dxa" w:w="2880"/>
          </w:tcPr>
          <w:p>
            <w:pPr/>
            <w:r>
              <w:rPr>
                <w:b/>
                <w:sz w:val="18"/>
              </w:rPr>
              <w:t>File</w:t>
            </w:r>
          </w:p>
        </w:tc>
        <w:tc>
          <w:tcPr>
            <w:tcW w:type="dxa" w:w="2880"/>
          </w:tcPr>
          <w:p>
            <w:pPr/>
            <w:r>
              <w:rPr>
                <w:b/>
                <w:sz w:val="18"/>
              </w:rPr>
              <w:t>Status</w:t>
            </w:r>
          </w:p>
        </w:tc>
      </w:tr>
      <w:tr>
        <w:tc>
          <w:tcPr>
            <w:tcW w:type="dxa" w:w="2880"/>
          </w:tcPr>
          <w:p>
            <w:pPr/>
            <w:r>
              <w:rPr>
                <w:sz w:val="18"/>
              </w:rPr>
              <w:t>Montreal Exchange</w:t>
            </w:r>
          </w:p>
        </w:tc>
        <w:tc>
          <w:tcPr>
            <w:tcW w:type="dxa" w:w="2880"/>
          </w:tcPr>
          <w:p>
            <w:pPr/>
            <w:r>
              <w:rPr>
                <w:sz w:val="18"/>
              </w:rPr>
              <w:t>[montreal_exchange.md](exchanges/montreal_exchange.md)</w:t>
            </w:r>
          </w:p>
        </w:tc>
        <w:tc>
          <w:tcPr>
            <w:tcW w:type="dxa" w:w="2880"/>
          </w:tcPr>
          <w:p>
            <w:pPr/>
            <w:r>
              <w:rPr>
                <w:sz w:val="18"/>
              </w:rPr>
              <w:t>✅ Completed (2026-04-07)</w:t>
            </w:r>
          </w:p>
        </w:tc>
      </w:tr>
      <w:tr>
        <w:tc>
          <w:tcPr>
            <w:tcW w:type="dxa" w:w="2880"/>
          </w:tcPr>
          <w:p>
            <w:pPr/>
            <w:r>
              <w:rPr>
                <w:sz w:val="18"/>
              </w:rPr>
              <w:t>CFFEX</w:t>
            </w:r>
          </w:p>
        </w:tc>
        <w:tc>
          <w:tcPr>
            <w:tcW w:type="dxa" w:w="2880"/>
          </w:tcPr>
          <w:p>
            <w:pPr/>
            <w:r>
              <w:rPr>
                <w:sz w:val="18"/>
              </w:rPr>
              <w:t>[cffex.md](exchanges/cffex.md)</w:t>
            </w:r>
          </w:p>
        </w:tc>
        <w:tc>
          <w:tcPr>
            <w:tcW w:type="dxa" w:w="2880"/>
          </w:tcPr>
          <w:p>
            <w:pPr/>
            <w:r>
              <w:rPr>
                <w:sz w:val="18"/>
              </w:rPr>
              <w:t>✅ Completed (2026-04-07)</w:t>
            </w:r>
          </w:p>
        </w:tc>
      </w:tr>
      <w:tr>
        <w:tc>
          <w:tcPr>
            <w:tcW w:type="dxa" w:w="2880"/>
          </w:tcPr>
          <w:p>
            <w:pPr/>
            <w:r>
              <w:rPr>
                <w:sz w:val="18"/>
              </w:rPr>
              <w:t>DCE</w:t>
            </w:r>
          </w:p>
        </w:tc>
        <w:tc>
          <w:tcPr>
            <w:tcW w:type="dxa" w:w="2880"/>
          </w:tcPr>
          <w:p>
            <w:pPr/>
            <w:r>
              <w:rPr>
                <w:sz w:val="18"/>
              </w:rPr>
              <w:t>[dce.md](exchanges/dce.md)</w:t>
            </w:r>
          </w:p>
        </w:tc>
        <w:tc>
          <w:tcPr>
            <w:tcW w:type="dxa" w:w="2880"/>
          </w:tcPr>
          <w:p>
            <w:pPr/>
            <w:r>
              <w:rPr>
                <w:sz w:val="18"/>
              </w:rPr>
              <w:t>✅ Completed (2026-04-07)</w:t>
            </w:r>
          </w:p>
        </w:tc>
      </w:tr>
      <w:tr>
        <w:tc>
          <w:tcPr>
            <w:tcW w:type="dxa" w:w="2880"/>
          </w:tcPr>
          <w:p>
            <w:pPr/>
            <w:r>
              <w:rPr>
                <w:sz w:val="18"/>
              </w:rPr>
              <w:t>SHFE</w:t>
            </w:r>
          </w:p>
        </w:tc>
        <w:tc>
          <w:tcPr>
            <w:tcW w:type="dxa" w:w="2880"/>
          </w:tcPr>
          <w:p>
            <w:pPr/>
            <w:r>
              <w:rPr>
                <w:sz w:val="18"/>
              </w:rPr>
              <w:t>[shfe.md](exchanges/shfe.md)</w:t>
            </w:r>
          </w:p>
        </w:tc>
        <w:tc>
          <w:tcPr>
            <w:tcW w:type="dxa" w:w="2880"/>
          </w:tcPr>
          <w:p>
            <w:pPr/>
            <w:r>
              <w:rPr>
                <w:sz w:val="18"/>
              </w:rPr>
              <w:t>✅ Completed (2026-04-07)</w:t>
            </w:r>
          </w:p>
        </w:tc>
      </w:tr>
      <w:tr>
        <w:tc>
          <w:tcPr>
            <w:tcW w:type="dxa" w:w="2880"/>
          </w:tcPr>
          <w:p>
            <w:pPr/>
            <w:r>
              <w:rPr>
                <w:sz w:val="18"/>
              </w:rPr>
              <w:t>NSE F&amp;O</w:t>
            </w:r>
          </w:p>
        </w:tc>
        <w:tc>
          <w:tcPr>
            <w:tcW w:type="dxa" w:w="2880"/>
          </w:tcPr>
          <w:p>
            <w:pPr/>
            <w:r>
              <w:rPr>
                <w:sz w:val="18"/>
              </w:rPr>
              <w:t>[nse_fo.md](exchanges/nse_fo.md)</w:t>
            </w:r>
          </w:p>
        </w:tc>
        <w:tc>
          <w:tcPr>
            <w:tcW w:type="dxa" w:w="2880"/>
          </w:tcPr>
          <w:p>
            <w:pPr/>
            <w:r>
              <w:rPr>
                <w:sz w:val="18"/>
              </w:rPr>
              <w:t>✅ Completed (2026-04-07)</w:t>
            </w:r>
          </w:p>
        </w:tc>
      </w:tr>
      <w:tr>
        <w:tc>
          <w:tcPr>
            <w:tcW w:type="dxa" w:w="2880"/>
          </w:tcPr>
          <w:p>
            <w:pPr/>
            <w:r>
              <w:rPr>
                <w:sz w:val="18"/>
              </w:rPr>
              <w:t>TAIFEX</w:t>
            </w:r>
          </w:p>
        </w:tc>
        <w:tc>
          <w:tcPr>
            <w:tcW w:type="dxa" w:w="2880"/>
          </w:tcPr>
          <w:p>
            <w:pPr/>
            <w:r>
              <w:rPr>
                <w:sz w:val="18"/>
              </w:rPr>
              <w:t>[taifex.md](exchanges/taifex.md)</w:t>
            </w:r>
          </w:p>
        </w:tc>
        <w:tc>
          <w:tcPr>
            <w:tcW w:type="dxa" w:w="2880"/>
          </w:tcPr>
          <w:p>
            <w:pPr/>
            <w:r>
              <w:rPr>
                <w:sz w:val="18"/>
              </w:rPr>
              <w:t>✅ Completed (2026-04-07)</w:t>
            </w:r>
          </w:p>
        </w:tc>
      </w:tr>
      <w:tr>
        <w:tc>
          <w:tcPr>
            <w:tcW w:type="dxa" w:w="2880"/>
          </w:tcPr>
          <w:p>
            <w:pPr/>
            <w:r>
              <w:rPr>
                <w:sz w:val="18"/>
              </w:rPr>
              <w:t>DME</w:t>
            </w:r>
          </w:p>
        </w:tc>
        <w:tc>
          <w:tcPr>
            <w:tcW w:type="dxa" w:w="2880"/>
          </w:tcPr>
          <w:p>
            <w:pPr/>
            <w:r>
              <w:rPr>
                <w:sz w:val="18"/>
              </w:rPr>
              <w:t>[dme.md](exchanges/dme.md)</w:t>
            </w:r>
          </w:p>
        </w:tc>
        <w:tc>
          <w:tcPr>
            <w:tcW w:type="dxa" w:w="2880"/>
          </w:tcPr>
          <w:p>
            <w:pPr/>
            <w:r>
              <w:rPr>
                <w:sz w:val="18"/>
              </w:rPr>
              <w:t>✅ Completed (2026-04-07)</w:t>
            </w:r>
          </w:p>
        </w:tc>
      </w:tr>
    </w:tbl>
    <w:p/>
    <w:p>
      <w:pPr>
        <w:pStyle w:val="Heading3"/>
      </w:pPr>
      <w:r>
        <w:t>Supporting Research</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Document</w:t>
            </w:r>
          </w:p>
        </w:tc>
        <w:tc>
          <w:tcPr>
            <w:tcW w:type="dxa" w:w="2880"/>
          </w:tcPr>
          <w:p>
            <w:pPr/>
            <w:r>
              <w:rPr>
                <w:b/>
                <w:sz w:val="18"/>
              </w:rPr>
              <w:t>File</w:t>
            </w:r>
          </w:p>
        </w:tc>
        <w:tc>
          <w:tcPr>
            <w:tcW w:type="dxa" w:w="2880"/>
          </w:tcPr>
          <w:p>
            <w:pPr/>
            <w:r>
              <w:rPr>
                <w:b/>
                <w:sz w:val="18"/>
              </w:rPr>
              <w:t>Status</w:t>
            </w:r>
          </w:p>
        </w:tc>
      </w:tr>
      <w:tr>
        <w:tc>
          <w:tcPr>
            <w:tcW w:type="dxa" w:w="2880"/>
          </w:tcPr>
          <w:p>
            <w:pPr/>
            <w:r>
              <w:rPr>
                <w:sz w:val="18"/>
              </w:rPr>
              <w:t>Globex System Deep-Dive</w:t>
            </w:r>
          </w:p>
        </w:tc>
        <w:tc>
          <w:tcPr>
            <w:tcW w:type="dxa" w:w="2880"/>
          </w:tcPr>
          <w:p>
            <w:pPr/>
            <w:r>
              <w:rPr>
                <w:sz w:val="18"/>
              </w:rPr>
              <w:t>[systems/globex.md](systems/globex.md)</w:t>
            </w:r>
          </w:p>
        </w:tc>
        <w:tc>
          <w:tcPr>
            <w:tcW w:type="dxa" w:w="2880"/>
          </w:tcPr>
          <w:p>
            <w:pPr/>
            <w:r>
              <w:rPr>
                <w:sz w:val="18"/>
              </w:rPr>
              <w:t>✅ Completed</w:t>
            </w:r>
          </w:p>
        </w:tc>
      </w:tr>
      <w:tr>
        <w:tc>
          <w:tcPr>
            <w:tcW w:type="dxa" w:w="2880"/>
          </w:tcPr>
          <w:p>
            <w:pPr/>
            <w:r>
              <w:rPr>
                <w:sz w:val="18"/>
              </w:rPr>
              <w:t>Genium INET System Deep-Dive</w:t>
            </w:r>
          </w:p>
        </w:tc>
        <w:tc>
          <w:tcPr>
            <w:tcW w:type="dxa" w:w="2880"/>
          </w:tcPr>
          <w:p>
            <w:pPr/>
            <w:r>
              <w:rPr>
                <w:sz w:val="18"/>
              </w:rPr>
              <w:t>[systems/genium_inet.md](systems/genium_inet.md)</w:t>
            </w:r>
          </w:p>
        </w:tc>
        <w:tc>
          <w:tcPr>
            <w:tcW w:type="dxa" w:w="2880"/>
          </w:tcPr>
          <w:p>
            <w:pPr/>
            <w:r>
              <w:rPr>
                <w:sz w:val="18"/>
              </w:rPr>
              <w:t>✅ Completed</w:t>
            </w:r>
          </w:p>
        </w:tc>
      </w:tr>
      <w:tr>
        <w:tc>
          <w:tcPr>
            <w:tcW w:type="dxa" w:w="2880"/>
          </w:tcPr>
          <w:p>
            <w:pPr/>
            <w:r>
              <w:rPr>
                <w:sz w:val="18"/>
              </w:rPr>
              <w:t>T7 Derivatives System Deep-Dive</w:t>
            </w:r>
          </w:p>
        </w:tc>
        <w:tc>
          <w:tcPr>
            <w:tcW w:type="dxa" w:w="2880"/>
          </w:tcPr>
          <w:p>
            <w:pPr/>
            <w:r>
              <w:rPr>
                <w:sz w:val="18"/>
              </w:rPr>
              <w:t>[systems/t7_derivatives.md](systems/t7_derivatives.md)</w:t>
            </w:r>
          </w:p>
        </w:tc>
        <w:tc>
          <w:tcPr>
            <w:tcW w:type="dxa" w:w="2880"/>
          </w:tcPr>
          <w:p>
            <w:pPr/>
            <w:r>
              <w:rPr>
                <w:sz w:val="18"/>
              </w:rPr>
              <w:t>✅ Completed</w:t>
            </w:r>
          </w:p>
        </w:tc>
      </w:tr>
      <w:tr>
        <w:tc>
          <w:tcPr>
            <w:tcW w:type="dxa" w:w="2880"/>
          </w:tcPr>
          <w:p>
            <w:pPr/>
            <w:r>
              <w:rPr>
                <w:sz w:val="18"/>
              </w:rPr>
              <w:t>U.S. Derivatives Regulation</w:t>
            </w:r>
          </w:p>
        </w:tc>
        <w:tc>
          <w:tcPr>
            <w:tcW w:type="dxa" w:w="2880"/>
          </w:tcPr>
          <w:p>
            <w:pPr/>
            <w:r>
              <w:rPr>
                <w:sz w:val="18"/>
              </w:rPr>
              <w:t>[regulations/us_derivatives_regulation.md](regulations/us_derivatives_regulation.md)</w:t>
            </w:r>
          </w:p>
        </w:tc>
        <w:tc>
          <w:tcPr>
            <w:tcW w:type="dxa" w:w="2880"/>
          </w:tcPr>
          <w:p>
            <w:pPr/>
            <w:r>
              <w:rPr>
                <w:sz w:val="18"/>
              </w:rPr>
              <w:t>✅ Completed</w:t>
            </w:r>
          </w:p>
        </w:tc>
      </w:tr>
      <w:tr>
        <w:tc>
          <w:tcPr>
            <w:tcW w:type="dxa" w:w="2880"/>
          </w:tcPr>
          <w:p>
            <w:pPr/>
            <w:r>
              <w:rPr>
                <w:sz w:val="18"/>
              </w:rPr>
              <w:t>EU Derivatives Regulation</w:t>
            </w:r>
          </w:p>
        </w:tc>
        <w:tc>
          <w:tcPr>
            <w:tcW w:type="dxa" w:w="2880"/>
          </w:tcPr>
          <w:p>
            <w:pPr/>
            <w:r>
              <w:rPr>
                <w:sz w:val="18"/>
              </w:rPr>
              <w:t>[regulations/eu_derivatives_regulation.md](regulations/eu_derivatives_regulation.md)</w:t>
            </w:r>
          </w:p>
        </w:tc>
        <w:tc>
          <w:tcPr>
            <w:tcW w:type="dxa" w:w="2880"/>
          </w:tcPr>
          <w:p>
            <w:pPr/>
            <w:r>
              <w:rPr>
                <w:sz w:val="18"/>
              </w:rPr>
              <w:t>✅ Completed</w:t>
            </w:r>
          </w:p>
        </w:tc>
      </w:tr>
      <w:tr>
        <w:tc>
          <w:tcPr>
            <w:tcW w:type="dxa" w:w="2880"/>
          </w:tcPr>
          <w:p>
            <w:pPr/>
            <w:r>
              <w:rPr>
                <w:sz w:val="18"/>
              </w:rPr>
              <w:t>Asia Derivatives Regulation</w:t>
            </w:r>
          </w:p>
        </w:tc>
        <w:tc>
          <w:tcPr>
            <w:tcW w:type="dxa" w:w="2880"/>
          </w:tcPr>
          <w:p>
            <w:pPr/>
            <w:r>
              <w:rPr>
                <w:sz w:val="18"/>
              </w:rPr>
              <w:t>[regulations/asia_derivatives_regulation.md](regulations/asia_derivatives_regulation.md)</w:t>
            </w:r>
          </w:p>
        </w:tc>
        <w:tc>
          <w:tcPr>
            <w:tcW w:type="dxa" w:w="2880"/>
          </w:tcPr>
          <w:p>
            <w:pPr/>
            <w:r>
              <w:rPr>
                <w:sz w:val="18"/>
              </w:rPr>
              <w:t>✅ Completed</w:t>
            </w:r>
          </w:p>
        </w:tc>
      </w:tr>
    </w:tbl>
    <w:p/>
    <w:p>
      <w:r>
        <w:t>────────────────────────────────────────────────────────────</w:t>
      </w:r>
    </w:p>
    <w:p>
      <w:pPr>
        <w:pStyle w:val="Heading2"/>
      </w:pPr>
      <w:r>
        <w:t>Sources</w:t>
      </w:r>
    </w:p>
    <w:p>
      <w:pPr>
        <w:pStyle w:val="ListBullet"/>
      </w:pPr>
      <w:r>
        <w:t>[FIA — 2024 Annual ETD Volume Review](https://www.fia.org/fia/articles/2024-annual-etd-volume-review)</w:t>
      </w:r>
    </w:p>
    <w:p>
      <w:pPr>
        <w:pStyle w:val="ListBullet"/>
      </w:pPr>
      <w:r>
        <w:t>[FIA — ETD Tracker](https://www.fia.org/fia/etd-tracker)</w:t>
      </w:r>
    </w:p>
    <w:p>
      <w:pPr>
        <w:pStyle w:val="ListBullet"/>
      </w:pPr>
      <w:r>
        <w:t>[BIS — OTC Derivatives Statistics](https://www.bis.org/statistics/derstats.htm)</w:t>
      </w:r>
    </w:p>
    <w:p>
      <w:pPr>
        <w:pStyle w:val="ListBullet"/>
      </w:pPr>
      <w:r>
        <w:t>[BIS — OTC Derivatives Statistics at end-June 2024](https://www.bis.org/publ/otc_hy2411.htm)</w:t>
      </w:r>
    </w:p>
    <w:p>
      <w:pPr>
        <w:pStyle w:val="ListBullet"/>
      </w:pPr>
      <w:r>
        <w:t>[ISDA — Key Trends in OTC Derivatives Markets H2 2024](https://www.isda.org/2025/07/03/key-trends-in-the-size-and-composition-of-otc-derivatives-markets-in-the-second-half-of-2024)</w:t>
      </w:r>
    </w:p>
    <w:p>
      <w:pPr>
        <w:pStyle w:val="ListBullet"/>
      </w:pPr>
      <w:r>
        <w:t>[NSE — World's Largest Derivative Exchange](https://www.nseindia.com/nse-is-now-worlds-largest-derivatives-exchange)</w:t>
      </w:r>
    </w:p>
    <w:p>
      <w:pPr>
        <w:pStyle w:val="ListBullet"/>
      </w:pPr>
      <w:r>
        <w:t>[CME Group — Record ADV 2024](https://www.marketsmedia.com/cme-reports-record-average-daily-volume-for-2024/)</w:t>
      </w:r>
    </w:p>
    <w:p>
      <w:pPr>
        <w:pStyle w:val="ListBullet"/>
      </w:pPr>
      <w:r>
        <w:t>[Business Standard — NSE Loses Top Spot to B3](https://www.business-standard.com/markets/news/nse-loses-top-derivatives-exchange-spot-to-brazil-b3-eyes-vix-futures-125073001569_1.html)</w:t>
      </w:r>
    </w:p>
    <w:p>
      <w:pPr>
        <w:pStyle w:val="ListBullet"/>
      </w:pPr>
      <w:r>
        <w:t>[Cboe — State of the Options Industry Q3 2025](https://www.cboe.com/insights/posts/the-state-of-the-options-industry-quarter-three-2025/)</w:t>
      </w:r>
    </w:p>
    <w:p>
      <w:pPr>
        <w:pStyle w:val="ListBullet"/>
      </w:pPr>
      <w:r>
        <w:t>[SEBI — 93% Retail F&amp;O Loss Study, September 2024](https://www.sebi.gov.in/media-and-notifications/press-releases/sep-2024/updated-sebi-study-reveals-93-of-individual-traders-incurred-losses-in-equity-fando-between-fy22-and-fy24-aggregate-losses-exceed-1-8-lakh-crores-over-three-years_86906.html)</w:t>
      </w:r>
    </w:p>
    <w:p>
      <w:pPr>
        <w:pStyle w:val="ListBullet"/>
      </w:pPr>
      <w:r>
        <w:t>[OpenGamma — SPAN vs VaR](https://opengamma.com/span-vs-var/)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