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Derivatives Markets -- Comparative Analysis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**Domain:** Derivatives</w:t>
      </w:r>
    </w:p>
    <w:p>
      <w:r>
        <w:rPr>
          <w:i/>
          <w:sz w:val="18"/>
        </w:rPr>
        <w:t>**Scope:** 17 exchanges across Americas, Europe, Asia-Pacific, and Middle East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Product Coverage Comparison</w:t>
      </w:r>
    </w:p>
    <w:p>
      <w:r>
        <w:t>The following table maps which asset classes are traded on each exchange. Product scope ranges from narrow single-commodity venues (DME/GME) to broad multi-asset platforms (CME Group, Eurex, SGX).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Equity Index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Interest Rate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FX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Commodity -- Energy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Commodity -- Metals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Commodity -- Agriculture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Single Stock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Volatility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Credit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ESG / Carbon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(via ETC)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(LME minis)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(ETOs)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(planned)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**DCE**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(iron ore)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**SHFE/INE**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(gold)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(gold)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(V-KOSPI)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CME Group and ICE Futures offer the broadest product range among Western exchanges, covering nearly every asset class.</w:t>
      </w:r>
    </w:p>
    <w:p>
      <w:pPr>
        <w:pStyle w:val="ListBullet"/>
      </w:pPr>
      <w:r>
        <w:t>Eurex is unique in offering credit index futures (iTraxx) and volatility derivatives (VSTOXX) alongside deep interest rate and equity index products.</w:t>
      </w:r>
    </w:p>
    <w:p>
      <w:pPr>
        <w:pStyle w:val="ListBullet"/>
      </w:pPr>
      <w:r>
        <w:t>The three Chinese exchanges (CFFEX, DCE, SHFE) collectively cover all major commodity classes but remain siloed by asset type, with CFFEX focused exclusively on financial derivatives.</w:t>
      </w:r>
    </w:p>
    <w:p>
      <w:pPr>
        <w:pStyle w:val="ListBullet"/>
      </w:pPr>
      <w:r>
        <w:t>NSE F&amp;O stands out for its massive volume concentration in equity index options, particularly Nifty 50.</w:t>
      </w:r>
    </w:p>
    <w:p>
      <w:pPr>
        <w:pStyle w:val="ListBullet"/>
      </w:pPr>
      <w:r>
        <w:t>ESG/Carbon derivatives are emerging primarily on Western exchanges (Eurex, ICE, ASX, Euronext).</w:t>
      </w:r>
    </w:p>
    <w:p>
      <w:pPr>
        <w:pStyle w:val="ListBullet"/>
      </w:pPr>
      <w:r>
        <w:t>KRX covers equity index, interest rate, FX, commodity (gold), single stock, and volatility derivatives — a broad but not exhaustive product range. Notable gaps include energy, agricultural commodities, and ESG/carbon products.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Trading System Technology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Vendor / In-house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Primary Matching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Launch / Latest Version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Sub-millisecond (est. low-microsecond co-lo)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Millions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FIFO, Pro-Rata, Split, LMM hybrids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1992 / ongoing (Google Cloud migration 2026-28)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(Deutsche Borse)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~2.8 microseconds min infrastructure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~8,000 kHz at t_3n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(FIFO); Pro-Rata for select products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 / Release 14.0 (Nov 2025)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HKATS (Genium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Sub-100 microseconds avg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1M+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1995 / Genium INET 2019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SGX Titan DT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(Genium INET v4)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Sub-90 microseconds avg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1M+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2016-17 / ongoing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Cboe Titanium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(ex-BATS)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Sub-100 microseconds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~200B orders/day peak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w/ Customer Priority; DPM/LMM participation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2005 (BATS) / 2022-23 rebrand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ICE Trading Platform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Sub-millisecond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Millions msgs/sec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2000 / ongoing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J-GATE 3.0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(Genium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&lt;100 microseconds avg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~100K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2021 / J-GATE 4.0 planned ~2028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Optiq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ASX 24 NTP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Nasdaq-based (upgrade to LSEG planned 2028)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2016 / LSEG upgrade planned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SOLA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~460 microseconds median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100K+ quotes/sec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/ 2013 upgrade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**DCE**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 (via subsidiary)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**SHFE**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CTP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1999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NEAT / NEAT Plus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~100 microseconds (nanosecond target Apr 2026)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5-6M txns/sec (100M target)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1994 / ongoing upgrade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TAIFEX Electronic Trading System (6th gen)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~200 microseconds (5th gen)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48K+ orders/sec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2025 (6th gen)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Group (hosted)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Same as 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Same as 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FIFO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2009 (migrated from NYMEX ACCESS)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In-house (KOSCOM)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~30-50 microseconds avg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100,000+ TPS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Price-Time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2014 / ongoing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Nasdaq Genium INET is the most widely adopted third-party derivatives trading platform globally, powering HKEX, SGX, and OSE (JPX).</w:t>
      </w:r>
    </w:p>
    <w:p>
      <w:pPr>
        <w:pStyle w:val="ListBullet"/>
      </w:pPr>
      <w:r>
        <w:t>The in-house development trend is prominent among the largest exchanges (CME, Eurex/Deutsche Borse, ICE, Cboe, NSE), where competitive differentiation and customization justify the investment.</w:t>
      </w:r>
    </w:p>
    <w:p>
      <w:pPr>
        <w:pStyle w:val="ListBullet"/>
      </w:pPr>
      <w:r>
        <w:t>CME Group's Google Cloud migration (2026-2028) is unprecedented in scale -- the first major exchange moving its matching engine to cloud infrastructure.</w:t>
      </w:r>
    </w:p>
    <w:p>
      <w:pPr>
        <w:pStyle w:val="ListBullet"/>
      </w:pPr>
      <w:r>
        <w:t>Price-Time (FIFO) is the universal default matching algorithm. Pro-Rata and hybrid algorithms are used selectively (CME for certain interest rate and grain products; Eurex for selected fixed income).</w:t>
      </w:r>
    </w:p>
    <w:p>
      <w:pPr>
        <w:pStyle w:val="ListBullet"/>
      </w:pPr>
      <w:r>
        <w:t>Chinese exchanges do not publicly disclose latency or throughput benchmarks, reflecting a less competitive HFT environment due to regulatory constraints.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Margin Methodology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Exchange / CCP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Methodology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Confidence Level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Holding Period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Cross-Margining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**CME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 / SPAN 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 (SPAN) / HVaR (SPAN 2)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 (SPAN 2)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 days (ETD); 5 days (OTC IRS)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Futures-to-Futures; IRS-to-Futures; CME-OCC cross-margin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 adopted by 50+ exchanges globally; SPAN 2 rollout 2025-26 adds 1,000s of scenarios, concentration risk, anti-procyclicality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**Eurex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Filtered Historical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99.x%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 days (ETD); 5 days (OTC IRS)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Cross-product within Liquidation Groups; cross-market ETD/OTC; cross-holding-period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Portfolio-based; margin floors recalibrated annually; Cloud Prisma Margin Estimator (cPME)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**HKCC / SEOCH**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PRiME (Portfolio Risk Margining Engine)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specified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publicly specified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Limited -- separate clearing houses for futures (HKCC) and stock options (SEOCH)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Replaced SPAN-based methodology; integrated into Genium INET clearing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**SGX-DC**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IRM (Integrated Risk Management)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Scenario-based (SPAN-like)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 days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Cross-product within derivatives clearing; SGX-DC "skin in the game" SGD 200M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Clearing fund contributions scaled to stress-test losses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**OCC** (Cboe clearing)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STANS (System for Theoretical Analysis and Numerical Simulations)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Monte Carlo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 (2-day)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 days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Portfolio margining for equity options + futures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10,000 Monte Carlo scenarios; correlation-based netting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**ICE Clear Europe / US**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ICE Margin Model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HVaR / Scenario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 days (ETD); 5 days (OTC)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Cross-product within same clearing house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Separate clearing houses for Europe and U.S.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**JSCC** (Osaka Exchange)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Historical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Varies by product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Cross-product within JPX derivatives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Migrated from SPAN to VaR in November 2023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**Euronext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VaR-based (formerly LCH SA methodology)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Within Euronext product ecosystem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Full clearing migration from LCH SA completed Sep 2024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**ASX Clear (Futures)**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SPAN-based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 days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OTC IRS cross-margining with listed rates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Covers both ETD and OTC interest rate derivatives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**CDCC** (Montreal Exchange)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 days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Limited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Standard SPAN implementation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Scenario-based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day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None (single-product CCP)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Margins historically raised to 40% during 2015 crisis; currently 10-15% for index futures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Scenario-based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day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Daily price limits interact with margin levels; margins adjusted based on proximity to delivery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**NSE Clearing (NCL)**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day (intraday monitoring)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Limited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100% upfront margin required since 2021 (SEBI peak margin rules)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Scenario-based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day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Intraday margin calls at 09:30, 11:00, 12:30, and 15:00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KRX-SPAN (modified SPAN)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day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Limited (within KRX derivatives)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Scenario-based with 16+ risk scenarios; intraday margin calls at KOSPI 200 volatility ≥80% of margin rate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The industry is migrating from scenario-based (SPAN) to VaR-based methodologies. CME (SPAN 2), JSCC, Eurex (Prisma), and OCC (STANS) have all moved to VaR or Monte Carlo approaches.</w:t>
      </w:r>
    </w:p>
    <w:p>
      <w:pPr>
        <w:pStyle w:val="ListBullet"/>
      </w:pPr>
      <w:r>
        <w:t>Cross-margining capability varies significantly: Eurex Prisma offers the most comprehensive cross-margining (ETD/OTC, cross-holding-period), while Chinese and Taiwanese exchanges offer minimal or no cross-margining.</w:t>
      </w:r>
    </w:p>
    <w:p>
      <w:pPr>
        <w:pStyle w:val="ListBullet"/>
      </w:pPr>
      <w:r>
        <w:t>SEBI's 100% upfront margin requirement for India's NSE is among the strictest globally, aimed at curbing speculative excess.</w:t>
      </w:r>
    </w:p>
    <w:p>
      <w:pPr>
        <w:pStyle w:val="ListBullet"/>
      </w:pPr>
      <w:r>
        <w:t>Chinese exchanges use margin as a regulatory tool -- CFFEX raised margins to 40% during the 2015 crisis, far exceeding international norms.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Fee Structure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Fee Model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Approximate Cost per Contract (Non-Member, per side)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contract; tiered by membership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$0.25 (Micro) -- $1.50 (standard)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Member rates 50-80% lower; volume incentive programs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contract; volume rebates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 0.05 -- 0.50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Market-making rebates; liquidity provider tiered incentives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 + SFC levy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HK$2.00 -- HK$10.54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stamp duty on derivatives; significant MM fee waivers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contract; volume tiers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0.30 -- 2.00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MM fee discounts; separate trading + clearing fees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Maker-taker (BZX/EDGX Options); pro-rata (C1)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$0.00 -- 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Rebates for adding liquidity; SPX/VIX-specific incentive programs; SCORe retail program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lot; volume tiers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$0.50 -- $1.50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LP programmes with tiered rebates; separate IFEU and IFUS schedules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detailed in 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MM fee discounts for selected 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contract; LP rebates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detailed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100% fee rebate for commodity options LPs; EUR 50/month MiFID II MM incentive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detailed in 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ETO market maker fee rebates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Flat fee per contract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detailed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MM incentive programs across all product segments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Transaction fee as % of notional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Variable (historically raised 100x during 2015 crisis)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Fees used as regulatory tool to deter speculation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Transaction fee per lot or % of value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Variable by product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Lower fees for hedging positions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Per-contract fee + STT + regulatory levies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Rs 1.39 -- Rs 5+ per lot (exchange fee) + Securities Transaction Tax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STT on sell side of options (0.0625%) adds significant cost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Per-contract fee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TWD variable by product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Competitive fees for regional 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Group fee schedule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 per CME energy products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Leverages CME Group's global fee infrastructure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Transaction fee as % of notional/premium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0.0018%-0.04995% of notional (futures); 0.09%-1.5% of premium (options)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maker fee rebates; December 2025 first fee change in 20 years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Maker-taker pricing is primarily a U.S. phenomenon (Cboe BZX/EDGX Options). Most global derivatives exchanges use flat per-contract fees.</w:t>
      </w:r>
    </w:p>
    <w:p>
      <w:pPr>
        <w:pStyle w:val="ListBullet"/>
      </w:pPr>
      <w:r>
        <w:t>Chinese exchanges use fees as a regulatory lever -- CFFEX raised intraday fees 100-fold in 2015 to curb speculation.</w:t>
      </w:r>
    </w:p>
    <w:p>
      <w:pPr>
        <w:pStyle w:val="ListBullet"/>
      </w:pPr>
      <w:r>
        <w:t>India's total cost includes Securities Transaction Tax (STT), which materially increases the effective cost of options trading and was a deliberate SEBI policy to reduce speculative volume.</w:t>
      </w:r>
    </w:p>
    <w:p>
      <w:pPr>
        <w:pStyle w:val="ListBullet"/>
      </w:pPr>
      <w:r>
        <w:t>The cheapest access is through micro/mini contracts on CME (as low as $0.25/side for Micro E-mini products), designed for retail participation.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Hours Comparison</w:t>
      </w:r>
    </w:p>
    <w:p>
      <w:r>
        <w:t>All times in UTC. Exchanges sorted by total daily trading hours (longest first).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Core Session (UTC)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Extended / Night Session (UTC)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Total Hours/Day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Lunch Break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13:30--21:00 (RTH varies by product)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23:00 Sun -- 21:00 Fri (near-continuous)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~23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1-hr daily maintenance (21:00-22:00)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 Europe**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07:00--16:30 (energy)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01:00--23:00 (Brent)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~22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 (energy)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01:00--08:30 (T session)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09:00--21:15 (T+1 session)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~20-22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30-min break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Trades on CME Globex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Same as CME Globex energy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~23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45-min daily maintenance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07:00--16:30 (main)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00:00--07:00 (Asian); 16:30--21:00 (US)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~21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23:45--06:15 (day, prev. UTC 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07:30--21:00 (night session)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~21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1-hr break between sessions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00:45--05:45 (day)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07:00--21:00 (after-hours)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~19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1.25-hr break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00:00-06:45 (regular)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09:00-21:00 (night session, since June 2025)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~19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01:15--08:30 (day)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09:15--19:00 (AHT)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~17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30-min lunch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22:30--06:30 (day)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07:10--21:00 (night)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~22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40-min break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07:00--21:00 (index futures)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 for most products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~14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 U.S.**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Varies by product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01:00--23:00 (equity index)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~17-22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13:30--20:15 (RTH)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07:00--13:15 (GTH for SPX/VIX)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~13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11:00--20:30 (regular)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11:00--14:15 (early)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~10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03:45--10:00 (equity F&amp;O)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 (equity); commodity to 18:00+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~6.25 hrs (equity)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01:30--07:15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~5.75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1.5-hr lunch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01:00--07:00 (day)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13:00--15:00 or 18:30 (night)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~8-11 hrs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Multiple breaks</w:t>
            </w:r>
          </w:p>
        </w:tc>
      </w:tr>
    </w:tbl>
    <w:p/>
    <w:p>
      <w:r>
        <w:t>Key overlap periods (UTC):</w:t>
      </w:r>
    </w:p>
    <w:p>
      <w:pPr>
        <w:pStyle w:val="ListBullet"/>
      </w:pPr>
      <w:r>
        <w:t>07:00--08:30: Europe + Asia overlap (Eurex, HKEX, SGX, OSE all active)</w:t>
      </w:r>
    </w:p>
    <w:p>
      <w:pPr>
        <w:pStyle w:val="ListBullet"/>
      </w:pPr>
      <w:r>
        <w:t>13:30--16:30: Americas + Europe overlap (CME, Cboe, ICE + Eurex, ICE Europe all active)</w:t>
      </w:r>
    </w:p>
    <w:p>
      <w:pPr>
        <w:pStyle w:val="ListBullet"/>
      </w:pPr>
      <w:r>
        <w:t>23:00--01:00: Americas close + Asia open overlap (CME Globex + SGX/HKEX pre-open)</w:t>
      </w:r>
    </w:p>
    <w:p>
      <w:r>
        <w:t>Key observations:</w:t>
      </w:r>
    </w:p>
    <w:p>
      <w:pPr>
        <w:pStyle w:val="ListBullet"/>
      </w:pPr>
      <w:r>
        <w:t>Near-24-hour trading is now standard for major benchmark products (CME equity/energy, ICE Brent, SGX Asian indices, Eurex benchmarks, OSE Nikkei/JGB).</w:t>
      </w:r>
    </w:p>
    <w:p>
      <w:pPr>
        <w:pStyle w:val="ListBullet"/>
      </w:pPr>
      <w:r>
        <w:t>Osaka Exchange's night session accounts for 40.5% of total volume -- demonstrating the critical importance of extended hours for global hedging.</w:t>
      </w:r>
    </w:p>
    <w:p>
      <w:pPr>
        <w:pStyle w:val="ListBullet"/>
      </w:pPr>
      <w:r>
        <w:t>Chinese exchanges have the shortest trading hours among major venues, with mandatory lunch breaks and limited night sessions (21:00-23:00 or 02:30 for precious metals). No weekend or holiday trading.</w:t>
      </w:r>
    </w:p>
    <w:p>
      <w:pPr>
        <w:pStyle w:val="ListBullet"/>
      </w:pPr>
      <w:r>
        <w:t>CFFEX is the most restricted major derivatives exchange globally in terms of trading hours (5.75 hours/day with a 1.5-hour lunch break).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Position Limit Approaches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 / Jurisdiction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Authority Setting Limits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Limit Type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Expression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Hedge Exemptions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Foreign Investor Treatment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**CME Group / 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Federal (CFTC Part 150) for 25 core commodities; Exchange for others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(spot month); Accountability levels (other months)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(net)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bona fide hedging; anticipatory hedging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CFTC registration may apply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**Eurex / BaFin**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NCA (BaFin) under MiFID II Art. 57 for commodity derivatives; Exchange for others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(commodity); Accountability (financial)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Net positions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non-financial entities only (financial entities cannot get hedge exemptions under MiFID II)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cross-border membership available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**HKEX / SFC**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Statutory 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expressed in position delta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Position delta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SFC application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SFC licensing required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**SGX / MAS**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(SGX)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+ Accountability levels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+ accountability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SGX application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MAS licensing required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**Cboe / SEC+CFTC**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rules (SEC-approved)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Position limits (equity options); effectively unlimited for SPX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hedge exemptions available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**ICE / FCA+CFTC**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IFEU: UK FCA rules; IFUS: CFTC Part 150 +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(physical commodities); Accountability (financial)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(net)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**Osaka Exchange / JFSA**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Exchange-set limits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(net)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exchange application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FBOT registration for U.S. participants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**Euronext / AMF**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NCA (AMF, CONSOB, etc.) under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(commodity); Accountability (financial)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Net positions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non-financial entities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**CFFEX / CSRC**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CSRC directive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(historically severely tightened)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per day (intraday limit) + total position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Limited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Restricted -- QFI access only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**NSE / SEBI**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SEBI framework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Market-wide + client-level limits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and % of OI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FPI registration required; position limits apply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**TAIFEX / FSC**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by investor type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TAIFEX application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FINI/FIDI registration; separate limits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 / FSC**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Hard limits per customer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Contracts (net for commodities)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Yes -- exchange application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Same limits; QFI registration required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The U.S. model combines federal speculative position limits (CFTC Part 150 for 25 core commodities) with exchange-set accountability levels for financial products -- the most comprehensive framework globally.</w:t>
      </w:r>
    </w:p>
    <w:p>
      <w:pPr>
        <w:pStyle w:val="ListBullet"/>
      </w:pPr>
      <w:r>
        <w:t>The EU model under MiFID II Art. 57 uniquely denies hedge exemptions to financial entities for commodity derivatives, distinguishing it from the U.S. approach.</w:t>
      </w:r>
    </w:p>
    <w:p>
      <w:pPr>
        <w:pStyle w:val="ListBullet"/>
      </w:pPr>
      <w:r>
        <w:t>China (CFFEX) has the most restrictive approach, having used position limits (10 contracts/day intraday limit) as a crisis response tool in 2015, with gradual relaxation since 2017.</w:t>
      </w:r>
    </w:p>
    <w:p>
      <w:pPr>
        <w:pStyle w:val="ListBullet"/>
      </w:pPr>
      <w:r>
        <w:t>Hong Kong is unique in expressing position limits as position delta rather than contract counts, providing a more sophisticated risk measure that accounts for options exposure.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Circuit Breaker Mechanisms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Thresholds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Halt Duration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 (equity) + Dynamic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-7% / -13% / -20% (equity, coordinated with SEC); +/-3.5% rolling 60-min (dynamic)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min / 10 min / remainder of day; 2-min pause (dynamic)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Market-wide (equity circuit breakers); product-level (dynamic)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(Volatility Interruption)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price deviation from reference price (configurable per product)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Volatility auction period (variable duration)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 (or product group)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(VCM) + DPB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+/-5% from last traded price (VCM trigger)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Cooling-off period (trading continues within band)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(Cooling-Off Period)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+/-10-15% from reference price (varies by product)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5-minute cooling-off period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Market-wide (MWCB) + LULD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-7% / -13% / -20% (S&amp;P 500)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 min / 15 min / remainder of day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Market-wide (coordinated)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(IPL) + Static (DPL)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Interval Price Limits (configurable); Daily Price Limits for select products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 hold (pre-set duration); expanded limits after trigger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 (Daily Price Limits) + Dynamic (Immediately Executable Price Range)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~8% initial daily limit (Nikkei 225); dynamic range from last traded price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~10-min halt + expanded limits (static); brief halt + auction (dynamic)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 (all related contracts halt together)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(Volatility Interruption)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+ static price collars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Reservation period (auction call phase)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Price bands around reference price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Brief cooling-off period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+/-7% from previous settlement (early session)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N/A -- trading continues at limit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 (Daily Price Limits)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+/-10% (index futures); +/-0.5% to +/-3.5% (CGB futures by duration)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Trading at limit price; market does not halt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 (Daily Price Limits)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+/-4% to +/-10% (varies by product); expandable after consecutive limit days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Trading at limit; limits expand next session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Market-wide (SEBI framework)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10% / 15% / 20% (Nifty 50 / Sensex decline)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 min / 15 min / remainder of day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Market-wide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+/-10% from previous settlement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Trading at limit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Dynamic (VI) + Static (daily limits) + Market-wide (Sidecar)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±3% dynamic VI; ±5% sidecar trigger (1 min with ±3% theoretical variance); ±10% daily limit (KOSPI 200)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2-min VI halt + auction; 5-min sidecar halt (all derivatives); trading at daily limit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Product-level (VI) + Market-wide (sidecar)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Dynamic circuit breakers (Eurex Volatility Interruption, HKEX VCM, SGX Cooling-Off) are the dominant model in Europe and Asia -- they allow orderly price discovery through auctions rather than hard halts.</w:t>
      </w:r>
    </w:p>
    <w:p>
      <w:pPr>
        <w:pStyle w:val="ListBullet"/>
      </w:pPr>
      <w:r>
        <w:t>Static daily price limits dominate in China (CFFEX, DCE, SHFE) and Taiwan, reflecting a preference for absolute containment of daily price moves.</w:t>
      </w:r>
    </w:p>
    <w:p>
      <w:pPr>
        <w:pStyle w:val="ListBullet"/>
      </w:pPr>
      <w:r>
        <w:t>The U.S. market-wide circuit breaker system (CME + Cboe + all U.S. exchanges) is the most coordinated cross-venue mechanism, triggered by S&amp;P 500 declines of 7%, 13%, and 20%.</w:t>
      </w:r>
    </w:p>
    <w:p>
      <w:pPr>
        <w:pStyle w:val="ListBullet"/>
      </w:pPr>
      <w:r>
        <w:t>Japan's dual mechanism combines static daily price limits with a dynamic "Immediately Executable Price Range" -- providing both absolute bounds and intraday volatility control.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Regulatory Framework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Region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Primary Regulator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Key Legislation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Clearing Mandate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Position Limit Authority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Cross-Border Framework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**United States**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CFTC (futures/swaps); SEC (security-based swaps, equity options)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CEA; Dodd-Frank Act Title VII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standardized OTC IRS and index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Federal (CFTC Part 150) for 25 core commodities; Exchange-set for others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FBOT registration; bilateral MOUs; CME Clearing recognized globally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**European Union**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ESMA + NCAs (BaFin, AMF, CONSOB, etc.)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(clearing/reporting); MiFID II/MiFIR (trading/transparency); MAR (market abuse)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standardized OTC IRS and index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NCAs under MiFID II Art. 57; ESMA coordination; BaFin sets limits for Eurex commodity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3.0 Active Account Requirement; third-country CCP tiering (Tier 1/Tier 2); equivalence decisions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**United Kingdom**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FCA; Bank of England (for CCPs)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EMIR; UK MiFID II/MiFIR; FSMA 2000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standardized OTC IRS and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 under UK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FBOT registration with CFTC; UK EMIR third-country CCP recognition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**Japan**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JFSA; SESC (enforcement)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FIEA; Commodity Derivatives Act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JPY IRS and iTraxx Japan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(OSE) under JFSA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 exempt from CFTC DCO registration; ESMA equivalence; bilateral MOUs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**Hong Kong**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SFC; HKMA (banks)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SFO (Cap. 571); OTC Derivatives Rules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IRS (HKD, USD, EUR, GBP) between prescribed persons and FSPs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Statutory 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OTC Clear CFTC-exempt; ESMA equivalence; Swap Connect with China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**Singapore**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MAS (integrated regulator + central bank)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SFA 2001; OTC Derivatives Reporting/Clearing Regs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Mandatory for SGD/USD IRS above S$20B threshold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(SGX) with MAS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 fully registered CFTC DCO; ESMA equivalence; GIFT Connect with India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**China**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Futures and Derivatives Law (2022); Securities Law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All exchange-traded cleared by default; limited OTC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CSRC directive; used as crisis management tool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Limited -- QFI access; internationalized products only on INE/DCE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**India**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Act; Securities Contract Act; SEBI Circular Framework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All exchange-traded cleared by NSE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framework; exchange-set within SEBI guidelines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 IX at GIFT City (IFSC); GIFT Connect with SGX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**Taiwan**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Futures Trading Law (1997)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All exchange-traded cleared by TAIFEX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Limited cross-border access; FINI/FIDI registration system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**UAE (DIFC)**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DFSA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DIFC laws; DFSA rulebook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Cleared via CME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Group position limits apply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DFSA free-zone regime; CFTC oversight via CME partnership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**South Korea**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+ FSS (dual structure)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FSCMA (자본시장법); Derivatives Market Business Regulations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All exchange-traded cleared by KRX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 oversight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QFI access; limited cross-border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Regulatory convergence is advancing globally, driven by G20 Pittsburgh commitments (2009) and CPMI-IOSCO PFMI standards. All major jurisdictions now mandate OTC derivatives clearing, trade reporting, and risk mitigation.</w:t>
      </w:r>
    </w:p>
    <w:p>
      <w:pPr>
        <w:pStyle w:val="ListBullet"/>
      </w:pPr>
      <w:r>
        <w:t>The EU is the most prescriptive regime, with EMIR 3.0's Active Account Requirement representing a unique attempt to repatriate clearing from third-country CCPs (primarily LCH and CME).</w:t>
      </w:r>
    </w:p>
    <w:p>
      <w:pPr>
        <w:pStyle w:val="ListBullet"/>
      </w:pPr>
      <w:r>
        <w:t>Trade reporting harmonization is near-complete, with UTI, UPI, and CDE standards adopted across the U.S. (2022), EU (2024), Japan (2024), Singapore (2024), and Hong Kong (2025).</w:t>
      </w:r>
    </w:p>
    <w:p>
      <w:pPr>
        <w:pStyle w:val="ListBullet"/>
      </w:pPr>
      <w:r>
        <w:t>China remains the most restricted major market for cross-border participation, though the internationalization of select products (INE crude oil, DCE iron ore) represents incremental opening.</w:t>
      </w:r>
    </w:p>
    <w:p>
      <w:pPr>
        <w:pStyle w:val="ListBullet"/>
      </w:pPr>
      <w:r>
        <w:t>Korea's FSC/FSS dual structure is unique -- separating policy-making from supervision/examination, unlike any other major jurisdiction.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Key Observations &amp; Insights</w:t>
      </w:r>
    </w:p>
    <w:p>
      <w:pPr>
        <w:pStyle w:val="Heading3"/>
      </w:pPr>
      <w:r>
        <w:t>9.1 Regional Trends and Differences</w:t>
      </w:r>
    </w:p>
    <w:p>
      <w:r>
        <w:t>Americas:</w:t>
      </w:r>
    </w:p>
    <w:p>
      <w:pPr>
        <w:pStyle w:val="ListBullet"/>
      </w:pPr>
      <w:r>
        <w:t>The U.S. dominates global derivatives by both volume and open interest, with CME Group, ICE, and Cboe collectively accounting for the majority of global risk transfer activity.</w:t>
      </w:r>
    </w:p>
    <w:p>
      <w:pPr>
        <w:pStyle w:val="ListBullet"/>
      </w:pPr>
      <w:r>
        <w:t>The U.S. is unique in maintaining a dual regulatory structure (CFTC/SEC), though the vast majority of derivatives activity falls under CFTC jurisdiction.</w:t>
      </w:r>
    </w:p>
    <w:p>
      <w:pPr>
        <w:pStyle w:val="ListBullet"/>
      </w:pPr>
      <w:r>
        <w:t>0DTE options on Cboe (59% of SPX volume in 2025) represent a structural shift in how institutional and retail investors manage risk, with no comparable phenomenon outside the U.S.</w:t>
      </w:r>
    </w:p>
    <w:p>
      <w:pPr>
        <w:pStyle w:val="ListBullet"/>
      </w:pPr>
      <w:r>
        <w:t>Montreal Exchange (MX) serves as a strong template for a national-scale, single-asset-class derivatives exchange, demonstrating that specialization can drive competitiveness.</w:t>
      </w:r>
    </w:p>
    <w:p>
      <w:r>
        <w:t>Europe:</w:t>
      </w:r>
    </w:p>
    <w:p>
      <w:pPr>
        <w:pStyle w:val="ListBullet"/>
      </w:pPr>
      <w:r>
        <w:t>Eurex and ICE Futures Europe are the two dominant venues, with strong vertical integration (exchange + CCP + data).</w:t>
      </w:r>
    </w:p>
    <w:p>
      <w:pPr>
        <w:pStyle w:val="ListBullet"/>
      </w:pPr>
      <w:r>
        <w:t>EMIR 3.0's Active Account Requirement signals a political willingness to use regulation to influence clearing location -- a development with global implications for CCP competition.</w:t>
      </w:r>
    </w:p>
    <w:p>
      <w:pPr>
        <w:pStyle w:val="ListBullet"/>
      </w:pPr>
      <w:r>
        <w:t>Euronext's entry into fixed income derivatives (BTP, OAT, Bund futures in September 2025) directly challenges Eurex's dominance in European government bond futures.</w:t>
      </w:r>
    </w:p>
    <w:p>
      <w:r>
        <w:t>Asia-Pacific:</w:t>
      </w:r>
    </w:p>
    <w:p>
      <w:pPr>
        <w:pStyle w:val="ListBullet"/>
      </w:pPr>
      <w:r>
        <w:t>The region shows the greatest diversity in regulatory approaches, market structures, and product focus.</w:t>
      </w:r>
    </w:p>
    <w:p>
      <w:pPr>
        <w:pStyle w:val="ListBullet"/>
      </w:pPr>
      <w:r>
        <w:t>India's NSE F&amp;O is the most volume-intensive exchange globally by contract count, but SEBI's 2024 measures (weekly expiry restrictions, increased lot sizes, higher margins) have deliberately reduced volumes.</w:t>
      </w:r>
    </w:p>
    <w:p>
      <w:pPr>
        <w:pStyle w:val="ListBullet"/>
      </w:pPr>
      <w:r>
        <w:t>China's three commodity exchanges (SHFE, DCE, ZCE) collectively represent enormous volume but remain largely closed to international participation, with gradual internationalization of select products.</w:t>
      </w:r>
    </w:p>
    <w:p>
      <w:pPr>
        <w:pStyle w:val="ListBullet"/>
      </w:pPr>
      <w:r>
        <w:t>SGX has established itself as Asia's derivatives gateway, offering offshore access to major Asian equity indices and serving as the key FX futures venue.</w:t>
      </w:r>
    </w:p>
    <w:p>
      <w:pPr>
        <w:pStyle w:val="Heading3"/>
      </w:pPr>
      <w:r>
        <w:t>9.2 Technology Convergence and Divergence</w:t>
      </w:r>
    </w:p>
    <w:p>
      <w:r>
        <w:t>Convergence:</w:t>
      </w:r>
    </w:p>
    <w:p>
      <w:pPr>
        <w:pStyle w:val="ListBullet"/>
      </w:pPr>
      <w:r>
        <w:t>Sub-100 microsecond latency is now the baseline expectation for Tier 1 exchanges.</w:t>
      </w:r>
    </w:p>
    <w:p>
      <w:pPr>
        <w:pStyle w:val="ListBullet"/>
      </w:pPr>
      <w:r>
        <w:t>Price-Time (FIFO) matching is the near-universal default algorithm.</w:t>
      </w:r>
    </w:p>
    <w:p>
      <w:pPr>
        <w:pStyle w:val="ListBullet"/>
      </w:pPr>
      <w:r>
        <w:t>Binary order entry protocols (CME iLink 3, Eurex ETI, Nasdaq OUCH, Cboe BOE) have replaced FIX-text for latency-sensitive participants.</w:t>
      </w:r>
    </w:p>
    <w:p>
      <w:pPr>
        <w:pStyle w:val="ListBullet"/>
      </w:pPr>
      <w:r>
        <w:t>Full-depth market data via multicast UDP (CME MDP 3.0, Eurex EOBI, SGX ITCH, Cboe Multicast PITCH) is standard.</w:t>
      </w:r>
    </w:p>
    <w:p>
      <w:r>
        <w:t>Divergence:</w:t>
      </w:r>
    </w:p>
    <w:p>
      <w:pPr>
        <w:pStyle w:val="ListBullet"/>
      </w:pPr>
      <w:r>
        <w:t>Cloud migration: CME Group is pioneering cloud-hosted matching engines (Google Cloud, 2026-2028); no other major exchange has announced comparable plans.</w:t>
      </w:r>
    </w:p>
    <w:p>
      <w:pPr>
        <w:pStyle w:val="ListBullet"/>
      </w:pPr>
      <w:r>
        <w:t>Platform strategy: Exchanges are split between in-house development (CME, Eurex, ICE, Cboe, NSE, TAIFEX, Chinese exchanges) and Nasdaq technology licensing (HKEX, SGX, OSE, ASX).</w:t>
      </w:r>
    </w:p>
    <w:p>
      <w:pPr>
        <w:pStyle w:val="ListBullet"/>
      </w:pPr>
      <w:r>
        <w:t>Latency competition: Eurex's T7 Release 14.0 claims ~2.8 microsecond minimum infrastructure latency, establishing a new benchmark; NSE targets nanosecond-level latency from April 2026.</w:t>
      </w:r>
    </w:p>
    <w:p>
      <w:pPr>
        <w:pStyle w:val="Heading3"/>
      </w:pPr>
      <w:r>
        <w:t>9.3 Regulatory Harmonization Progress</w:t>
      </w:r>
    </w:p>
    <w:p>
      <w:r>
        <w:t>Substantially harmonized:</w:t>
      </w:r>
    </w:p>
    <w:p>
      <w:pPr>
        <w:pStyle w:val="ListBullet"/>
      </w:pPr>
      <w:r>
        <w:t>OTC derivatives clearing mandates (all G20 jurisdictions)</w:t>
      </w:r>
    </w:p>
    <w:p>
      <w:pPr>
        <w:pStyle w:val="ListBullet"/>
      </w:pPr>
      <w:r>
        <w:t>Trade reporting (UTI, UPI, CDE standards adopted globally, 2022-2025)</w:t>
      </w:r>
    </w:p>
    <w:p>
      <w:pPr>
        <w:pStyle w:val="ListBullet"/>
      </w:pPr>
      <w:r>
        <w:t>CCP risk management (CPMI-IOSCO PFMI)</w:t>
      </w:r>
    </w:p>
    <w:p>
      <w:pPr>
        <w:pStyle w:val="ListBullet"/>
      </w:pPr>
      <w:r>
        <w:t>Cross-border CCP recognition frameworks</w:t>
      </w:r>
    </w:p>
    <w:p>
      <w:r>
        <w:t>Still divergent:</w:t>
      </w:r>
    </w:p>
    <w:p>
      <w:pPr>
        <w:pStyle w:val="ListBullet"/>
      </w:pPr>
      <w:r>
        <w:t>Position limit frameworks (federal statutory in the U.S.; NCA-set in EU; exchange-set in Asia)</w:t>
      </w:r>
    </w:p>
    <w:p>
      <w:pPr>
        <w:pStyle w:val="ListBullet"/>
      </w:pPr>
      <w:r>
        <w:t>Margin methodology (SPAN, SPAN 2, Prisma, STANS, proprietary -- no single global standard)</w:t>
      </w:r>
    </w:p>
    <w:p>
      <w:pPr>
        <w:pStyle w:val="ListBullet"/>
      </w:pPr>
      <w:r>
        <w:t>Retail participation controls (India's SEBI has the strictest approach; China restricts access by net worth; most other jurisdictions have lighter touch)</w:t>
      </w:r>
    </w:p>
    <w:p>
      <w:pPr>
        <w:pStyle w:val="ListBullet"/>
      </w:pPr>
      <w:r>
        <w:t>Market access for foreign participants (ranging from fully open in the U.S./EU/UK to highly restricted in China)</w:t>
      </w:r>
    </w:p>
    <w:p>
      <w:pPr>
        <w:pStyle w:val="Heading3"/>
      </w:pPr>
      <w:r>
        <w:t>9.4 Areas Where KRX Leads vs. Lags</w:t>
      </w:r>
    </w:p>
    <w:p>
      <w:r>
        <w:t>KRX strengths (relative to global peers):</w:t>
      </w:r>
    </w:p>
    <w:p>
      <w:pPr>
        <w:pStyle w:val="ListBullet"/>
      </w:pPr>
      <w:r>
        <w:t>Vertically integrated exchange + CCP model (similar to HKEX, ASX)</w:t>
      </w:r>
    </w:p>
    <w:p>
      <w:pPr>
        <w:pStyle w:val="ListBullet"/>
      </w:pPr>
      <w:r>
        <w:t>High derivatives trading volume, particularly in KOSPI 200 options (historically the world's most actively traded single equity index option)</w:t>
      </w:r>
    </w:p>
    <w:p>
      <w:pPr>
        <w:pStyle w:val="ListBullet"/>
      </w:pPr>
      <w:r>
        <w:t>Robust technology infrastructure with competitive latency</w:t>
      </w:r>
    </w:p>
    <w:p>
      <w:pPr>
        <w:pStyle w:val="ListBullet"/>
      </w:pPr>
      <w:r>
        <w:t>Strong retail investor participation and electronic trading culture</w:t>
      </w:r>
    </w:p>
    <w:p>
      <w:r>
        <w:t>Areas for KRX to monitor or improve:</w:t>
      </w:r>
    </w:p>
    <w:p>
      <w:pPr>
        <w:pStyle w:val="ListBullet"/>
      </w:pPr>
      <w:r>
        <w:t>Extended trading hours: KRX now offers ~19 hours/day coverage since the June 2025 night session launch, narrowing the gap with CME (near-24-hour), Eurex (21 hours), SGX (22 hours), and OSE (21 hours with night session). OSE's night session generating 40.5% of volume demonstrates the value of extended hours.</w:t>
      </w:r>
    </w:p>
    <w:p>
      <w:pPr>
        <w:pStyle w:val="ListBullet"/>
      </w:pPr>
      <w:r>
        <w:t>Product diversification: KRX could expand beyond equity index and single stock derivatives into commodity, FX, and interest rate derivatives more aggressively -- following the SGX and HKEX multi-asset model.</w:t>
      </w:r>
    </w:p>
    <w:p>
      <w:pPr>
        <w:pStyle w:val="ListBullet"/>
      </w:pPr>
      <w:r>
        <w:t>Cross-margining: KRX's vertical silo model limits cross-margining opportunities compared to CME (futures-to-OTC IRS) and Eurex (Prisma cross-market netting).</w:t>
      </w:r>
    </w:p>
    <w:p>
      <w:pPr>
        <w:pStyle w:val="ListBullet"/>
      </w:pPr>
      <w:r>
        <w:t>Margin methodology modernization: The global trend toward VaR-based margining (CME SPAN 2, Eurex Prisma, JSCC VaR) warrants evaluation if KRX still uses scenario-based approaches.</w:t>
      </w:r>
    </w:p>
    <w:p>
      <w:pPr>
        <w:pStyle w:val="ListBullet"/>
      </w:pPr>
      <w:r>
        <w:t>International connectivity: SGX's GIFT Connect (India) and HKEX's Swap Connect (China) demonstrate the value of structured cross-border access arrangements. KRX could explore similar connectivity with regional partners.</w:t>
      </w:r>
    </w:p>
    <w:p>
      <w:pPr>
        <w:pStyle w:val="ListBullet"/>
      </w:pPr>
      <w:r>
        <w:t>ESG/Carbon derivatives: Eurex, ICE, and ASX have launched carbon and ESG index derivatives. KRX could consider products aligned with Korea's emissions trading and ESG mandates.</w:t>
      </w:r>
    </w:p>
    <w:p>
      <w:pPr>
        <w:pStyle w:val="ListBullet"/>
      </w:pPr>
      <w:r>
        <w:t>Crypto derivatives: CME, SGX, Eurex, and ICE have all launched regulated crypto derivatives. KRX could assess market demand for institutional-grade crypto products.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Summary Tables</w:t>
      </w:r>
    </w:p>
    <w:p>
      <w:pPr>
        <w:pStyle w:val="Heading3"/>
      </w:pPr>
      <w:r>
        <w:t>10.1 Exchange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Parent Group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ADV (2025, millions)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Key Products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Trading System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CME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Group Inc.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28.1 (record; Q1 2026: 36.2)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E-mini S&amp;P 500, SOFR, WTI, Gold, Corn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Globex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Germany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~8.0 (2,066M annual / ~260 days)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 STOXX 50, Bund, Bobl, DAX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T7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HKEX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Hong Kong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~1.9 (Q1 2025 record)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HSI, HSCEI, HS TECH, Stock Options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HKATS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SGX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Singapore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~1.4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FTSE China A50, Nikkei 225, Iron Ore, FX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 Titan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Cboe Global Markets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18.4 (options)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SPX Options, VIX Options/Futures, 0DTE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Cboe Titanium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ICE Futures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/ USA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Inc.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9.3 (record)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Brent Crude, TTF Gas, Sugar, SONIA, EUA Carbon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Trading Platform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Osaka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Japan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JPX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~1.9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Nikkei 225, JGB, TONA, Gold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J-GATE 3.0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Euronext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Netherlands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Euronext N.V.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~0.6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CAC 40, AEX, FTSE MIB, Wheat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Optiq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Australia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Ltd.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 (record Q4 2025)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3Y/10Y Bond, SPI 200, ETOs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24 NTP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Montreal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Canada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TMX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~0.9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CGB, CORRA, S&amp;P/TSX 60, Equity Options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SOLA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CFFEX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China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Joint venture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CSI 300, CGB Futures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Proprietary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DCE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China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Independent (CSRC)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 (~2.5B annual 2023)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Iron Ore, Soybean Meal, LLDPE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Proprietary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SHFE/INE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China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Independent (CSRC)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Copper, Gold, Crude Oil (INE), Steel Rebar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CTP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F&amp;O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 (~85-108B contracts/yr)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Nifty 50 Options, Bank Nifty, Single Stock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NEAT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Taiwan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Independent (TWSE shareholder)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TAIEX Futures/Options, Foreign Index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In-house (6th gen)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DME/GME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UAE (DIFC)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DME Holdings (CME + STG)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Oman Crude Oil Futures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Globex (hosted)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South Korea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Korea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~1.5B contracts/yr (2024 est.)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KOSPI 200 Options/Futures, KTB, USD, Stock F&amp;O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EXTURE+</w:t>
            </w:r>
          </w:p>
        </w:tc>
      </w:tr>
    </w:tbl>
    <w:p/>
    <w:p>
      <w:pPr>
        <w:pStyle w:val="Heading3"/>
      </w:pPr>
      <w:r>
        <w:t>10.2 Regulatory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Region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Primary Regulator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Key Law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OTC Clearing Mandate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Position Limits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CFTC + SEC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CEA / Dodd-Frank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Federal (CFTC Part 150) +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Clearing, OCC, ICE Clear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ESMA + NCAs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/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NCA under MiFID II Art. 57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Eurex Clearing, Euronext Clearing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UK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 + BoE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EMIR / UK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 under UK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Clear Europe, LCH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Japan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JFSA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FIEA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JPY IRS + iTraxx Japan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Hong Kong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SFC + HKMA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(HKD/USD/EUR/GBP)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Statutory 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HKCC, SEOCH, OTC Clear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Singapore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(above S$20B threshold)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(SGX)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China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Futures &amp; Derivatives Law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Exchange-traded only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CSRC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CFFEX, SHFE, DCE (self-clearing)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India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Act / Securities Contract Act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Exchange-traded only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framework +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 Clearing (NCL)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Taiwan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Futures Trading Law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Exchange-traded only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TAIFEX Clearing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South Korea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+ FSS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FSCMA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KRW IRS/CRS (limited)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 under 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KRX (integrated exchange-CCP)</w:t>
            </w:r>
          </w:p>
        </w:tc>
      </w:tr>
    </w:tbl>
    <w:p/>
    <w:p>
      <w:pPr>
        <w:pStyle w:val="Heading3"/>
      </w:pPr>
      <w:r>
        <w:t>10.3 Margin Methodology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CCP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Current Methodology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Migrating To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+ SPAN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 + HVaR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2 for all products (2025-26)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Filtered Historical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 (already VaR-based)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Monte Carlo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 (already VaR-based)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ICE Clear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ICE Margin Model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HVaR / 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Historical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 (migrated from SPAN in Nov 2023)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HKCC/SEOCH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 (migrated from SPAN)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 (SPAN-like)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Under review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ASX Clear (Futures)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SPAN-based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Under review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CDCC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Under review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NSE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Under review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CFFEX/DCE/SHFE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disclosed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disclosed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KRX-SPAN (modified SPAN)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Scenario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VaR-based (under evaluation, following JSCC 2023 precedent)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This comparative analysis is based on research conducted through April 2026. Data points are sourced from individual exchange research files, regulatory analysis documents, and system deep-dive files within the exchange_review/02_derivatives project. Items marked [unverified] in source files are reflected here as best-available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