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글로벌 파생상품시장 — 비교 분석 (Global Derivatives Markets -- Comparative Analysis)</w:t>
      </w:r>
    </w:p>
    <w:p>
      <w:r>
        <w:rPr>
          <w:i/>
          <w:sz w:val="18"/>
        </w:rPr>
        <w:t>**최종 수정일:** 2026-04-13</w:t>
      </w:r>
    </w:p>
    <w:p>
      <w:r>
        <w:rPr>
          <w:i/>
          <w:sz w:val="18"/>
        </w:rPr>
        <w:t>**영역:** 파생상품 (Derivatives)</w:t>
      </w:r>
    </w:p>
    <w:p>
      <w:r>
        <w:rPr>
          <w:i/>
          <w:sz w:val="18"/>
        </w:rPr>
        <w:t>**범위:** 아메리카, 유럽, 아시아-태평양, 중동 지역 17개 거래소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상품 범위 비교 (Product Coverage Comparison)</w:t>
      </w:r>
    </w:p>
    <w:p>
      <w:r>
        <w:t>아래 표는 각 거래소에서 거래되는 자산군을 정리한 것이다. 상품 범위는 단일 원자재 특화 거래소(DME/GME)부터 다자산 종합 플랫폼(CME Group (씨엠이 그룹), Eurex (유렉스), SGX (싱가포르거래소))에 이르기까지 다양하다.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주가지수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금리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FX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원자재 — 에너지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원자재 — 금속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원자재 — 농산물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개별 주식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변동성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신용</w:t>
            </w:r>
          </w:p>
        </w:tc>
        <w:tc>
          <w:tcPr>
            <w:tcW w:type="dxa" w:w="785"/>
          </w:tcPr>
          <w:p>
            <w:pPr/>
            <w:r>
              <w:rPr>
                <w:b/>
                <w:sz w:val="18"/>
              </w:rPr>
              <w:t>ESG / 탄소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(ETC 경유)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(LME 미니)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(ETO)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(계획 중)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**DCE**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(철광석)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**SHFE/INE**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(금)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  <w:tr>
        <w:tc>
          <w:tcPr>
            <w:tcW w:type="dxa" w:w="785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(금)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✓ (V-KOSPI)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  <w:tc>
          <w:tcPr>
            <w:tcW w:type="dxa" w:w="785"/>
          </w:tcPr>
          <w:p>
            <w:pPr/>
            <w:r>
              <w:rPr>
                <w:sz w:val="18"/>
              </w:rPr>
              <w:t>✗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CME Group과 ICE Futures는 서방 거래소 중 가장 광범위한 상품 라인업을 갖추고 있으며, 거의 모든 자산군을 포괄한다.</w:t>
      </w:r>
    </w:p>
    <w:p>
      <w:pPr>
        <w:pStyle w:val="ListBullet"/>
      </w:pPr>
      <w:r>
        <w:t>Eurex는 심층적인 금리 및 주가지수 상품과 함께 신용지수선물(iTraxx)과 변동성 파생상품(VSTOXX)을 함께 제공하는 독보적인 위치에 있다.</w:t>
      </w:r>
    </w:p>
    <w:p>
      <w:pPr>
        <w:pStyle w:val="ListBullet"/>
      </w:pPr>
      <w:r>
        <w:t>중국 3개 거래소(CFFEX, DCE, SHFE)는 총체적으로 주요 원자재 전 분야를 포괄하나 자산 유형별로 분리 운영되며, CFFEX는 금융 파생상품에만 집중하고 있다.</w:t>
      </w:r>
    </w:p>
    <w:p>
      <w:pPr>
        <w:pStyle w:val="ListBullet"/>
      </w:pPr>
      <w:r>
        <w:t>NSE F&amp;O는 특히 Nifty 50 (니프티 50)을 중심으로 주가지수옵션 거래량이 압도적으로 집중되어 있어 두드러진다.</w:t>
      </w:r>
    </w:p>
    <w:p>
      <w:pPr>
        <w:pStyle w:val="ListBullet"/>
      </w:pPr>
      <w:r>
        <w:t>ESG/탄소 파생상품은 주로 서방 거래소(Eurex, ICE, ASX, Euronext)에서 부상하고 있다.</w:t>
      </w:r>
    </w:p>
    <w:p>
      <w:pPr>
        <w:pStyle w:val="ListBullet"/>
      </w:pPr>
      <w:r>
        <w:t>KRX는 주가지수, 금리, FX, 원자재(금), 개별주식, 변동성 파생상품을 취급하며 폭넓은 상품 구성을 갖추고 있으나, 에너지·농산물·ESG/탄소 상품이 부재한다는 점이 주목할 만한 공백이다.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매매 시스템 기술 비교 (Trading System Technology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공급사 / 자체 개발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지연속도 (Latency)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처리량 (Throughput)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주요 체결 방식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도입 / 최신 버전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서브 밀리초 (코로케이션 기준 저지연 마이크로초 추정)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수백만 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FIFO, 비례배분, 혼합, LMM 하이브리드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1992년 / 운영 중 (Google Cloud 마이그레이션 2026-28)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T7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 (Deutsche Borse)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최소 인프라 기준 약 2.8 마이크로초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t_3n 기준 약 8,000 kHz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(FIFO); 일부 상품 비례배분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2017년 / Release 14.0 (2025년 11월)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HKATS (Genium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평균 100 마이크로초 미만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100만 건 이상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1995년 / Genium INET 2019년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SGX Titan DT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(Genium INET v4)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평균 90 마이크로초 미만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100만 건 이상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2016-17년 / 운영 중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Cboe Titanium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 (구 BATS)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 마이크로초 미만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일일 피크 약 2,000억 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+ 고객 우선; DPM/LMM 참여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2005년 (BATS) / 2022-23년 리브랜드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ICE Trading Platform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서브 밀리초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수백만 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2000년 / 운영 중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J-GATE 3.0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(Genium INET)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평균 100 마이크로초 미만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약 10만 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2021년 / J-GATE 4.0 2028년경 예정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Optiq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2018년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ASX 24 NTP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Nasdaq 기반 (2028년 LSEG 업그레이드 예정)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2016년 / LSEG 업그레이드 예정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SOLA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중앙값 약 460 마이크로초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10만 건 이상 호가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 / 2013년 업그레이드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2006년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**DCE**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독자 개발 (자회사 경유)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1993년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**SHFE**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CTP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1999년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NEAT / NEAT Plus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100 마이크로초 (2026년 4월 나노초 목표)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500-600만 건 (1억 건 목표)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1994년 / 업그레이드 진행 중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TAIFEX 전자매매 시스템 (6세대)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약 200 마이크로초 (5세대 기준)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초당 4만 8천 건 이상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2025년 (6세대)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Group (위탁 운영)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Globex와 동일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CME Globex와 동일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FIFO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2009년 (NYMEX ACCESS에서 이전)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EXTURE+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자체 개발 (KOSCOM)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평균 약 30-50 마이크로초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100,000 TPS 이상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가격-시간 (FIFO)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2014년 / 운영 중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Nasdaq Genium INET은 글로벌 파생상품 매매 시스템 중 제3자 플랫폼으로는 가장 널리 채택된 솔루션으로, HKEX, SGX, OSE(JPX)에 도입되어 있다.</w:t>
      </w:r>
    </w:p>
    <w:p>
      <w:pPr>
        <w:pStyle w:val="ListBullet"/>
      </w:pPr>
      <w:r>
        <w:t>자체 개발 추세는 CME, Eurex/Deutsche Borse, ICE, Cboe, NSE 등 대형 거래소에서 두드러지며, 이는 경쟁 차별화와 맞춤화를 위한 투자를 정당화하기 때문이다.</w:t>
      </w:r>
    </w:p>
    <w:p>
      <w:pPr>
        <w:pStyle w:val="ListBullet"/>
      </w:pPr>
      <w:r>
        <w:t>CME Group의 Google Cloud 마이그레이션 (2026-2028)은 전례 없는 규모로, 주요 거래소 최초로 체결 엔진을 클라우드 인프라로 이전하는 사례다.</w:t>
      </w:r>
    </w:p>
    <w:p>
      <w:pPr>
        <w:pStyle w:val="ListBullet"/>
      </w:pPr>
      <w:r>
        <w:t>가격-시간 (FIFO) 방식은 사실상 보편적인 기본 체결 알고리즘이다. 비례배분 및 하이브리드 알고리즘은 일부 상품에 한해 선택적으로 적용된다(CME 특정 금리·곡물 상품, Eurex 일부 채권 상품 등).</w:t>
      </w:r>
    </w:p>
    <w:p>
      <w:pPr>
        <w:pStyle w:val="ListBullet"/>
      </w:pPr>
      <w:r>
        <w:t>중국 거래소들은 규제적 제약으로 인해 HFT 경쟁이 덜 치열하여 지연속도나 처리량 벤치마크를 공개하지 않는다.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증거금 방법론 비교 (Margin Methodology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거래소 / CCP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방법론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신뢰수준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보유기간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교차증거금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주요 특징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**CME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 / SPAN 2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 (SPAN) / HVaR (SPAN 2)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 (SPAN 2)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1-2일 (상장 파생상품); 5일 (OTC IRS)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선물-선물 간; IRS-선물 간; CME-OCC 교차증거금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SPAN은 전 세계 50개 이상 거래소 채택; SPAN 2는 2025-26년 순차 도입, 수천 개 시나리오 추가 및 집중위험·경기순응성 방지 기능 포함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**Eurex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필터링 역사적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99.x%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2일 (상장 파생상품); 5일 (OTC IRS)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청산그룹 내 상품 간; ETD/OTC 교차시장; 보유기간 간 교차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포트폴리오 기반; 증거금 하한 연간 재산정; Cloud Prisma Margin Estimator (cPME) 제공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**HKCC / SEOCH**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PRiME (포트폴리오 위험 증거금 산출 엔진)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 기반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제한적 — 선물(HKCC)과 주식옵션(SEOCH) 청산소 분리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 기반 방법론 대체; Genium INET 청산 시스템에 통합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**SGX-DC**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IRM (통합위험관리)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 기반 (SPAN 유사)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파생상품 청산 내 상품 간; SGX-DC "자기자본 투입" SGD 2억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청산기금 분담금은 스트레스 테스트 손실에 비례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**OCC** (Cboe 청산소)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STANS (이론분석·수치시뮬레이션 시스템)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몬테카를로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 (2일 기준)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주식옵션 + 선물 포트폴리오 증거금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10,000개 몬테카를로 시나리오; 상관관계 기반 네팅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**ICE Clear Europe / US**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ICE 증거금 모델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HVaR / 시나리오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1-2일 (상장 파생상품); 5일 (OTC)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동일 청산소 내 상품 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유럽·미국 청산소 분리 운영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**JSCC** (오사카거래소)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역사적 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JPX 파생상품 내 상품 간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2023년 11월 SPAN에서 VaR로 전환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**Euronext Clearing**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 기반 (구 LCH SA 방법론)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Euronext 상품 생태계 내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2024년 9월 LCH SA로부터 청산 완전 이전 완료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**ASX Clear (Futures)**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 기반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상장 금리 상품과 OTC IRS 교차증거금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상장 파생상품 및 OTC 금리 파생상품 모두 포괄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**CDCC** (Montreal Exchange)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99%+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1-2일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표준 SPAN 적용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 기반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없음 (단일 상품 CCP)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2015년 위기 시 증거금률 40%까지 인상; 현행 지수선물 10-15%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 기반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없음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일일 가격제한폭과 증거금 수준 연동; 결제 도래 시 증거금 조정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**NSE Clearing (NCL)**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99%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1일 (장중 모니터링)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2021년 이후 SEBI 최대증거금 규정에 따라 100% 사전증거금 필수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 기반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없음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장중 09:30, 11:00, 12:30, 15:00 추가증거금 납부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KRX-SPAN (변형 SPAN)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1일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제한적 (KRX 파생상품 내)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16개 이상 위험 시나리오 적용; KOSPI200 변동성이 증거금률의 80% 이상 시 장중 추가증거금 납부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업계는 시나리오 기반(SPAN)에서 VaR 기반 방법론으로 이행 중이다. CME(SPAN 2), JSCC, Eurex(Prisma), OCC(STANS) 모두 VaR 또는 몬테카를로 방식으로 전환하였다.</w:t>
      </w:r>
    </w:p>
    <w:p>
      <w:pPr>
        <w:pStyle w:val="ListBullet"/>
      </w:pPr>
      <w:r>
        <w:t>교차증거금 기능은 거래소별로 차이가 크다: Eurex Prisma는 가장 포괄적인 교차증거금을 제공하는 반면(ETD/OTC, 보유기간 간 교차), 중국·대만 거래소는 교차증거금이 미미하거나 아예 없다.</w:t>
      </w:r>
    </w:p>
    <w:p>
      <w:pPr>
        <w:pStyle w:val="ListBullet"/>
      </w:pPr>
      <w:r>
        <w:t>인도 NSE에 대한 SEBI의 100% 사전증거금 요건은 투기 과잉을 억제하기 위한 정책으로, 전 세계에서 가장 엄격한 수준에 속한다.</w:t>
      </w:r>
    </w:p>
    <w:p>
      <w:pPr>
        <w:pStyle w:val="ListBullet"/>
      </w:pPr>
      <w:r>
        <w:t>중국 거래소는 증거금을 규제 수단으로 활용한다 — CFFEX는 2015년 위기 시 증거금률을 40%까지 인상하여 국제 기준을 크게 상회하였다.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수수료 체계 비교 (Fee Structure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수수료 모델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계약당 비용 (비회원, 단방향 기준 근사치)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특징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정액; 회원 등급별 차등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$0.25 (마이크로) — $1.50 (표준)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회원 수수료 50-80% 할인; 거래량 인센티브 프로그램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정액; 거래량 환급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 0.05 — 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시장조성자 환급; 유동성 공급자 단계별 인센티브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 + SFC 부과금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HK$2.00 — HK$10.54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파생상품 인지세 없음; 시장조성자 상당한 수수료 면제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정액; 거래량 단계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0.30 — 2.00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시장조성자 수수료 할인; 매매·청산 수수료 별도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메이커-테이커 (BZX/EDGX 옵션); 비례배분 (C1)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$0.00 — 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유동성 공급 시 환급; SPX/VIX 특화 인센티브; SCORe 리테일 프로그램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정액; 거래량 단계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$0.50 — $1.50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단계별 환급 LP 프로그램; IFEU·IFUS 별도 수수료 체계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기준 상세 미공개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일부 상품 시장조성자 수수료 할인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정액; LP 환급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상세 미공개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원자재 옵션 LP 100% 수수료 환급; MiFID II 시장조성자 인센티브 월 EUR 50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기준 상세 미공개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ETO 시장조성자 수수료 환급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정액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상세 미공개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 상품군 시장조성자 인센티브 프로그램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명목금액 대비 거래세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변동 (2015년 위기 시 100배 인상 사례)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투기 억제를 위한 규제 수단으로 수수료 활용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또는 거래대금 대비 거래세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변동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헤지 포지션 수수료 우대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수수료 + STT + 규제 부과금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Rs 1.39 — Rs 5+ (거래소 수수료) + 증권거래세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옵션 매도 시 STT (0.0625%) 부과로 실질 비용 증가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계약당 수수료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상품별 TWD 변동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지역 상품 경쟁적 수수료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Group 수수료 체계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에너지 상품 기준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CME Group 글로벌 수수료 인프라 활용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명목금액/프리미엄 대비 거래세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명목금액의 0.0018%-0.04995% (선물); 프리미엄의 0.09%-1.5% (옵션)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시장조성자 수수료 환급; 2025년 12월 20년 만의 첫 수수료 개편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메이커-테이커 방식은 주로 미국(Cboe BZX/EDGX 옵션)에서 통용된다. 대부분의 글로벌 파생상품 거래소는 계약당 정액 수수료를 채택하고 있다.</w:t>
      </w:r>
    </w:p>
    <w:p>
      <w:pPr>
        <w:pStyle w:val="ListBullet"/>
      </w:pPr>
      <w:r>
        <w:t>중국 거래소는 수수료를 규제 레버로 활용한다 — CFFEX는 2015년 투기 억제를 위해 장중 수수료를 100배 인상하였다.</w:t>
      </w:r>
    </w:p>
    <w:p>
      <w:pPr>
        <w:pStyle w:val="ListBullet"/>
      </w:pPr>
      <w:r>
        <w:t>인도의 총 비용에는 증권거래세(STT)가 포함되어 옵션 매매 실질 비용이 크게 높아진다. 이는 투기 거래량 억제를 위한 SEBI의 의도적 정책이었다.</w:t>
      </w:r>
    </w:p>
    <w:p>
      <w:pPr>
        <w:pStyle w:val="ListBullet"/>
      </w:pPr>
      <w:r>
        <w:t>최저 접근 비용은 CME 마이크로/미니 선물(Micro E-mini 상품의 경우 단방향 $0.25)로, 소액 투자자 참여를 위해 설계되었다.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거래시간 비교 (Trading Hours Comparison)</w:t>
      </w:r>
    </w:p>
    <w:p>
      <w:r>
        <w:t>모든 시간은 UTC 기준이다. 일일 총 거래시간 기준으로 긴 순서로 정렬하였다.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정규 세션 (UTC)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야간/연장 세션 (UTC)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일일 총 거래시간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점심 휴장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13:30-21:00 (RTH 상품별 상이)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일요일 23:00 — 금요일 21:00 (거의 연속)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23시간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1시간 일일 점검 (21:00-22:00)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 Europe**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07:00-16:30 (에너지)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01:00-23:00 (브렌트)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22시간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 (에너지)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01:00-08:30 (T 세션)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09:00-21:15 (T+1 세션)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20-22시간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30분 휴장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**DME/GME**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CME Globex 이용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CME Globex 에너지와 동일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23시간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 일일 점검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07:00-16:30 (정규)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00:00-07:00 (아시아 세션); 16:30-21:00 (미국 세션)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21시간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전일 UTC 23:45-06:15 (주간)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07:30-21:00 (야간 세션)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21시간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세션 간 1시간 휴장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00:45-05:45 (주간)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07:00-21:00 (시간외)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19시간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1.25시간 휴장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00:00-06:45 (정규)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09:00-21:00 (야간 세션, 2025년 6월 개시)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19시간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01:15-08:30 (주간)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09:15-19:00 (AHT)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17시간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30분 점심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22:30-06:30 (주간)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07:10-21:00 (야간)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22시간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40분 휴장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07:00-21:00 (지수선물)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대부분 상품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14시간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 U.S.**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상이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01:00-23:00 (주가지수)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17-22시간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상이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13:30-20:15 (RTH)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07:00-13:15 (GTH, SPX/VIX)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13시간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11:00-20:30 (정규)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11:00-14:15 (조기)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10시간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03:45-10:00 (주식 F&amp;O)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 (주식); 원자재 18:00+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6.25시간 (주식)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01:30-07:15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5.75시간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1.5시간 점심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01:00-07:00 (주간)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13:00-15:00 또는 18:30 (야간)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8-11시간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복수 휴장</w:t>
            </w:r>
          </w:p>
        </w:tc>
      </w:tr>
    </w:tbl>
    <w:p/>
    <w:p>
      <w:r>
        <w:t>주요 중첩 시간대 (UTC):</w:t>
      </w:r>
    </w:p>
    <w:p>
      <w:pPr>
        <w:pStyle w:val="ListBullet"/>
      </w:pPr>
      <w:r>
        <w:t>07:00-08:30: 유럽+아시아 중첩 (Eurex, HKEX, SGX, OSE 동시 활성)</w:t>
      </w:r>
    </w:p>
    <w:p>
      <w:pPr>
        <w:pStyle w:val="ListBullet"/>
      </w:pPr>
      <w:r>
        <w:t>13:30-16:30: 아메리카+유럽 중첩 (CME, Cboe, ICE + Eurex, ICE Europe 동시 활성)</w:t>
      </w:r>
    </w:p>
    <w:p>
      <w:pPr>
        <w:pStyle w:val="ListBullet"/>
      </w:pPr>
      <w:r>
        <w:t>23:00-01:00: 아메리카 종장+아시아 개장 중첩 (CME Globex + SGX/HKEX 개장 전)</w:t>
      </w:r>
    </w:p>
    <w:p>
      <w:r>
        <w:t>주요 관찰 사항:</w:t>
      </w:r>
    </w:p>
    <w:p>
      <w:pPr>
        <w:pStyle w:val="ListBullet"/>
      </w:pPr>
      <w:r>
        <w:t>24시간에 가까운 거래가 주요 벤치마크 상품(CME 주식/에너지, ICE 브렌트, SGX 아시아 지수, Eurex 벤치마크, OSE 닛케이/JGB)의 표준으로 자리 잡았다.</w:t>
      </w:r>
    </w:p>
    <w:p>
      <w:pPr>
        <w:pStyle w:val="ListBullet"/>
      </w:pPr>
      <w:r>
        <w:t>오사카거래소의 야간 세션은 전체 거래량의 40.5%를 차지하며, 글로벌 헤지를 위한 거래시간 연장의 중요성을 잘 보여준다.</w:t>
      </w:r>
    </w:p>
    <w:p>
      <w:pPr>
        <w:pStyle w:val="ListBullet"/>
      </w:pPr>
      <w:r>
        <w:t>중국 거래소는 의무 점심 휴장과 제한적 야간 세션(귀금속의 경우 21:00-23:00 또는 02:30)으로 주요 거래소 중 가장 짧은 거래시간을 보인다. 주말·공휴일 거래는 없다.</w:t>
      </w:r>
    </w:p>
    <w:p>
      <w:pPr>
        <w:pStyle w:val="ListBullet"/>
      </w:pPr>
      <w:r>
        <w:t>CFFEX는 거래시간 기준으로 전 세계 주요 파생상품 거래소 중 가장 제한적이다(일 5.75시간, 1.5시간 점심 휴장 포함).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포지션 한도 접근 방식 (Position Limit Approaches)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거래소 / 관할권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한도 설정 기관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한도 유형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표시 방식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헤지 면제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외국인 투자자 처우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**CME Group / 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연방(CFTC Part 150, 25개 핵심 원자재); 기타 상품은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(현물월); 책임 수준 (기타 결제월)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(순포지션)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진정한 헤지; 사전적 헤지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CFTC 등록 요구될 수 있음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**Eurex / BaFin**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원자재 파생상품: MiFID II 제57조에 따른 NCA(BaFin); 기타는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(원자재); 책임 (금융)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순포지션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비금융 기관만 해당 (MiFID II상 금융 기관은 원자재 파생상품 헤지 면제 불가)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역외 회원 가입 가능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**HKEX / SFC**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법정 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포지션 델타로 표시되는 경질 한도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포지션 델타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SFC 신청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SFC 인가 필요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**SGX / MAS**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 (SGX)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+ 책임 수준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+ 책임 기준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SGX 신청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MAS 인가 필요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**Cboe / SEC+CFTC**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 규정 (SEC 승인)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포지션 한도 (주식옵션); SPX는 사실상 무제한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헤지 면제 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**ICE / FCA+CFTC**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IFEU: 영국 FCA 규정; IFUS: CFTC Part 150 +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(실물 원자재); 책임 (금융)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(순포지션)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**Osaka Exchange / JFSA**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 (OSE)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 설정 한도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(순포지션)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거래소 신청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미국 참가자는 FBOT 등록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**Euronext / AMF**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MiFID II에 따른 NCA(AMF, CONSOB 등)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(원자재); 책임 (금융)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순포지션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비금융 기관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**CFFEX / CSRC**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 지침에 따른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경질 한도 (역사적으로 극도로 강화)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일중 계약 수 + 총 포지션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제한적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제한됨 — QFI 접근만 가능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**NSE / SEBI**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체계 내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시장 전체 + 고객별 한도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및 미결제약정 비율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FPI 등록 필요; 포지션 한도 적용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**TAIFEX / FSC**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감독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투자자 유형별 경질 한도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TAIFEX 신청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FINI/FIDI 등록; 별도 한도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**KRX / FSC**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감독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고객당 경질 한도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계약 수 (원자재는 순포지션)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있음 — 거래소 신청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동일 한도; QFI 등록 필요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미국 모델은 연방 투기 포지션 한도(25개 핵심 원자재에 대한 CFTC Part 150)와 금융 상품에 대한 거래소 설정 책임 수준을 결합한 것으로, 전 세계에서 가장 포괄적인 체계다.</w:t>
      </w:r>
    </w:p>
    <w:p>
      <w:pPr>
        <w:pStyle w:val="ListBullet"/>
      </w:pPr>
      <w:r>
        <w:t>MiFID II 제57조에 따른 EU 모델은 원자재 파생상품에 대해 금융 기관의 헤지 면제를 인정하지 않는 독특한 방식으로, 미국 접근법과 차별화된다.</w:t>
      </w:r>
    </w:p>
    <w:p>
      <w:pPr>
        <w:pStyle w:val="ListBullet"/>
      </w:pPr>
      <w:r>
        <w:t>중국(CFFEX)은 가장 제한적인 접근법을 적용해, 2015년 위기 대응 수단으로 포지션 한도(일중 한도 10계약)를 활용하였으며, 2017년 이후 점진적으로 완화하였다.</w:t>
      </w:r>
    </w:p>
    <w:p>
      <w:pPr>
        <w:pStyle w:val="ListBullet"/>
      </w:pPr>
      <w:r>
        <w:t>홍콩은 포지션 한도를 계약 수 대신 포지션 델타로 표시하는 유일한 거래소로, 옵션 익스포저를 반영하는 보다 정교한 위험 측정 방식을 채택하고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서킷 브레이커 메커니즘 (Circuit Breaker Mechanisms)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정지 시간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적용 범위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**CME Group**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 (주식) + 동적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-7% / -13% / -20% (주식, SEC 협조); 동적 ±3.5% (60분 롤링)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10분 / 10분 / 잔여 거래일; 2분 중단 (동적)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전체 (주식 서킷 브레이커); 상품별 (동적)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(변동성 중단)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기준가 대비 동적 가격 편차 (상품별 설정)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변동성 경매 기간 (가변)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(또는 상품군)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**HKEX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(VCM) + DPB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직전 체결가 기준 ±5% (VCM 발동)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냉각기간 (밴드 내 거래 지속)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**SGX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(냉각기간)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기준가 대비 ±10-15% (상품별 상이)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5분 냉각기간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**Cboe**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전체 (MWCB) + LULD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-7% / -13% / -20% (S&amp;P 500)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15분 / 15분 / 잔여 거래일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전체 (협조 발동)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**ICE Futures**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(IPL) + 정적 (DPL)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구간 가격 제한 (설정 가능); 일부 상품 일일 가격제한폭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중단 (사전 설정 시간); 발동 후 한도 확대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**Osaka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 (일일 가격제한폭) + 동적 (즉시 체결 가격 범위)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초기 일일 제한폭 약 8% (Nikkei 225); 최종 체결가 기준 동적 범위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약 10분 중단 + 확대 한도 (정적); 단기 중단 + 경매 (동적)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(관련 계약 전체 동시 정지)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**Euronext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(변동성 중단)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+ 정적 가격 제한폭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예약 기간 (경매 호가 단계)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**ASX Derivatives**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기준가 기준 가격 밴드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단기 냉각기간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**Montreal Exchange**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전일 정산가 기준 ±7% (조기 세션)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해당 없음 — 제한폭 가격으로 거래 지속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**CFFEX**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 (일일 가격제한폭)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±10% (지수선물); CGB 선물 만기별 ±0.5%-±3.5%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제한폭 가격으로 거래; 시장 정지 없음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**DCE / SHFE**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 (일일 가격제한폭)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±4%-±10% (연속 제한폭 발동 시 확대 가능)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제한폭 가격으로 거래; 다음 세션 한도 확대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**NSE F&amp;O**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전체 (SEBI 체계)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10% / 15% / 20% (Nifty 50 / Sensex 하락)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15분 / 15분 / 잔여 거래일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시장 전체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**TAIFEX**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정적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전일 정산가 기준 ±10%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제한폭 가격으로 거래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**KRX**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동적 (VI) + 정적 (일일 한도) + 시장 전체 (사이드카)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±3% 동적 VI; ±5% 사이드카 발동 (이론가 편차 ±3%로 1분); ±10% 일일 한도 (KOSPI200)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2분 VI 정지 + 경매; 5분 사이드카 정지 (전 파생상품); 일일 한도로 거래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상품별 (VI) + 시장 전체 (사이드카)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동적 서킷 브레이커(Eurex 변동성 중단, HKEX VCM, SGX 냉각기간)가 유럽·아시아의 지배적 모델로, 강제 정지보다는 경매를 통한 질서 있는 가격 발견을 가능하게 한다.</w:t>
      </w:r>
    </w:p>
    <w:p>
      <w:pPr>
        <w:pStyle w:val="ListBullet"/>
      </w:pPr>
      <w:r>
        <w:t>정적 일일 가격제한폭은 중국(CFFEX, DCE, SHFE)과 대만에서 지배적이며, 일일 가격 변동의 절대적 억제를 선호하는 관행을 반영한다.</w:t>
      </w:r>
    </w:p>
    <w:p>
      <w:pPr>
        <w:pStyle w:val="ListBullet"/>
      </w:pPr>
      <w:r>
        <w:t>미국 시장 전체 서킷 브레이커 체계(CME + Cboe + 전 미국 거래소)는 S&amp;P 500 지수가 7%, 13%, 20% 하락할 때 발동되는 가장 포괄적인 거래소 간 협조 메커니즘이다.</w:t>
      </w:r>
    </w:p>
    <w:p>
      <w:pPr>
        <w:pStyle w:val="ListBullet"/>
      </w:pPr>
      <w:r>
        <w:t>일본의 이중 메커니즘은 정적 일일 가격제한폭과 동적 "즉시 체결 가격 범위"를 결합하여, 절대적 한계와 장중 변동성 통제를 모두 제공한다.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규제 체계 비교 (Regulatory Framework Comparison)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지역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주요 감독기관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핵심 법령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청산 의무화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포지션 한도 권한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역외 체계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**미국**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CFTC (선물/스왑); SEC (증권기반스왑, 주식옵션)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CEA; Dodd-Frank Act 타이틀 VII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표준화 OTC IRS 및 지수 CDS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25개 핵심 원자재: 연방(CFTC Part 150); 기타: 거래소 설정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FBOT 등록; 쌍방 MOU; CME Clearing 글로벌 인정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**유럽연합**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ESMA + NCA(BaFin, AMF, CONSOB 등)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(청산/보고); MiFID II/MiFIR (매매/투명성); MAR (시장 남용)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표준화 OTC IRS 및 지수 CDS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MiFID II 제57조에 따른 NCA; ESMA 조율; BaFin이 Eurex 원자재 파생상품 한도 설정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3.0 활성계좌 요건; 제3국 CCP 등급화(Tier 1/Tier 2); 동등성 결정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**영국**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FCA; 잉글랜드은행 (CCP 감독)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EMIR; UK MiFID II/MiFIR; FSMA 2000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표준화 OTC IRS 및 CDS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MiFID II에 따른 FCA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CFTC FBOT 등록; UK EMIR 제3국 CCP 인정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**일본**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JFSA; SESC (집행)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금융상품거래법(FIEA); 상품파생상품법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JPY IRS 및 iTraxx Japan CDS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JFSA 감독 하 거래소(OSE)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JSCC, CFTC DCO 등록 면제; ESMA 동등성; 쌍방 MOU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**홍콩**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SFC; HKMA (은행)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SFO (Cap. 571); OTC 파생상품 규정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지정 기관·FSP 간 IRS (HKD, USD, EUR, GBP)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법정 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OTC Clear CFTC 면제; ESMA 동등성; 중국과 Swap Connect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**싱가포르**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MAS (통합 감독기관 + 중앙은행)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SFA 2001; OTC 파생상품 보고/청산 규정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SGD 200억 초과 SGD/USD IRS 의무화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MAS 감독 하 거래소(SGX)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 CFTC DCO 완전 등록; ESMA 동등성; 인도와 GIFT Connect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**중국**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선물·파생상품법 (2022); 증권법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 전체 기본 청산; OTC 청산 제한적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 지침 하 거래소; 위기 관리 수단으로 활용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제한적 — QFI 접근; INE/DCE의 국제화 상품에 한정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**인도**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SEBI법; 증권계약법; SEBI 순환서한 체계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 전체 NSE Clearing 청산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체계; SEBI 가이드라인 내 거래소 설정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GIFT City NSE IX (IFSC); SGX와 GIFT Connect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**대만**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선물거래법 (1997)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 전체 TAIFEX Clearing 청산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감독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역외 접근 제한적; FINI/FIDI 등록 체계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**UAE (DIFC)**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DFSA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DIFC 법령; DFSA 규정집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Clearing 경유 청산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Group 포지션 한도 적용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DFSA 자유무역지구 체계; CME 파트너십을 통한 CFTC 감독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**대한민국**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+ FSS (이원 구조)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FSCMA (자본시장법); 파생상품시장 업무규정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 전체 KRX 청산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감독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QFI 접근; 역외 연계 제한적</w:t>
            </w:r>
          </w:p>
        </w:tc>
      </w:tr>
    </w:tbl>
    <w:p/>
    <w:p>
      <w:r>
        <w:t>주요 관찰 사항:</w:t>
      </w:r>
    </w:p>
    <w:p>
      <w:pPr>
        <w:pStyle w:val="ListBullet"/>
      </w:pPr>
      <w:r>
        <w:t>규제 수렴이 전 세계적으로 진행 중이며, G20 피츠버그 합의(2009)와 CPMI-IOSCO PFMI 기준이 이를 주도하고 있다. 모든 주요 관할권에서 OTC 파생상품 청산, 거래 보고, 위험 완화를 의무화하고 있다.</w:t>
      </w:r>
    </w:p>
    <w:p>
      <w:pPr>
        <w:pStyle w:val="ListBullet"/>
      </w:pPr>
      <w:r>
        <w:t>EU는 가장 규범적인 체계를 갖추고 있으며, EMIR 3.0의 활성계좌 요건은 제3국 CCP(주로 LCH와 CME)로부터 청산을 회수하려는 이례적 시도다.</w:t>
      </w:r>
    </w:p>
    <w:p>
      <w:pPr>
        <w:pStyle w:val="ListBullet"/>
      </w:pPr>
      <w:r>
        <w:t>거래 보고 표준화가 거의 완료 단계에 있으며, UTI, UPI, CDE 기준이 미국(2022), EU(2024), 일본(2024), 싱가포르(2024), 홍콩(2025)에서 채택되었다.</w:t>
      </w:r>
    </w:p>
    <w:p>
      <w:pPr>
        <w:pStyle w:val="ListBullet"/>
      </w:pPr>
      <w:r>
        <w:t>중국은 역외 참여에 가장 제한적인 주요 시장으로 남아 있으나, 일부 상품 국제화(INE 원유, DCE 철광석)는 점진적 개방을 나타낸다.</w:t>
      </w:r>
    </w:p>
    <w:p>
      <w:pPr>
        <w:pStyle w:val="ListBullet"/>
      </w:pPr>
      <w:r>
        <w:t>한국의 FSC/FSS 이원 구조는 다른 어떤 주요 관할권과도 다른 독특한 체계로, 정책 수립과 감독·검사를 분리하고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주요 관찰 및 시사점 (Key Observations &amp; Insights)</w:t>
      </w:r>
    </w:p>
    <w:p>
      <w:pPr>
        <w:pStyle w:val="Heading3"/>
      </w:pPr>
      <w:r>
        <w:t>9.1 지역별 트렌드와 차이점 (Regional Trends and Differences)</w:t>
      </w:r>
    </w:p>
    <w:p>
      <w:r>
        <w:t>아메리카 (Americas):</w:t>
      </w:r>
    </w:p>
    <w:p>
      <w:pPr>
        <w:pStyle w:val="ListBullet"/>
      </w:pPr>
      <w:r>
        <w:t>미국은 거래량과 미결제약정 양면에서 글로벌 파생상품 시장을 지배하고 있으며, CME Group, ICE, Cboe가 글로벌 위험 이전 거래의 대부분을 차지한다.</w:t>
      </w:r>
    </w:p>
    <w:p>
      <w:pPr>
        <w:pStyle w:val="ListBullet"/>
      </w:pPr>
      <w:r>
        <w:t>미국은 이원 규제 체계(CFTC/SEC)를 유지하는 독특한 구조이나, 파생상품 거래의 대부분은 CFTC 관할에 속한다.</w:t>
      </w:r>
    </w:p>
    <w:p>
      <w:pPr>
        <w:pStyle w:val="ListBullet"/>
      </w:pPr>
      <w:r>
        <w:t>Cboe의 0DTE 옵션(2025년 SPX 거래량의 59%)은 기관·소액 투자자의 위험 관리 방식에 구조적 전환을 나타내며, 미국 밖에서는 유사한 현상이 없다.</w:t>
      </w:r>
    </w:p>
    <w:p>
      <w:pPr>
        <w:pStyle w:val="ListBullet"/>
      </w:pPr>
      <w:r>
        <w:t>Montreal Exchange(MX)는 국가 단위의 단일 자산군 파생상품 거래소 모델로서 우수한 사례를 제시하며, 전문화가 경쟁력을 높일 수 있음을 보여준다.</w:t>
      </w:r>
    </w:p>
    <w:p>
      <w:r>
        <w:t>유럽 (Europe):</w:t>
      </w:r>
    </w:p>
    <w:p>
      <w:pPr>
        <w:pStyle w:val="ListBullet"/>
      </w:pPr>
      <w:r>
        <w:t>Eurex와 ICE Futures Europe이 양대 거점 거래소로, 거래소 + CCP + 데이터의 강한 수직 통합 구조를 갖추고 있다.</w:t>
      </w:r>
    </w:p>
    <w:p>
      <w:pPr>
        <w:pStyle w:val="ListBullet"/>
      </w:pPr>
      <w:r>
        <w:t>EMIR 3.0의 활성계좌 요건은 청산 위치에 영향을 미치기 위해 규제를 활용하려는 정치적 의지를 보여주며, 이는 글로벌 CCP 경쟁에 중요한 함의를 가진다.</w:t>
      </w:r>
    </w:p>
    <w:p>
      <w:pPr>
        <w:pStyle w:val="ListBullet"/>
      </w:pPr>
      <w:r>
        <w:t>Euronext의 채권 파생상품 진출(2025년 9월 BTP, OAT, Bund 선물)은 유럽 국채선물 시장에서 Eurex의 지배력에 직접적 도전이 된다.</w:t>
      </w:r>
    </w:p>
    <w:p>
      <w:r>
        <w:t>아시아-태평양 (Asia-Pacific):</w:t>
      </w:r>
    </w:p>
    <w:p>
      <w:pPr>
        <w:pStyle w:val="ListBullet"/>
      </w:pPr>
      <w:r>
        <w:t>이 지역은 규제 접근방식, 시장 구조, 상품 집중도 면에서 가장 다양성이 크다.</w:t>
      </w:r>
    </w:p>
    <w:p>
      <w:pPr>
        <w:pStyle w:val="ListBullet"/>
      </w:pPr>
      <w:r>
        <w:t>인도 NSE F&amp;O는 계약 수 기준 전 세계에서 가장 거래량이 많은 거래소이나, SEBI의 2024년 조치(위클리 만기 제한, 계약 단위 확대, 증거금 강화)가 의도적으로 거래량을 줄이고 있다.</w:t>
      </w:r>
    </w:p>
    <w:p>
      <w:pPr>
        <w:pStyle w:val="ListBullet"/>
      </w:pPr>
      <w:r>
        <w:t>중국 3개 원자재 거래소(SHFE, DCE, ZCE)는 합산 시 막대한 거래량을 보이나 역외 참여가 대부분 차단되어 있으며, 일부 상품의 국제화가 점진적으로 진행되고 있다.</w:t>
      </w:r>
    </w:p>
    <w:p>
      <w:pPr>
        <w:pStyle w:val="ListBullet"/>
      </w:pPr>
      <w:r>
        <w:t>SGX는 아시아 파생상품 관문으로 자리매김하여 주요 아시아 주가지수에 대한 역외 접근을 제공하고 핵심 FX 선물 거래소 역할을 수행하고 있다.</w:t>
      </w:r>
    </w:p>
    <w:p>
      <w:pPr>
        <w:pStyle w:val="Heading3"/>
      </w:pPr>
      <w:r>
        <w:t>9.2 기술 수렴과 분화 (Technology Convergence and Divergence)</w:t>
      </w:r>
    </w:p>
    <w:p>
      <w:r>
        <w:t>수렴 (Convergence):</w:t>
      </w:r>
    </w:p>
    <w:p>
      <w:pPr>
        <w:pStyle w:val="ListBullet"/>
      </w:pPr>
      <w:r>
        <w:t>100 마이크로초 미만 지연속도가 Tier 1 거래소의 기본 기준으로 자리 잡았다.</w:t>
      </w:r>
    </w:p>
    <w:p>
      <w:pPr>
        <w:pStyle w:val="ListBullet"/>
      </w:pPr>
      <w:r>
        <w:t>가격-시간(FIFO) 체결이 사실상 보편적인 기본 알고리즘이 되었다.</w:t>
      </w:r>
    </w:p>
    <w:p>
      <w:pPr>
        <w:pStyle w:val="ListBullet"/>
      </w:pPr>
      <w:r>
        <w:t>바이너리 주문 입력 프로토콜(CME iLink 3, Eurex ETI, Nasdaq OUCH, Cboe BOE)이 지연 민감 참여자에 대해 FIX 텍스트를 대체하였다.</w:t>
      </w:r>
    </w:p>
    <w:p>
      <w:pPr>
        <w:pStyle w:val="ListBullet"/>
      </w:pPr>
      <w:r>
        <w:t>멀티캐스트 UDP 기반 전종목 시장 데이터(CME MDP 3.0, Eurex EOBI, SGX ITCH, Cboe Multicast PITCH)가 표준화되었다.</w:t>
      </w:r>
    </w:p>
    <w:p>
      <w:r>
        <w:t>분화 (Divergence):</w:t>
      </w:r>
    </w:p>
    <w:p>
      <w:pPr>
        <w:pStyle w:val="ListBullet"/>
      </w:pPr>
      <w:r>
        <w:t>클라우드 마이그레이션: CME Group이 클라우드 호스팅 체결 엔진을 선도하고 있으나(Google Cloud, 2026-2028), 다른 주요 거래소는 유사한 계획을 발표하지 않았다.</w:t>
      </w:r>
    </w:p>
    <w:p>
      <w:pPr>
        <w:pStyle w:val="ListBullet"/>
      </w:pPr>
      <w:r>
        <w:t>플랫폼 전략: 거래소는 자체 개발(CME, Eurex, ICE, Cboe, NSE, TAIFEX, 중국 거래소)과 Nasdaq 기술 라이선싱(HKEX, SGX, OSE, ASX)으로 양분된다.</w:t>
      </w:r>
    </w:p>
    <w:p>
      <w:pPr>
        <w:pStyle w:val="ListBullet"/>
      </w:pPr>
      <w:r>
        <w:t>지연속도 경쟁: Eurex T7 Release 14.0이 최소 인프라 지연속도 약 2.8 마이크로초를 표방하며 새 기준을 제시; NSE는 2026년 4월부터 나노초 수준 지연속도를 목표로 하고 있다.</w:t>
      </w:r>
    </w:p>
    <w:p>
      <w:pPr>
        <w:pStyle w:val="Heading3"/>
      </w:pPr>
      <w:r>
        <w:t>9.3 규제 조화 진행 현황 (Regulatory Harmonization Progress)</w:t>
      </w:r>
    </w:p>
    <w:p>
      <w:r>
        <w:t>실질적 조화 완료:</w:t>
      </w:r>
    </w:p>
    <w:p>
      <w:pPr>
        <w:pStyle w:val="ListBullet"/>
      </w:pPr>
      <w:r>
        <w:t>OTC 파생상품 청산 의무화 (모든 G20 관할권)</w:t>
      </w:r>
    </w:p>
    <w:p>
      <w:pPr>
        <w:pStyle w:val="ListBullet"/>
      </w:pPr>
      <w:r>
        <w:t>거래 보고 (UTI, UPI, CDE 기준 전 세계 채택, 2022-2025)</w:t>
      </w:r>
    </w:p>
    <w:p>
      <w:pPr>
        <w:pStyle w:val="ListBullet"/>
      </w:pPr>
      <w:r>
        <w:t>CCP 위험 관리 (CPMI-IOSCO PFMI)</w:t>
      </w:r>
    </w:p>
    <w:p>
      <w:pPr>
        <w:pStyle w:val="ListBullet"/>
      </w:pPr>
      <w:r>
        <w:t>역외 CCP 인정 체계</w:t>
      </w:r>
    </w:p>
    <w:p>
      <w:r>
        <w:t>여전히 분화 중:</w:t>
      </w:r>
    </w:p>
    <w:p>
      <w:pPr>
        <w:pStyle w:val="ListBullet"/>
      </w:pPr>
      <w:r>
        <w:t>포지션 한도 체계 (미국: 연방 법정; EU: NCA 설정; 아시아: 거래소 설정)</w:t>
      </w:r>
    </w:p>
    <w:p>
      <w:pPr>
        <w:pStyle w:val="ListBullet"/>
      </w:pPr>
      <w:r>
        <w:t>증거금 방법론 (SPAN, SPAN 2, Prisma, STANS, 독자 개발 — 단일 글로벌 기준 없음)</w:t>
      </w:r>
    </w:p>
    <w:p>
      <w:pPr>
        <w:pStyle w:val="ListBullet"/>
      </w:pPr>
      <w:r>
        <w:t>소액 투자자 참여 통제 (인도 SEBI가 가장 엄격; 중국은 순자산 기준 제한; 대부분의 관할권은 경량 규제)</w:t>
      </w:r>
    </w:p>
    <w:p>
      <w:pPr>
        <w:pStyle w:val="ListBullet"/>
      </w:pPr>
      <w:r>
        <w:t>외국인 투자자 시장 접근 (미국/EU/영국은 완전 개방부터 중국은 고도로 제한까지 다양)</w:t>
      </w:r>
    </w:p>
    <w:p>
      <w:pPr>
        <w:pStyle w:val="Heading3"/>
      </w:pPr>
      <w:r>
        <w:t>9.4 KRX의 경쟁 우위 및 개선 과제 (Areas Where KRX Leads vs. Lags)</w:t>
      </w:r>
    </w:p>
    <w:p>
      <w:r>
        <w:t>KRX 경쟁 강점 (글로벌 비교 기준):</w:t>
      </w:r>
    </w:p>
    <w:p>
      <w:pPr>
        <w:pStyle w:val="ListBullet"/>
      </w:pPr>
      <w:r>
        <w:t>거래소 + CCP 수직 통합 모델 (HKEX, ASX와 유사)</w:t>
      </w:r>
    </w:p>
    <w:p>
      <w:pPr>
        <w:pStyle w:val="ListBullet"/>
      </w:pPr>
      <w:r>
        <w:t>높은 파생상품 거래량, 특히 KOSPI200옵션 (역사적으로 세계에서 가장 활발히 거래되는 단일 주가지수옵션)</w:t>
      </w:r>
    </w:p>
    <w:p>
      <w:pPr>
        <w:pStyle w:val="ListBullet"/>
      </w:pPr>
      <w:r>
        <w:t>경쟁력 있는 지연속도를 갖춘 견고한 기술 인프라</w:t>
      </w:r>
    </w:p>
    <w:p>
      <w:pPr>
        <w:pStyle w:val="ListBullet"/>
      </w:pPr>
      <w:r>
        <w:t>강한 소액 투자자 참여 문화 및 전자매매 인프라</w:t>
      </w:r>
    </w:p>
    <w:p>
      <w:r>
        <w:t>KRX의 모니터링 및 개선 과제:</w:t>
      </w:r>
    </w:p>
    <w:p>
      <w:pPr>
        <w:pStyle w:val="ListBullet"/>
      </w:pPr>
      <w:r>
        <w:t>거래시간 연장: KRX는 2025년 6월 야간 세션 개시로 일 약 19시간 커버리지를 확보하여 CME(24시간에 가까운), Eurex(21시간), SGX(22시간), OSE(야간 세션 포함 21시간)와의 격차를 줄였다. OSE 야간 세션이 전체 거래량의 40.5%를 창출하는 사례는 거래시간 연장의 가치를 잘 보여준다.</w:t>
      </w:r>
    </w:p>
    <w:p>
      <w:pPr>
        <w:pStyle w:val="ListBullet"/>
      </w:pPr>
      <w:r>
        <w:t>상품 다양화: KRX는 SGX와 HKEX의 다자산 모델을 참고하여 원자재·FX·금리 파생상품 영역으로 보다 적극적인 확장을 검토할 수 있다.</w:t>
      </w:r>
    </w:p>
    <w:p>
      <w:pPr>
        <w:pStyle w:val="ListBullet"/>
      </w:pPr>
      <w:r>
        <w:t>교차증거금: KRX의 수직 사일로 모델은 CME(선물-OTC IRS 간)와 Eurex(Prisma 교차시장 네팅)에 비해 교차증거금 기회를 제한하고 있다.</w:t>
      </w:r>
    </w:p>
    <w:p>
      <w:pPr>
        <w:pStyle w:val="ListBullet"/>
      </w:pPr>
      <w:r>
        <w:t>증거금 방법론 현대화: VaR 기반 증거금으로의 글로벌 이행 추세(CME SPAN 2, Eurex Prisma, JSCC VaR)는 KRX의 시나리오 기반 방식 전환 여부에 대한 평가를 촉구한다.</w:t>
      </w:r>
    </w:p>
    <w:p>
      <w:pPr>
        <w:pStyle w:val="ListBullet"/>
      </w:pPr>
      <w:r>
        <w:t>국제 연결성: SGX의 GIFT Connect(인도)와 HKEX의 Swap Connect(중국)는 구조적 역외 접근 협정의 가치를 보여준다. KRX는 역내 파트너와의 유사한 연결성 구축을 검토할 수 있다.</w:t>
      </w:r>
    </w:p>
    <w:p>
      <w:pPr>
        <w:pStyle w:val="ListBullet"/>
      </w:pPr>
      <w:r>
        <w:t>ESG/탄소 파생상품: Eurex, ICE, ASX는 이미 탄소 및 ESG 지수 파생상품을 출시하였다. KRX는 한국의 배출권 거래 및 ESG 의무화 정책에 부합하는 상품 개발을 고려할 수 있다.</w:t>
      </w:r>
    </w:p>
    <w:p>
      <w:pPr>
        <w:pStyle w:val="ListBullet"/>
      </w:pPr>
      <w:r>
        <w:t>암호화폐 파생상품: CME, SGX, Eurex, ICE가 모두 규제된 암호화폐 파생상품을 출시한 상황에서, KRX는 기관급 암호화폐 상품에 대한 시장 수요를 검토할 수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요약 표 (Summary Tables)</w:t>
      </w:r>
    </w:p>
    <w:p>
      <w:pPr>
        <w:pStyle w:val="Heading3"/>
      </w:pPr>
      <w:r>
        <w:t>10.1 거래소 빠른 참조 (Exchange 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거래소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모그룹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일평균 거래량 (2025, 백만 계약)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매매 시스템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CME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미국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Group Inc.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28.1 (기록; 2026년 1분기 36.2)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E-mini S&amp;P 500, SOFR, WTI, 금, 옥수수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Globex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독일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Deutsche Borse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8.0 (연간 2,066M / 약 260 거래일)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 STOXX 50, Bund, Bobl, DAX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T7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HKEX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홍콩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1.9 (2025년 1분기 기록)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HSI, HSCEI, HS TECH, 주식옵션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HKATS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SGX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싱가포르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1.4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FTSE China A50, Nikkei 225, 철광석, FX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 Titan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Cboe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미국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Cboe Global Markets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18.4 (옵션)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SPX 옵션, VIX 옵션/선물, 0DTE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Cboe Titanium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ICE Futures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영국/미국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Inc.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9.3 (기록)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브렌트 원유, TTF 가스, 설탕, SONIA, EUA 탄소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Trading Platform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Osaka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일본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JPX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1.9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Nikkei 225, JGB, TONA, 금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J-GATE 3.0 (Genium INET)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Euronext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네덜란드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Euronext N.V.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0.6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CAC 40, AEX, FTSE MIB, 밀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Optiq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ASX Derivatives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호주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Ltd.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 (2025년 4분기 기록)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3년/10년 국채, SPI 200, ETO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ASX 24 NTP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Montreal Exchange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캐나다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TMX Group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0.9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CGB, CORRA, S&amp;P/TSX 60, 주식옵션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SOLA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CFFEX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중국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합작회사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CSI 300, CGB 선물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독자 개발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DCE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중국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독립 (CSRC)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 (2023년 연간 약 25억 계약)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철광석, 대두박, LLDPE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독자 개발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SHFE/INE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중국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독립 (CSRC)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구리, 금, 원유(INE), 철근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CTP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NSE F&amp;O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인도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 (연간 약 850억-1,080억 계약)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Nifty 50 옵션, Bank Nifty, 개별주식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NEAT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대만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독립 (TWSE 주주)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TAIEX 선물/옵션, 해외지수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자체 개발 (6세대)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DME/GME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UAE (DIFC)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DME Holdings (CME + STG)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해당 없음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오만 원유 선물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Globex (위탁)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대한민국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한국거래소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약 15억 계약/년 (2024년 추정)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KOSPI200옵션/선물, 국채선물, 달러선물, 주식 F&amp;O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EXTURE+</w:t>
            </w:r>
          </w:p>
        </w:tc>
      </w:tr>
    </w:tbl>
    <w:p/>
    <w:p>
      <w:pPr>
        <w:pStyle w:val="Heading3"/>
      </w:pPr>
      <w:r>
        <w:t>10.2 규제 빠른 참조 (Regulatory 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지역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주요 감독기관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핵심 법령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OTC 청산 의무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포지션 한도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CCP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미국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CFTC + SEC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CEA / Dodd-Frank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연방(CFTC Part 150) +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CME Clearing, OCC, ICE Clear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EU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ESMA + NCA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EMIR /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MiFID II 제57조 NCA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Eurex Clearing, Euronext Clearing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영국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FCA + BoE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EMIR / UK MiFID II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+ CDS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UK MiFID II FCA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ICE Clear Europe, LCH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일본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JFSA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금융상품거래법(FIEA)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JPY IRS + iTraxx Japan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거래소(OSE)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JSCC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홍콩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SFC + HKMA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SFO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(HKD/USD/EUR/GBP)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법정(SFC)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HKCC, SEOCH, OTC Clear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싱가포르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MAS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SFA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IRS (SGD 200억 초과)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거래소(SGX)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SGX-DC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중국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선물·파생상품법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파생상품에 한함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CSRC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CFFEX, SHFE, DCE (자체 청산)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인도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SEBI법 / 증권계약법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파생상품에 한함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SEBI 체계 +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NSE Clearing (NCL)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대만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선물거래법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상장 파생상품에 한함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TAIFEX Clearing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대한민국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+ FSS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FSCMA (자본시장법)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KRW IRS/CRS (제한적)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FSC 하 거래소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KRX (거래소-CCP 통합)</w:t>
            </w:r>
          </w:p>
        </w:tc>
      </w:tr>
    </w:tbl>
    <w:p/>
    <w:p>
      <w:pPr>
        <w:pStyle w:val="Heading3"/>
      </w:pPr>
      <w:r>
        <w:t>10.3 증거금 방법론 빠른 참조 (Margin Methodology Quick Reference)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CCP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현행 방법론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이행 예정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CME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+ SPAN 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 + HVaR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전 상품 SPAN 2 전환 (2025-26)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Eurex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Prisma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필터링 역사적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해당 없음 (이미 VaR 기반)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몬테카를로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해당 없음 (이미 VaR 기반)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ICE Clear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ICE 증거금 모델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HVaR / 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해당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역사적 VaR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해당 없음 (2023년 11월 SPAN에서 전환 완료)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HKCC/SEOCH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PRiME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해당 없음 (SPAN에서 전환 완료)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SGX-DC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IRM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 (SPAN 유사)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검토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ASX Clear (Futures)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 기반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검토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CDCC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검토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NSE Clearing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SPAN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검토 중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CFFEX/DCE/SHFE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TAIFEX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독자 개발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미공개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KRX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KRX-SPAN (변형 SPAN)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시나리오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 기반 (JSCC 2023년 선례 참고, 검토 중)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본 비교 분석은 2026년 4월까지 수행된 연구를 바탕으로 작성되었다. 데이터는 exchange_review/02_derivatives 프로젝트 내 개별 거래소 연구 파일, 규제 분석 문서, 시스템 심층 분석 파일에서 인용하였다. 원본 파일에서 [unverified]로 표시된 항목은 본 문서에도 최선 정보로 반영되어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