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Eurex (유렉스)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**분야:** 파생상품 (Derivatives)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Eurex Frankfurt AG (Eurex Deutschland 및 Eurex Zurich 운영)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https://www.eurex.com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1998년 (DTB Deutsche Terminborse와 SOFFEX의 합병)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독일 / 프랑크푸르트 암 마인 (Mergenthalerallee 61, 65760 Eschborn); 스위스 취리히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Deutsche Borse AG (상장, 티커 DB1)의 100% 자회사; Deutsche Borse는 2012년 1월 Eurex Zurich AG에 대한 SIX Group의 잔여 지분 인수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Deutsche Borse Group -- Eurex (파생상품), Xetra (현물 주식), Eurex Clearing (CCP), Clearstream (결제/보관), EEX (에너지), 360T (FX), STOXX/Qontigo (지수/분석)를 포괄하는 수직 통합 그룹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Bundesanstalt fur Finanzdienstleistungsaufsicht (BaFin) 주요 감독; Hessische Borsaufsicht (헤센주 거래소감독청); European Securities and Markets Authority (ESMA) EMIR에 따른 CCP 감독; FINMA (스위스) Eurex Zurich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거래량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20억 6,590만 계약 (전년 대비 -1%); 금리 파생상품 +8%, 주식 파생상품 -1%, 지수 파생상품 -11%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거래량 (2024)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20억 8,050만 계약 (전년 대비 +9%)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청산 미결제 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33,411억 (2024년 말, 전년 대비 +12%); 일평균 청산 거래량 EUR 2,800억 (2025년, 2024년 대비 +35%)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Eurex Repo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4,061억 평균 기간조정 거래량 (2025년, 역대 최고, 전년 대비 +20%)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19개국에 걸쳐 1,000개 이상 선물 및 700개 이상 옵션; 900개 이상 개별주식 선물; 500개 이상 주식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자산군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9개 자산군: 금리, 주가지수, 주식 (개별주식), 변동성, 배당, FX, ETF/ETC, 상품, 암호화폐</w:t>
            </w:r>
          </w:p>
        </w:tc>
      </w:tr>
    </w:tbl>
    <w:p/>
    <w:p>
      <w:r>
        <w:t>[출처: Eurex, "Full year and December 2025 figures at Eurex", January 2026, https://www.eurex.com/ex-en/find/news-center/news/Full-year-and-December-2025-figures-at-Eurex-4891494]</w:t>
      </w:r>
    </w:p>
    <w:p>
      <w:r>
        <w:t>[출처: Eurex, "Full year and December 2024 figures at Eurex", January 2025, https://www.eurex.com/ex-en/find/news-center/news/Full-year-and-December-2024-figures-at-Eurex-4250318]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1990년: Deutsche Terminborse (DTB), 세계 최초의 완전 전자 파생상품 거래소 중 하나로 프랑크푸르트에서 출범</w:t>
      </w:r>
    </w:p>
    <w:p>
      <w:pPr>
        <w:pStyle w:val="ListBullet"/>
      </w:pPr>
      <w:r>
        <w:t>1988년: Swiss Options and Financial Futures Exchange (SOFFEX), 취리히에 설립</w:t>
      </w:r>
    </w:p>
    <w:p>
      <w:pPr>
        <w:pStyle w:val="ListBullet"/>
      </w:pPr>
      <w:r>
        <w:t>1997년: DTB, 유럽 및 미국 전역에 전자 스크린 배포; LIFFE의 플로어 매매에서 Bund 선물 유동성 흡수 시작</w:t>
      </w:r>
    </w:p>
    <w:p>
      <w:pPr>
        <w:pStyle w:val="ListBullet"/>
      </w:pPr>
      <w:r>
        <w:t>1998년 (11월 30일): Eurex 설립 — DTB와 SOFFEX의 합병으로 프랑크푸르트와 취리히를 연결하는 세계 최초의 국경간 전자 파생상품 거래소 탄생</w:t>
      </w:r>
    </w:p>
    <w:p>
      <w:pPr>
        <w:pStyle w:val="ListBullet"/>
      </w:pPr>
      <w:r>
        <w:t>1999년: Eurex, 계약 거래량 기준 세계 최대 파생상품 거래소로 CBOT 추월</w:t>
      </w:r>
    </w:p>
    <w:p>
      <w:pPr>
        <w:pStyle w:val="ListBullet"/>
      </w:pPr>
      <w:r>
        <w:t>2000년: Eurex US 이니셔티브 개시 (2007년 중단)</w:t>
      </w:r>
    </w:p>
    <w:p>
      <w:pPr>
        <w:pStyle w:val="ListBullet"/>
      </w:pPr>
      <w:r>
        <w:t>2002년: Eurex Clearing AG, 중앙청산소(CCP)로 설립</w:t>
      </w:r>
    </w:p>
    <w:p>
      <w:pPr>
        <w:pStyle w:val="ListBullet"/>
      </w:pPr>
      <w:r>
        <w:t>2003년: Eurex Bonds (전자 채권 매매 플랫폼) 출시</w:t>
      </w:r>
    </w:p>
    <w:p>
      <w:pPr>
        <w:pStyle w:val="ListBullet"/>
      </w:pPr>
      <w:r>
        <w:t>2007년: Eurex US 운영 종료; Eurex Credit Clear 이니셔티브 출시</w:t>
      </w:r>
    </w:p>
    <w:p>
      <w:pPr>
        <w:pStyle w:val="ListBullet"/>
      </w:pPr>
      <w:r>
        <w:t>2010년: 금리 스왑에 대한 Eurex OTC Clear 출시</w:t>
      </w:r>
    </w:p>
    <w:p>
      <w:pPr>
        <w:pStyle w:val="ListBullet"/>
      </w:pPr>
      <w:r>
        <w:t>2012년: Deutsche Borse, Eurex Zurich AG에 대한 SIX Group의 잔여 주식 인수, 단독 소유자</w:t>
      </w:r>
    </w:p>
    <w:p>
      <w:pPr>
        <w:pStyle w:val="ListBullet"/>
      </w:pPr>
      <w:r>
        <w:t>2012년: Eurex Clearing Prisma 포트폴리오 기반 증거금 방법론 도입</w:t>
      </w:r>
    </w:p>
    <w:p>
      <w:pPr>
        <w:pStyle w:val="ListBullet"/>
      </w:pPr>
      <w:r>
        <w:t>2013년: 유럽위원회, Deutsche Borse와 NYSE Euronext의 합병 제안 거부</w:t>
      </w:r>
    </w:p>
    <w:p>
      <w:pPr>
        <w:pStyle w:val="ListBullet"/>
      </w:pPr>
      <w:r>
        <w:t>2014년: 주요 벤치마크 상품에 대한 아시아 거래시간 확대 도입 (01:00 CET)</w:t>
      </w:r>
    </w:p>
    <w:p>
      <w:pPr>
        <w:pStyle w:val="ListBullet"/>
      </w:pPr>
      <w:r>
        <w:t>2015년: Eurex Repo GC Pooling 역대 최고 거래량 달성</w:t>
      </w:r>
    </w:p>
    <w:p>
      <w:pPr>
        <w:pStyle w:val="ListBullet"/>
      </w:pPr>
      <w:r>
        <w:t>2017년: T7 매매시스템 Eurex에 출시 (Xetra와 공유 플랫폼, 레거시 시스템 대체)</w:t>
      </w:r>
    </w:p>
    <w:p>
      <w:pPr>
        <w:pStyle w:val="ListBullet"/>
      </w:pPr>
      <w:r>
        <w:t>2018년: MiFID II/MiFIR 시행; Eurex EnLight RFQ 플랫폼 출시</w:t>
      </w:r>
    </w:p>
    <w:p>
      <w:pPr>
        <w:pStyle w:val="ListBullet"/>
      </w:pPr>
      <w:r>
        <w:t>2019년: ESG 지수 파생상품 (STOXX ESG-X 선물 및 옵션) 출시</w:t>
      </w:r>
    </w:p>
    <w:p>
      <w:pPr>
        <w:pStyle w:val="ListBullet"/>
      </w:pPr>
      <w:r>
        <w:t>2020년: COVID-19 팬데믹으로 역대 최고 변동성 및 거래량 기록</w:t>
      </w:r>
    </w:p>
    <w:p>
      <w:pPr>
        <w:pStyle w:val="ListBullet"/>
      </w:pPr>
      <w:r>
        <w:t>2021년: Credit Index Futures 및 Three-Month Euro STR Futures 출시</w:t>
      </w:r>
    </w:p>
    <w:p>
      <w:pPr>
        <w:pStyle w:val="ListBullet"/>
      </w:pPr>
      <w:r>
        <w:t>2022년: 역대 최고 거래량; 암호화폐 파생상품 이니셔티브 시작</w:t>
      </w:r>
    </w:p>
    <w:p>
      <w:pPr>
        <w:pStyle w:val="ListBullet"/>
      </w:pPr>
      <w:r>
        <w:t>2023년: Deutsche Borse의 SimCorp 인수 완료; T7 지속적 업그레이드</w:t>
      </w:r>
    </w:p>
    <w:p>
      <w:pPr>
        <w:pStyle w:val="ListBullet"/>
      </w:pPr>
      <w:r>
        <w:t>2024년: Deutsche Borse Group 매출 EUR 56억 초과; D7 디지털 사후거래 플랫폼 출시</w:t>
      </w:r>
    </w:p>
    <w:p>
      <w:pPr>
        <w:pStyle w:val="ListBullet"/>
      </w:pPr>
      <w:r>
        <w:t>2025년: T7 Release 14.0 출시 (2025년 11월 10일); Sponsored Access 모델 도입; Systematic QIS Index Futures 출시; ESG 파생상품 누적 명목 EUR 300억 초과; OESX에 대한 새로운 Eurex 유동성공급자 체계</w:t>
      </w:r>
    </w:p>
    <w:p>
      <w:r>
        <w:t>[출처: Wikipedia, "Eurex", https://en.wikipedia.org/wiki/Eurex]</w:t>
      </w:r>
    </w:p>
    <w:p>
      <w:r>
        <w:t>[출처: MarketsWiki, "Eurex", https://www.marketswiki.com/wiki/Eurex]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부문 (Market Segments)</w:t>
      </w:r>
    </w:p>
    <w:p>
      <w:r>
        <w:t>Eurex는 파생상품을 다음 주요 부문으로 구성한다: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부문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**금리 파생상품 (Interest Rate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Euro-Bund, Euro-Bobl, Euro-Schatz, Euro-Buxl 선물 및 옵션; Euribor 선물; Euro STR 선물; Credit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익일물부터 장기까지 유로 수익률 곡선 전체 커버; 국채 선물, 단기금융 선물, OTC IRS 청산 포함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파생상품 (Equity Index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 STOXX 50, DAX, MDAX, STOXX Europe 600, MSCI, FTSE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벤치마크 지수 선물 및 옵션; 표준, 미니, 마이크로 계약 포함; ESG 및 총수익 변형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**주식 파생상품 (개별주식) (Equity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900개 이상 개별주식 선물, 500개 이상 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STOXX Europe 600 구성종목 및 주요 미국/캐나다 종목 커버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**배당 파생상품 (Dividend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지수 배당 선물 (EURO STOXX 50, DAX); 80개 이상 개별주식 배당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순수 배당 노출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**변동성 파생상품 (Volatility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VSTOXX 선물 및 옵션; 분산 선물 (EVAR)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VSTOXX 지수를 통한 EURO STOXX 50 내재변동성 거래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**FX 파생상품 (FX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Rolling Spot Futures, Classic FX Futures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현물부터 3년까지의 결제일; 인도형 및 비인도형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**ETF 및 ETC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ETF 및 ETC에 대한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 ETC (Physical Gold, Crude Oil) 포함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파생상품 (Commodity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 ETC에 대한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Gold ETC (AUM EUR 40억 이상)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**암호화폐 파생상품 (Cryptocurrency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Bitcoin 및 Ether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디지털 자산 확장의 일환으로 출시</w:t>
            </w:r>
          </w:p>
        </w:tc>
      </w:tr>
    </w:tbl>
    <w:p/>
    <w:p>
      <w:r>
        <w:t>[출처: Eurex, "Markets", https://www.eurex.com/ex-en/markets]</w:t>
      </w:r>
    </w:p>
    <w:p>
      <w:pPr>
        <w:pStyle w:val="Heading3"/>
      </w:pPr>
      <w:r>
        <w:t>2.2 매매 세션 (Trading Sessions)</w:t>
      </w:r>
    </w:p>
    <w:p>
      <w:r>
        <w:t>Eurex는 중부유럽시간(CET/CEST)으로 운영되며 3개 글로벌 시간대를 커버한다: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(CET)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(겨울)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아시아 거래시간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00:00 - 07:00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주요 유동성 선물 (벤치마크 지수 및 채권 선물)에 대한 연장 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사전 매매 (Pre-Trading)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07:30 - 08:00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시스템 개방; 주문 입력, 수정, 취소 가능;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유럽 거래시간 (메인)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핵심 유럽 세션; 개장 단일가매매, 접속매매, 종가 단일가매매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미국 거래시간 (연장)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17:30 - 22:00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벤치마크 상품에 대한 연장 야간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사후 매매 (Post-Trading)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22:00 - 22:30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21:00 - 21:30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 보고; 신규 체결 없음</w:t>
            </w:r>
          </w:p>
        </w:tc>
      </w:tr>
    </w:tbl>
    <w:p/>
    <w:p>
      <w:r>
        <w:t>상품별 변동:</w:t>
      </w:r>
    </w:p>
    <w:p>
      <w:pPr>
        <w:pStyle w:val="ListBullet"/>
      </w:pPr>
      <w:r>
        <w:t>주가지수 선물/옵션 (FESX, FDAX 등): 08:00 - 22:00 CET (일부 상품은 01:00부터 아시아 시간)</w:t>
      </w:r>
    </w:p>
    <w:p>
      <w:pPr>
        <w:pStyle w:val="ListBullet"/>
      </w:pPr>
      <w:r>
        <w:t>채권 선물 (FGBL, FGBM, FGBS): 08:00 - 22:00 CET (01:00부터 아시아 시간)</w:t>
      </w:r>
    </w:p>
    <w:p>
      <w:pPr>
        <w:pStyle w:val="ListBullet"/>
      </w:pPr>
      <w:r>
        <w:t>주식 옵션 (개별주식): 09:00 - 17:30 CET</w:t>
      </w:r>
    </w:p>
    <w:p>
      <w:pPr>
        <w:pStyle w:val="ListBullet"/>
      </w:pPr>
      <w:r>
        <w:t>FX 파생상품: 08:00 - 18:00 CET [unverified]</w:t>
      </w:r>
    </w:p>
    <w:p>
      <w:r>
        <w:t>[출처: Eurex, "Trading hours", https://www.eurex.com/ex-en/trade/trading-hours]</w:t>
      </w:r>
    </w:p>
    <w:p>
      <w:r>
        <w:t>[출처: Eurex, "Trade Eurex Derivatives Across All Time Zones", https://www.eurex.com/ex-en/trade/trading-hours/thx]</w:t>
      </w:r>
    </w:p>
    <w:p>
      <w:pPr>
        <w:pStyle w:val="Heading3"/>
      </w:pPr>
      <w:r>
        <w:t>2.3 호가단위 (최소가격변동폭) (Tick Sizes)</w:t>
      </w:r>
    </w:p>
    <w:p>
      <w:r>
        <w:t>호가단위는 상품별로 상이하다. 대표적 예시: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(Tick Size)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틱 가치 (EUR)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 STOXX 50 선물 (FESX)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DAX 선물 (FDAX)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12.50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Mini-DAX 선물 (FDXM)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Micro-DAX 선물 (FDXS)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Euro-Bund 선물 (FGBL)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 (액면의 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Euro-Bobl 선물 (FGBM)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 (액면의 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Euro-Schatz 선물 (FGBS)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 (액면의 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 STOXX 50 옵션 (OESX)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DAX 옵션 (ODAX)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0.50</w:t>
            </w:r>
          </w:p>
        </w:tc>
      </w:tr>
    </w:tbl>
    <w:p/>
    <w:p>
      <w:r>
        <w:t>주: 지수 파생상품의 호가단위가 2025년 3월 3일부로 업데이트되었으며, 일부 상품의 최소가격단위가 변경되었다.</w:t>
      </w:r>
    </w:p>
    <w:p>
      <w:r>
        <w:t>[출처: Eurex, 각종 상품 사양 페이지, https://www.eurex.com/ex-en/markets]</w:t>
      </w:r>
    </w:p>
    <w:p>
      <w:pPr>
        <w:pStyle w:val="Heading3"/>
      </w:pPr>
      <w:r>
        <w:t>2.4 거래단위 (Lot Sizes)</w:t>
      </w:r>
    </w:p>
    <w:p>
      <w:pPr>
        <w:pStyle w:val="ListBullet"/>
      </w:pPr>
      <w:r>
        <w:t>표준 거래단위: 모든 파생상품에 대해 1계약</w:t>
      </w:r>
    </w:p>
    <w:p>
      <w:pPr>
        <w:pStyle w:val="ListBullet"/>
      </w:pPr>
      <w:r>
        <w:t>블록거래 (대량매매) 최소 규모: 상품별 상이; 예: EURO STOXX 50 옵션 EnLight 최소 블록거래 규모 1,000계약 [unverified]</w:t>
      </w:r>
    </w:p>
    <w:p>
      <w:pPr>
        <w:pStyle w:val="ListBullet"/>
      </w:pPr>
      <w:r>
        <w:t>최소 블록거래 규모 (MBTS): T7 Entry Services 및 Eurex EnLight용은 TES 매개변수 파일에 게시</w:t>
      </w:r>
    </w:p>
    <w:p>
      <w:pPr>
        <w:pStyle w:val="Heading3"/>
      </w:pPr>
      <w:r>
        <w:t>2.5 시장조성자 (마켓메이커) / 유동성공급자 프로그램 (Market Maker / Liquidity Provider Programs)</w:t>
      </w:r>
    </w:p>
    <w:p>
      <w:r>
        <w:t>Eurex는 다수의 시장조성 체계를 운영한다:</w:t>
      </w:r>
    </w:p>
    <w:p>
      <w:pPr>
        <w:pStyle w:val="ListBullet"/>
      </w:pPr>
      <w:r>
        <w:t>상설 시장조성자 (Permanent Market Makers): 지속적인 양방향 호가 제공; 수수료 환급 및 인센티브 적격</w:t>
      </w:r>
    </w:p>
    <w:p>
      <w:pPr>
        <w:pStyle w:val="ListBullet"/>
      </w:pPr>
      <w:r>
        <w:t>일반 시장조성자 (Regular Market Makers): 상설 시장조성자 대비 축소된 호가 의무 이행</w:t>
      </w:r>
    </w:p>
    <w:p>
      <w:pPr>
        <w:pStyle w:val="ListBullet"/>
      </w:pPr>
      <w:r>
        <w:t>지정 시장조성자 (Designated Market Makers): 상품별 특화 제도; 예: Euribor 선물 지정 시장조성 제도, 개별주식 배당 선물 지정 시장조성 제도</w:t>
      </w:r>
    </w:p>
    <w:p>
      <w:r>
        <w:t>OESX (EURO STOXX 50 옵션) 유동성공급자 체계 (2025년 7월 시행):</w:t>
      </w:r>
    </w:p>
    <w:p>
      <w:r>
        <w:t>3단계 인센티브 구조:</w:t>
      </w:r>
    </w:p>
    <w:p>
      <w:pPr>
        <w:pStyle w:val="ListNumber"/>
      </w:pPr>
      <w:r>
        <w:t>기본 구성요소 (Basis Building Block): 처음 2년 동안 넓은 델타 범위의 모든 만기에 대해 90% 커버리지로 호가 의무; 하루 종일 일관된 호가 보장</w:t>
      </w:r>
    </w:p>
    <w:p>
      <w:pPr>
        <w:pStyle w:val="ListNumber"/>
      </w:pPr>
      <w:r>
        <w:t>고급 구성요소 (Advanced Building Block, 슬라이딩 스케일 환급): 시간가중 스프레드 및 수량에 기반한 보상; LP가 원하는 환급 수준 선택</w:t>
      </w:r>
    </w:p>
    <w:p>
      <w:pPr>
        <w:pStyle w:val="ListNumber"/>
      </w:pPr>
      <w:r>
        <w:t>수동 거래량 인센티브 (Passive Volume Incentive): 수동 체결에 대한 보상; 적격 LP 중 제한된 수에게 인센티브 풀 개방</w:t>
      </w:r>
    </w:p>
    <w:p>
      <w:r>
        <w:t>호가 성과 및 인센티브 지급은 모든 Eurex 상품에 대해 자동으로 산출된다.</w:t>
      </w:r>
    </w:p>
    <w:p>
      <w:r>
        <w:t>[출처: Eurex, "Market-Making and Liquidity provisioning", https://www.eurex.com/ex-en/trade/market-making-and-liquidity-provisioning]</w:t>
      </w:r>
    </w:p>
    <w:p>
      <w:r>
        <w:t>[출처: Eurex, "Eurex introduces new liquidity framework", 2025, https://www.eurex.com/ex-en/find/news-center/news/oesx-new-lp-scheme-4321212]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단일가매매 (경매) 메커니즘 (Auction Mechanisms)</w:t>
      </w:r>
    </w:p>
    <w:p>
      <w:r>
        <w:t>Eurex는 T7 매매시스템 내에서 다수의 단일가매매 유형을 사용한다:</w:t>
      </w:r>
    </w:p>
    <w:p>
      <w:pPr>
        <w:pStyle w:val="ListBullet"/>
      </w:pPr>
      <w:r>
        <w:t>개장 단일가매매 (Opening Auction): 주 매매 단계를 시작; 호가 수집 단계에서 주문 수집 및 예상가 표시. 체결 가능 거래량을 최대화하는 가격에서 개봉(언크로싱) 체결 진행. Opening-Auction-Only 주문은 종목이 Opening Auction 상태에 진입하면 활성화되어 새로운 우선순위 타임스탬프 수령</w:t>
      </w:r>
    </w:p>
    <w:p>
      <w:pPr>
        <w:pStyle w:val="ListBullet"/>
      </w:pPr>
      <w:r>
        <w:t>종가 단일가매매 (Closing Auction): 주 매매 단계 종료 시 유동성 집중; 공식 종가 결정. 개장 단일가매매와 유사한 호가 수집 및 개봉 메커니즘</w:t>
      </w:r>
    </w:p>
    <w:p>
      <w:pPr>
        <w:pStyle w:val="ListBullet"/>
      </w:pPr>
      <w:r>
        <w:t>장중 단일가매매 (Intraday Auction): 특정 종목에 대해 정오 무렵 예정; 접속매매를 일시 중단하여 추가 가격 발견 기회 제공</w:t>
      </w:r>
    </w:p>
    <w:p>
      <w:pPr>
        <w:pStyle w:val="ListBullet"/>
      </w:pPr>
      <w:r>
        <w:t>변동성 단일가매매 (Volatility Auction): 유입 주문의 잠재 체결가가 설정된 가격편차 한도 (변동성 중단)를 위반할 때 자동 발동. 종목이 접속매매에서 단일가매매 호가 수집 단계로 이동하여 질서 있는 가격 발견 진행. 잠재 체결가는 설정된 회고 시간 내 모든 체결 거래의 참조 가격과 대비 확인</w:t>
      </w:r>
    </w:p>
    <w:p>
      <w:pPr>
        <w:pStyle w:val="ListBullet"/>
      </w:pPr>
      <w:r>
        <w:t>종가 매매 (Trade-at-Close): 종가 단일가매매 후, 고정된 종가 단일가매매 가격에서 주문의 접속 체결 가능 (추가 가격 발견 없음)</w:t>
      </w:r>
    </w:p>
    <w:p>
      <w:r>
        <w:t>[출처: Eurex, "Trading phases", https://www.eurex.com/ex-en/trade/trading-hours/trading-phases]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중앙지정가호가장 (CLOB): 완전 전자화된 주문주도형 시장</w:t>
      </w:r>
    </w:p>
    <w:p>
      <w:pPr>
        <w:pStyle w:val="ListBullet"/>
      </w:pPr>
      <w:r>
        <w:t>체결: 매매 세션 동안 매수 및 매도 주문의 지속적 체결</w:t>
      </w:r>
    </w:p>
    <w:p>
      <w:pPr>
        <w:pStyle w:val="ListBullet"/>
      </w:pPr>
      <w:r>
        <w:t>합성 체결 (Synthetic matching): 캘린더 스프레드가 직접 계약으로부터 합성적으로 체결; T7 Release 14.0에서 STIR 선물 (Euribor, Euro STR)의 Butterfly 및 Condor 전략으로 확장</w:t>
      </w:r>
    </w:p>
    <w:p>
      <w:pPr>
        <w:pStyle w:val="ListBullet"/>
      </w:pPr>
      <w:r>
        <w:t>시장조성자: 지속적 호가를 통해 호가장 유동성 보완; 호가주도형 시장은 아님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주요 가격 발견은 개장 단일가매매 및 접속 호가장을 통해 이루어짐</w:t>
      </w:r>
    </w:p>
    <w:p>
      <w:pPr>
        <w:pStyle w:val="ListBullet"/>
      </w:pPr>
      <w:r>
        <w:t>단일가매매 개봉 알고리즘: (1) 최대 체결 가능 거래량, (2) 최소 잉여, (3) 참조 가격을 동점 결정 기준으로</w:t>
      </w:r>
    </w:p>
    <w:p>
      <w:pPr>
        <w:pStyle w:val="ListBullet"/>
      </w:pPr>
      <w:r>
        <w:t>종가: 종가 단일가매매를 통해 결정; 파생상품 정산 계산, 지수 산출, 증거금 계산에 핵심</w:t>
      </w:r>
    </w:p>
    <w:p>
      <w:pPr>
        <w:pStyle w:val="ListBullet"/>
      </w:pPr>
      <w:r>
        <w:t>예상가: 단일가매매 호가 수집 단계에서 가격 발견을 안내하기 위해 표시</w:t>
      </w:r>
    </w:p>
    <w:p>
      <w:pPr>
        <w:pStyle w:val="Heading3"/>
      </w:pPr>
      <w:r>
        <w:t>3.4 주문 우선순위 규칙 (Order Priority Rules)</w:t>
      </w:r>
    </w:p>
    <w:p>
      <w:pPr>
        <w:pStyle w:val="ListBullet"/>
      </w:pPr>
      <w:r>
        <w:t>가격-시간 우선: 대부분의 Eurex 상품에 대한 표준 우선순위 규칙 -- 최우선 가격 먼저, 이후 동일 가격에서 가장 빠른 시간</w:t>
      </w:r>
    </w:p>
    <w:p>
      <w:pPr>
        <w:pStyle w:val="ListBullet"/>
      </w:pPr>
      <w:r>
        <w:t>시장가주문이 지정가주문보다 우선</w:t>
      </w:r>
    </w:p>
    <w:p>
      <w:pPr>
        <w:pStyle w:val="ListBullet"/>
      </w:pPr>
      <w:r>
        <w:t>표시 우선 비표시: 동일 가격에서 표시된 주문 수량이 비표시 (아이스버그 예비) 수량보다 우선</w:t>
      </w:r>
    </w:p>
    <w:p>
      <w:pPr>
        <w:pStyle w:val="ListBullet"/>
      </w:pPr>
      <w:r>
        <w:t>비례 배분 (Pro-rata): 특정 상품 (예: 특정 금리 옵션 및 Euribor 선물)에 대해 사용되며, 동일 가격의 주문이 시간 우선이 아닌 수량에 비례하여 체결 [unverified -- 유럽 채권 파생상품에서 비례 배분은 일반적이나 정확한 Eurex 상품 목록 확인 필요]</w:t>
      </w:r>
    </w:p>
    <w:p>
      <w:r>
        <w:t>주: T7 시스템은 상품별 설정 가능한 매칭 알고리즘을 지원하여, 거래소가 적절하게 가격-시간 또는 비례 배분 매칭을 적용할 수 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**시장가주문 (Market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즉시 체결; 가격 제한 미지정. IOC 주문 유효조건과 함께 지원 불가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**지정가주문 (Limit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매수가 또는 최소 매도가 지정; 미체결 잔량은 호가장에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 시장가주문 (Stop Market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발동가에 도달할 때까지 역지정가 서버에 보관, 이후 시장가주문으로 발출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 지정가주문 (Stop 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발동가에 도달할 때까지 역지정가 서버에 보관, 이후 지정가주문으로 발출. 시간 우선순위는 역지정가 발동 후 Eurex가 지정가주문을 수신한 시점부터 산정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**OCO (One-Cancels-Other)**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연결된 두 주문으로 하나 체결 시 다른 하나 자동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**아이스버그 주문 (Iceberg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주문량의 일부만 호가장에 표시; 전체 수량의 최소 5%가 표시되어야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**Book or Cancel (BOC)**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입력 시 즉시 체결될 경우 거부되는 주문; 수동 (메이커) 체결만 보장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**개장 단일가매매 전용 (Opening-Auction-Only)**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개장 단일가매매 중에만 활성; 개장 단일가매매에서 미체결 시 자동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**종가 단일가매매 전용 (Closing-Auction-Only)**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 단일가매매 중에만 활성</w:t>
            </w:r>
          </w:p>
        </w:tc>
      </w:tr>
    </w:tbl>
    <w:p/>
    <w:p>
      <w:pPr>
        <w:pStyle w:val="Heading3"/>
      </w:pPr>
      <w:r>
        <w:t>4.3 주문 유효조건 (Time-in-Force, TIF)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거래일에만 유효; 세션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**GTC (Good-Till-Cancelled)**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명시적으로 취소되거나 만료될 때까지 유지 (최대 기간 적용)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**GTDate (Good-Till-Date)**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날짜까지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**IOC (Immediate-Or-Cancel)**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만큼 즉시 체결; 미체결 잔량 취소. 시장가주문이나 역지정가주문에는 이용 불가</w:t>
            </w:r>
          </w:p>
        </w:tc>
      </w:tr>
    </w:tbl>
    <w:p/>
    <w:p>
      <w:pPr>
        <w:pStyle w:val="Heading3"/>
      </w:pPr>
      <w:r>
        <w:t>4.4 주문 수정 및 취소 (Order Modification &amp; Cancellation)</w:t>
      </w:r>
    </w:p>
    <w:p>
      <w:pPr>
        <w:pStyle w:val="ListBullet"/>
      </w:pPr>
      <w:r>
        <w:t>적절한 매매 단계에서 언제든지 주문의 가격, 수량, TIF 수정 또는 취소 가능</w:t>
      </w:r>
    </w:p>
    <w:p>
      <w:pPr>
        <w:pStyle w:val="ListBullet"/>
      </w:pPr>
      <w:r>
        <w:t>가격 변경 또는 수량 증가를 수반하는 수정은 새로운 시간 우선순위 부여</w:t>
      </w:r>
    </w:p>
    <w:p>
      <w:pPr>
        <w:pStyle w:val="ListBullet"/>
      </w:pPr>
      <w:r>
        <w:t>수량 감소를 수반하는 수정은 시간 우선순위 유지</w:t>
      </w:r>
    </w:p>
    <w:p>
      <w:pPr>
        <w:pStyle w:val="ListBullet"/>
      </w:pPr>
      <w:r>
        <w:t>참여자가 하나의 상품 또는 모든 상품에 대한 주문을 취소할 수 있는 일괄 취소 기능 이용 가능</w:t>
      </w:r>
    </w:p>
    <w:p>
      <w:r>
        <w:t>[출처: Eurex, "Order types", https://www.eurex.com/ex-en/trade/order-book-trading/order-types]</w:t>
      </w:r>
    </w:p>
    <w:p>
      <w:r>
        <w:t>[출처: Trading Technologies, "Eurex Supported Order Types", https://library.tradingtechnologies.com/user-setup/eur-eurex-supported-order-types.html]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기술 -- T7 (Trading System Technology -- T7)</w:t>
      </w:r>
    </w:p>
    <w:p>
      <w:pPr>
        <w:pStyle w:val="Heading3"/>
      </w:pPr>
      <w:r>
        <w:t>5.1 개요 (Overview)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T7 (Xetra, EEX 및 기타 Deutsche Borse Group 시장에서도 사용)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버전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T7 Release 14.0 (2025년 11월 10일 Eurex 출시); Release 14.1은 2026년 5월 18일 예정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분산 게이트웨이 접근이 가능한 중앙 매매체결엔진; 독립적 확장이 가능한 파티션 기반 아키텍처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Deutsche Borse AG (자체 개발)</w:t>
            </w:r>
          </w:p>
        </w:tc>
      </w:tr>
    </w:tbl>
    <w:p/>
    <w:p>
      <w:pPr>
        <w:pStyle w:val="Heading3"/>
      </w:pPr>
      <w:r>
        <w:t>5.2 아키텍처 (Architecture)</w:t>
      </w:r>
    </w:p>
    <w:p>
      <w:pPr>
        <w:pStyle w:val="ListBullet"/>
      </w:pPr>
      <w:r>
        <w:t>파티션 기반 설계: 상품이 복수의 파티션에 분산되며, 각 파티션은 자체 매매체결엔진을 보유하여 수평적 확장 및 장애 격리 가능</w:t>
      </w:r>
    </w:p>
    <w:p>
      <w:pPr>
        <w:pStyle w:val="ListBullet"/>
      </w:pPr>
      <w:r>
        <w:t>게이트웨이 유형:</w:t>
      </w:r>
    </w:p>
    <w:p>
      <w:pPr>
        <w:pStyle w:val="ListBullet"/>
      </w:pPr>
      <w:r>
        <w:t>파티션별 (PS) 게이트웨이: 특정 파티션에만 라우팅; 10 Gbit/s 크로스커넥트를 통한 주문 및 호가 관리의 최저 지연 경로</w:t>
      </w:r>
    </w:p>
    <w:p>
      <w:pPr>
        <w:pStyle w:val="ListBullet"/>
      </w:pPr>
      <w:r>
        <w:t>저빈도 (LF) 게이트웨이: 단일 세션으로 모든 파티션에 접근 허용; PS 대비 ~12마이크로초 추가 기본 지연</w:t>
      </w:r>
    </w:p>
    <w:p>
      <w:pPr>
        <w:pStyle w:val="ListBullet"/>
      </w:pPr>
      <w:r>
        <w:t>접근 계층: 10 Gbit/s 스위치가 "컷스루" 모드로 운영; 이더넷 프레임의 첫 바이트가 경쟁 네트워크 경로에서 우선권 확보</w:t>
      </w:r>
    </w:p>
    <w:p>
      <w:pPr>
        <w:pStyle w:val="ListBullet"/>
      </w:pPr>
      <w:r>
        <w:t>매매체결엔진: 중앙 결정론적 매칭; 서브마이크로초 내부 지연으로 주문 및 호가 처리</w:t>
      </w:r>
    </w:p>
    <w:p>
      <w:pPr>
        <w:pStyle w:val="Heading3"/>
      </w:pPr>
      <w:r>
        <w:t>5.3 지연시간 및 처리량 (Latency &amp; Throughput)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인프라 지연 (시장 데이터에서 요청까지)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~2,787 나노초 (~2.8 마이크로초)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PS 게이트웨이에서 매매체결엔진까지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교차측 요청의 경우 ~1 마이크로초 (2025년 1월 이전 ~45 마이크로초에서 개선)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LF 게이트웨이 추가 지연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PS 경로 대비 ~12 마이크로초 높음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t_3n에서의 일반 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~8,000 kHz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t_5에서의 일반 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~500 kHz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t_7에서의 일반 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~300 kHz</w:t>
            </w:r>
          </w:p>
        </w:tc>
      </w:tr>
    </w:tbl>
    <w:p/>
    <w:p>
      <w:r>
        <w:t>[출처: Eurex, "Insights into Trading System Dynamics", March 2025, https://www.eurex.com/resource/blob/48918/4f724c9415d2731cfb27295db6269c9c/data/presentation_insights-into-trading-system-dynamics_en.pdf]</w:t>
      </w:r>
    </w:p>
    <w:p>
      <w:pPr>
        <w:pStyle w:val="Heading3"/>
      </w:pPr>
      <w:r>
        <w:t>5.4 기술 스택 (Technology Stack)</w:t>
      </w:r>
    </w:p>
    <w:p>
      <w:pPr>
        <w:pStyle w:val="ListBullet"/>
      </w:pPr>
      <w:r>
        <w:t>프로토콜: FIX 5.0 SP2 시맨틱스, 독자 세션 레이어 및 플랫 바이너리 인코딩 (ETI)</w:t>
      </w:r>
    </w:p>
    <w:p>
      <w:pPr>
        <w:pStyle w:val="ListBullet"/>
      </w:pPr>
      <w:r>
        <w:t>시장 데이터: FIX/FAST 인코딩 멀티캐스트 데이터 스트림 (EMDI, MDI, EOBI)</w:t>
      </w:r>
    </w:p>
    <w:p>
      <w:pPr>
        <w:pStyle w:val="ListBullet"/>
      </w:pPr>
      <w:r>
        <w:t>네트워크: 10 Gbit/s 이더넷 인프라; 모든 인터페이스 (FIX LF 및 ETI)에 대한 필수 TLS 암호화</w:t>
      </w:r>
    </w:p>
    <w:p>
      <w:pPr>
        <w:pStyle w:val="ListBullet"/>
      </w:pPr>
      <w:r>
        <w:t>GUI: 레거시 데스크탑 애플리케이션을 대체하는 차세대 브라우저 기반 GUI 2025년 도입</w:t>
      </w:r>
    </w:p>
    <w:p>
      <w:pPr>
        <w:pStyle w:val="Heading3"/>
      </w:pPr>
      <w:r>
        <w:t>5.5 릴리스 이력 (Release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릴리스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날짜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기능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최초 출시 (Eurex)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레거시 Eurex 매매시스템 대체; Xetra와 공유 플랫폼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Release 8.0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Enhanced Trading Interface 개선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Release 10.1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 규모 제한 수정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Release 12.1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Enhanced Order Book Interface 개선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Release 13.0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기능 강화; 시장 데이터 서비스 업데이트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Release 13.1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 (3월)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기능 참조 업데이트; 문서 개선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**T7 Release 14.0**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**2025 (11월 10일)**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**Sponsored Access (SpA); STIR의 Butterfly/Condor 전략 합성 매칭; 브라우저 기반 GUI**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Release 14.1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2026 (5월 18일, 예정)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 리스크 모니터링 강화; STIR 시장 합성 Packs &amp; Bundles; 추가 GUI 개선</w:t>
            </w:r>
          </w:p>
        </w:tc>
      </w:tr>
    </w:tbl>
    <w:p/>
    <w:p>
      <w:pPr>
        <w:pStyle w:val="Heading3"/>
      </w:pPr>
      <w:r>
        <w:t>5.6 재해복구 및 업무연속성 (DR/BCP) (Disaster Recovery &amp; Business Continuity)</w:t>
      </w:r>
    </w:p>
    <w:p>
      <w:pPr>
        <w:pStyle w:val="ListBullet"/>
      </w:pPr>
      <w:r>
        <w:t>주 데이터센터: Equinix FR2, 독일 프랑크푸르트 (T7 백엔드 및 코로케이션 시설 수용)</w:t>
      </w:r>
    </w:p>
    <w:p>
      <w:pPr>
        <w:pStyle w:val="ListBullet"/>
      </w:pPr>
      <w:r>
        <w:t>DR 인프라: T7 시뮬레이션 환경이 주 사이트 재해 발생 시 DR 프로덕션 인프라로 기능</w:t>
      </w:r>
    </w:p>
    <w:p>
      <w:pPr>
        <w:pStyle w:val="ListBullet"/>
      </w:pPr>
      <w:r>
        <w:t>DR 시나리오: Equinix FR2의 T7 백엔드를 접근 불가로 전환하되 코로케이션 시설은 접근 가능하게 유지하여, 코로케이션 고객이 DR 인프라에 여전히 연결 가능</w:t>
      </w:r>
    </w:p>
    <w:p>
      <w:pPr>
        <w:pStyle w:val="ListBullet"/>
      </w:pPr>
      <w:r>
        <w:t>정기 테스트: Eurex는 반기별 T7 재해복구 테스트 실시 (가장 최근 2024년 10월, 매년 3월 및 10월). 모든 매매참가자에게 참여 요청</w:t>
      </w:r>
    </w:p>
    <w:p>
      <w:pPr>
        <w:pStyle w:val="ListBullet"/>
      </w:pPr>
      <w:r>
        <w:t>DR 테스트 조율: Futures Industry Association (FIA)이 주관하는 업계 전체 테스트와 조율되는 경우가 많음</w:t>
      </w:r>
    </w:p>
    <w:p>
      <w:r>
        <w:t>[출처: Eurex, "T7 Disaster Recovery Test", https://www.eurex.com/ex-en/support/initiatives/project-readiness/T7-Disaster-Recovery-Test-2442570]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시장 데이터 인터페이스 (Market Data Interfaces)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인터페이스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**EMDI (Enhanced Market Data Interface)**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설정된 깊이까지의 모든 호가장 변경 및 모든 장내 거래를 배포하는 비순화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알고리즘 매매를 위한 고속 실시간 시장 데이터; 멀티캐스트 전달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**EOBI (Enhanced Order Book Interface)**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깊이 제한 없는 전체 호가장; 각 주문/호가의 방향, 가격, 우선순위 타임스탬프, 표시 수량과 거래 가격 및 거래량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코로케이션 참여자를 위한 초저지연 호가장 데이터; 완전한 L3 주문별 데이터 제공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**MDI (Market Data Interface)**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집계된 시장 데이터; 통계적 고/저가, 거래량, 최근 거래 정보; 정기적 간격의 호가장 업데이트 (EMDI보다 현저히 낮은 빈도)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틱별 데이터가 불필요한 참여자를 위한 비용 효율적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**RDI (Reference Data Interface)**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종목의 참조 데이터 (상품 정의, 계약 사양, 매매 매개변수)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 매매 설정 및 종목 유니버스 관리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**EMDS (Extended Market Data Service)**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 가격, 정산 가격, 미결제약정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일말 및 과거 데이터 배포</w:t>
            </w:r>
          </w:p>
        </w:tc>
      </w:tr>
    </w:tbl>
    <w:p/>
    <w:p>
      <w:pPr>
        <w:pStyle w:val="Heading3"/>
      </w:pPr>
      <w:r>
        <w:t>6.2 기술 프로토콜 (Technical Protocols)</w:t>
      </w:r>
    </w:p>
    <w:p>
      <w:pPr>
        <w:pStyle w:val="ListBullet"/>
      </w:pPr>
      <w:r>
        <w:t>인코딩: EMDI, MDI, RDI에 대한 FIX/FAST (FAST 1.1 및 1.2); EOBI에 대한 독자 바이너리 인코딩</w:t>
      </w:r>
    </w:p>
    <w:p>
      <w:pPr>
        <w:pStyle w:val="ListBullet"/>
      </w:pPr>
      <w:r>
        <w:t>전달: 스냅샷/증분 업데이트 모델을 사용한 IP 멀티캐스트</w:t>
      </w:r>
    </w:p>
    <w:p>
      <w:pPr>
        <w:pStyle w:val="ListBullet"/>
      </w:pPr>
      <w:r>
        <w:t>XML FAST 템플릿 파일 및 FIXML 스키마 파일이 메시지 형식 정의</w:t>
      </w:r>
    </w:p>
    <w:p>
      <w:pPr>
        <w:pStyle w:val="Heading3"/>
      </w:pPr>
      <w:r>
        <w:t>6.3 데이터 수준 (Data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인터페이스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 (호가 상단)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최우선 매수/매도호가, 최근 거래 가격/거래량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MDI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 (호가 깊이)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집계 수량이 포함된 복수 가격 수준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EMDI (설정 가능 깊이)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3 (전체 호가장)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가격, 수량, 우선순위 타임스탬프가 포함된 모든 개별 주문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EOBI</w:t>
            </w:r>
          </w:p>
        </w:tc>
      </w:tr>
    </w:tbl>
    <w:p/>
    <w:p>
      <w:pPr>
        <w:pStyle w:val="Heading3"/>
      </w:pPr>
      <w:r>
        <w:t>6.4 과거 데이터 (Historical Data)</w:t>
      </w:r>
    </w:p>
    <w:p>
      <w:pPr>
        <w:pStyle w:val="ListBullet"/>
      </w:pPr>
      <w:r>
        <w:t>시장 통계: Eurex 웹사이트에서 월간 통계 발행물 이용 가능</w:t>
      </w:r>
    </w:p>
    <w:p>
      <w:pPr>
        <w:pStyle w:val="ListBullet"/>
      </w:pPr>
      <w:r>
        <w:t>시장 통계 온라인: 과거 거래량, 미결제약정, 가격 데이터에 대한 대화형 조회 도구</w:t>
      </w:r>
    </w:p>
    <w:p>
      <w:pPr>
        <w:pStyle w:val="ListBullet"/>
      </w:pPr>
      <w:r>
        <w:t>정산 가격: EMDS를 통해 매일 게시</w:t>
      </w:r>
    </w:p>
    <w:p>
      <w:r>
        <w:t>[출처: Eurex, "Market and Reference Data Interfaces", https://www.eurex.com/ex-en/support/initiatives/archive/release8/Market-and-Reference-Data-Interfaces-1546120]</w:t>
      </w:r>
    </w:p>
    <w:p>
      <w:r>
        <w:t>[출처: OnixS, "Eurex T7 Market and Reference Data", https://www.onixs.biz/eurex-emdi-eobi-mdi-rdi.html]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거래소 회원 (Exchange Membership)</w:t>
      </w:r>
    </w:p>
    <w:p>
      <w:r>
        <w:t>매매 회원 유형: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**매매참가자 (Trading Participant)**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정식 거래소 회원; 자기 계좌 및 고객을 위한 매매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**Sponsored Access (SpA) 사용자**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SpA 서비스 제공자를 통해 T7에 접근하는 비회원 주체 (T7 Release 14.0, 2025년 11월 도입); 정식 회원 없이 저지연 접근</w:t>
            </w:r>
          </w:p>
        </w:tc>
      </w:tr>
    </w:tbl>
    <w:p/>
    <w:p>
      <w:r>
        <w:t>청산 회원 유형: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자본/수수료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**일반청산회원 (GCM)**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자기 거래, 고객 거래, 비청산 매매참가자의 거래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가입비: EUR 50,000; 연회비: EUR 25,000; 최소 자본 요건 충족 및 청산기금 출연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**직접청산회원 (DCM)**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자기 거래, 고객 거래, 100% 관계사 거래소 참여자의 거래만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GCM과 동일 수수료 구조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**FCM 청산회원**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스왑 거래 청산; FCM 고객 대리인 역할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청산에 특화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**ISA 직접청산회원**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청산 에이전트를 통해 OTC 또는 Repo 시장의 자기 업무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개별분리계좌를 위한 전문 회원</w:t>
            </w:r>
          </w:p>
        </w:tc>
      </w:tr>
    </w:tbl>
    <w:p/>
    <w:p>
      <w:r>
        <w:t>가입 요건:</w:t>
      </w:r>
    </w:p>
    <w:p>
      <w:pPr>
        <w:pStyle w:val="ListBullet"/>
      </w:pPr>
      <w:r>
        <w:t>EU 또는 스위스 내 금융기관</w:t>
      </w:r>
    </w:p>
    <w:p>
      <w:pPr>
        <w:pStyle w:val="ListBullet"/>
      </w:pPr>
      <w:r>
        <w:t>수탁 업무, 신용 운영, 증거금 (유가증권 및 현금) 수령 인가</w:t>
      </w:r>
    </w:p>
    <w:p>
      <w:pPr>
        <w:pStyle w:val="ListBullet"/>
      </w:pPr>
      <w:r>
        <w:t>Eurex Clearing AG 최소 자본 요건 준수 필수</w:t>
      </w:r>
    </w:p>
    <w:p>
      <w:pPr>
        <w:pStyle w:val="ListBullet"/>
      </w:pPr>
      <w:r>
        <w:t>청산기금 출연 필수</w:t>
      </w:r>
    </w:p>
    <w:p>
      <w:r>
        <w:t>[출처: Eurex, "Membership Types", https://www.eurex.com/ec-en/join/admission-requirements/Membership-Types-24040]</w:t>
      </w:r>
    </w:p>
    <w:p>
      <w:r>
        <w:t>[출처: Eurex, "Exchange membership", https://www.eurex.com/ex-en/trade/exchange-membership]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**ETI (Enhanced Trading Interface)**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고성능 네이티브 바이너리 인터페이스; FIX 5.0 SP2 시맨틱스, 독자 세션 레이어 및 플랫 바이너리 인코딩. HF (고빈도) 및 LF (저빈도) 세션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LF Interface**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저빈도 게이트웨이를 통한 표준 FIX 프로토콜 인터페이스; 최저 지연이 불필요한 참여자에 적합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**T7 Trader GUI / Admin GUI**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수동 매매 및 관리를 위한 그래픽 사용자 인터페이스; 2025년 브라우저 기반 신규 GUI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**Eurex EnLight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RFQ 플랫폼에 대한 프로그래밍 방식 접근</w:t>
            </w:r>
          </w:p>
        </w:tc>
      </w:tr>
    </w:tbl>
    <w:p/>
    <w:p>
      <w:r>
        <w:t>게이트웨이 유형:</w:t>
      </w:r>
    </w:p>
    <w:p>
      <w:pPr>
        <w:pStyle w:val="ListBullet"/>
      </w:pPr>
      <w:r>
        <w:t>PS (파티션별) 게이트웨이: 가장 빠른 경로; 10 Gbit/s 크로스커넥트; 단일 파티션으로 라우팅</w:t>
      </w:r>
    </w:p>
    <w:p>
      <w:pPr>
        <w:pStyle w:val="ListBullet"/>
      </w:pPr>
      <w:r>
        <w:t>LF (저빈도) 게이트웨이: 단일 세션으로 모든 파티션에 접근; 광범위한 시장 접근에 적합</w:t>
      </w:r>
    </w:p>
    <w:p>
      <w:r>
        <w:t>필수 암호화:</w:t>
      </w:r>
    </w:p>
    <w:p>
      <w:pPr>
        <w:pStyle w:val="ListBullet"/>
      </w:pPr>
      <w:r>
        <w:t>ETI LF 페이로드 암호화 Equinix FR2 외부 연결에 필수 (2023년 10월부터)</w:t>
      </w:r>
    </w:p>
    <w:p>
      <w:pPr>
        <w:pStyle w:val="ListBullet"/>
      </w:pPr>
      <w:r>
        <w:t>FIX LF 인터페이스 암호화 필수 (2023년 5월부터)</w:t>
      </w:r>
    </w:p>
    <w:p>
      <w:pPr>
        <w:pStyle w:val="ListBullet"/>
      </w:pPr>
      <w:r>
        <w:t>TLS 1.3 지원 추가</w:t>
      </w:r>
    </w:p>
    <w:p>
      <w:pPr>
        <w:pStyle w:val="Heading3"/>
      </w:pPr>
      <w:r>
        <w:t>7.3 코로케이션 (Co-Location)</w:t>
      </w:r>
    </w:p>
    <w:p>
      <w:pPr>
        <w:pStyle w:val="ListBullet"/>
      </w:pPr>
      <w:r>
        <w:t>주 시설: Equinix FR2, 독일 프랑크푸르트</w:t>
      </w:r>
    </w:p>
    <w:p>
      <w:pPr>
        <w:pStyle w:val="ListBullet"/>
      </w:pPr>
      <w:r>
        <w:t>인프라: 10 Gbit/s 코로케이션 크로스커넥트</w:t>
      </w:r>
    </w:p>
    <w:p>
      <w:pPr>
        <w:pStyle w:val="ListBullet"/>
      </w:pPr>
      <w:r>
        <w:t>지연 이점: PS 게이트웨이에 대한 직접 접근으로 가장 빠른 주문 라우팅 경로 제공</w:t>
      </w:r>
    </w:p>
    <w:p>
      <w:pPr>
        <w:pStyle w:val="ListBullet"/>
      </w:pPr>
      <w:r>
        <w:t>Eurex 및 Xetra 서비스 코로케이션 시설 내 별도 물리적 연결을 통해 이용 가능</w:t>
      </w:r>
    </w:p>
    <w:p>
      <w:pPr>
        <w:pStyle w:val="ListBullet"/>
      </w:pPr>
      <w:r>
        <w:t>연락처: Equinix (Germany) GmbH, Rebstocker Strasse 33, 60326 Frankfurt</w:t>
      </w:r>
    </w:p>
    <w:p>
      <w:r>
        <w:t>[출처: Eurex, "Connectivity", https://www.eurex.com/ex-en/support/technology/connectivity]</w:t>
      </w:r>
    </w:p>
    <w:p>
      <w:r>
        <w:t>[출처: Eurex, "Co-Location Services", https://www.eurexchange.com/exchange-en/technology/co-location-services]</w:t>
      </w:r>
    </w:p>
    <w:p>
      <w:pPr>
        <w:pStyle w:val="Heading3"/>
      </w:pPr>
      <w:r>
        <w:t>7.4 인증 (Certification)</w:t>
      </w:r>
    </w:p>
    <w:p>
      <w:pPr>
        <w:pStyle w:val="ListBullet"/>
      </w:pPr>
      <w:r>
        <w:t>매매참가자는 운영 개시 전 기술 및 기능 인증 프로세스 완료 필요</w:t>
      </w:r>
    </w:p>
    <w:p>
      <w:pPr>
        <w:pStyle w:val="ListBullet"/>
      </w:pPr>
      <w:r>
        <w:t>시뮬레이션 환경 테스트용 이용 가능 (프로덕션과 분리)</w:t>
      </w:r>
    </w:p>
    <w:p>
      <w:pPr>
        <w:pStyle w:val="ListBullet"/>
      </w:pPr>
      <w:r>
        <w:t>계좌 관리, 보고 및 행정을 위한 Member Section 포털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통제 및 서킷브레이커 (매매거래중단) (Risk Controls &amp; Circuit Breakers)</w:t>
      </w:r>
    </w:p>
    <w:p>
      <w:pPr>
        <w:pStyle w:val="Heading3"/>
      </w:pPr>
      <w:r>
        <w:t>8.1 변동성 중단 (서킷브레이커) (Volatility Interruptions)</w:t>
      </w:r>
    </w:p>
    <w:p>
      <w:r>
        <w:t>잘못된 거래를 방지하고 급격한 가격 급락을 차단하기 위한 Eurex의 주요 안전장치:</w:t>
      </w:r>
    </w:p>
    <w:p>
      <w:pPr>
        <w:pStyle w:val="ListBullet"/>
      </w:pPr>
      <w:r>
        <w:t>동적 변동성 중단 (Dynamic Volatility Interruption): 유입 주문의 잠재 체결가가 설정된 회고 시간 내 모든 기존 체결 거래 가격 (참조 가격)과 대비하여 확인</w:t>
      </w:r>
    </w:p>
    <w:p>
      <w:pPr>
        <w:pStyle w:val="ListBullet"/>
      </w:pPr>
      <w:r>
        <w:t>발동: 허용 가격편차가 초과되면 체결이 방지되고 해당 종목 (또는 영향 받는 상품의 모든 종목)이 접속매매에서 변동성 단일가매매로 자동 전환</w:t>
      </w:r>
    </w:p>
    <w:p>
      <w:pPr>
        <w:pStyle w:val="ListBullet"/>
      </w:pPr>
      <w:r>
        <w:t>기간: 변동성 단일가매매가 정의된 기간 동안 운영되어 접속매매 복귀 전 질서 있는 가격 발견 허용</w:t>
      </w:r>
    </w:p>
    <w:p>
      <w:pPr>
        <w:pStyle w:val="ListBullet"/>
      </w:pPr>
      <w:r>
        <w:t>가격 칼라 (Price Collars): Eurex EnLight 장외 거래의 경우, 이사회가 정의한 진입 구간 밖의 호가 또는 주문을 거부하는 가격 칼라 적용. 가격 칼라는 매매 중단을 발동하지 않음</w:t>
      </w:r>
    </w:p>
    <w:p>
      <w:r>
        <w:t>[출처: Eurex, "Volatility Interruption Functionality", https://www.eurex.com/ex-en/support/emergencies-and-safeguards/volatility-interruption-functionality]</w:t>
      </w:r>
    </w:p>
    <w:p>
      <w:pPr>
        <w:pStyle w:val="Heading3"/>
      </w:pPr>
      <w:r>
        <w:t>8.2 사전 매매 리스크 통제 (Pre-Trade Risk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통제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**최대 주문 수량 / 거래 규모 제한 (TSL)**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주문/호가당 최대 계약 수에 대한 거래소 수준 및 회원 수준 한도. 설정된 한도 (거래소, 청산회원, 매매참가자) 중 가장 낮은 한도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**최대 주문 가치**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 주문의 최대 명목 가치에 대한 한도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**사전 매매 리스크 (PTR) 한도**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청산회원이 자신 및 비청산 참여자 (DCMP)에 대한 한도를 정의; 실시간 모니터링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**가격 합리성 검사**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잠재적 오류 가격 감지를 위해 주문이 참조 가격과 대비 검사</w:t>
            </w:r>
          </w:p>
        </w:tc>
      </w:tr>
    </w:tbl>
    <w:p/>
    <w:p>
      <w:pPr>
        <w:pStyle w:val="Heading3"/>
      </w:pPr>
      <w:r>
        <w:t>8.3 사후 매매 리스크 통제 (Post-Trade Risk Controls)</w:t>
      </w:r>
    </w:p>
    <w:p>
      <w:pPr>
        <w:pStyle w:val="ListBullet"/>
      </w:pPr>
      <w:r>
        <w:t>포지션 모니터링: Eurex Clearing에 의한 실시간 포지션 모니터링</w:t>
      </w:r>
    </w:p>
    <w:p>
      <w:pPr>
        <w:pStyle w:val="ListBullet"/>
      </w:pPr>
      <w:r>
        <w:t>장중 마진콜: 장중 리스크 기준 초과 시 Eurex Clearing이 청산회원 계좌에서 직접 인출 가능</w:t>
      </w:r>
    </w:p>
    <w:p>
      <w:pPr>
        <w:pStyle w:val="ListBullet"/>
      </w:pPr>
      <w:r>
        <w:t>중지/킬 기능: 매매 활동 중단을 위한 비상 절차; 상세 내용은 Eurex Emergency Playbook (지원 &gt; 비상 및 안전장치에 게시)</w:t>
      </w:r>
    </w:p>
    <w:p>
      <w:r>
        <w:t>[출처: Eurex, "Trading Safeguards", October 2025, https://www.eurex.com/resource/blob/2448162/28033c3a73ea19078860573d526f8f33/data/presentation-trading-safeguards.pdf]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(Supervisory Authorities)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관할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**BaFin** (Bundesanstalt fur Finanzdienstleistungsaufsicht)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Frankfurt AG의 규제시장으로서의 주요 감독; 독일 시장에서 주로 거래되는 상품 파생상품의 포지션한도 설정 및 모니터링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**Hessische Borsaufsicht**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독일 헤센주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헤센주 거래소감독청; 거래소 운영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**ESMA** (European Securities and Markets Authority)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EMIR에 따른 거래정보저장소 감독; MiFID II/MiFIR 이행 조율; EMIR에 따른 Eurex Clearing CCP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**FINMA**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스위스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Zurich 운영 감독</w:t>
            </w:r>
          </w:p>
        </w:tc>
      </w:tr>
    </w:tbl>
    <w:p/>
    <w:p>
      <w:pPr>
        <w:pStyle w:val="Heading3"/>
      </w:pPr>
      <w:r>
        <w:t>9.2 주요 규정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Eurex에 대한 영향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**MiFID II / MiFIR** (2018년 1월 3일 시행)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금융상품시장지침 II / 규정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 보고 의무; 상품 파생상품 포지션한도; 매매 전후 투명성; 최선집행 요건; 알고리즘 매매 통제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**EMIR** (유럽시장인프라규정)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파생상품, CCP, 거래정보저장소에 관한 규정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표준화 OTC 파생상품의 의무적 청산; 거래정보저장소에 대한 거래 보고; Eurex Clearing의 CCP 리스크 관리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**EMIR REFIT**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EMIR 보고 기준 업데이트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XML/ISO 20022를 사용한 향상된 보고 형식; 신규 데이터 필드; 업데이트된 검증 규칙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**CSDR** (중앙예탁기관규정)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 규율 및 CSD에 관한 규정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사후거래 처리에 영향을 미치는 결제 규율 체제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**MAR** (시장남용규정)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시장남용 체계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감시 의무; 내부자거래 및 시장조작 탐지</w:t>
            </w:r>
          </w:p>
        </w:tc>
      </w:tr>
    </w:tbl>
    <w:p/>
    <w:p>
      <w:pPr>
        <w:pStyle w:val="Heading3"/>
      </w:pPr>
      <w:r>
        <w:t>9.3 감시 및 보고 (Surveillance &amp; Reporting)</w:t>
      </w:r>
    </w:p>
    <w:p>
      <w:pPr>
        <w:pStyle w:val="ListBullet"/>
      </w:pPr>
      <w:r>
        <w:t>거래 보고: MiFID II 제26조에 따라 모든 거래를 RTS 22 형식 (ESMA Transaction Reporting XML Schema 1.1.0 기반 XML 스키마)으로 BaFin에 보고 필요</w:t>
      </w:r>
    </w:p>
    <w:p>
      <w:pPr>
        <w:pStyle w:val="ListBullet"/>
      </w:pPr>
      <w:r>
        <w:t>포지션 보고: MiFID II 제58조에 따라 Eurex Frankfurt AG는 상장 상품 파생상품 및 배출권에서 고객 (및 최종 고객까지의 고객의 고객) 포지션에 대한 일말 보고서를 BaFin에 제공 필요</w:t>
      </w:r>
    </w:p>
    <w:p>
      <w:pPr>
        <w:pStyle w:val="ListBullet"/>
      </w:pPr>
      <w:r>
        <w:t>EMIR 거래 보고: 모든 파생상품 계약 (OTC 및 장내)은 체결, 수정, 종료 후 다음 영업일까지 거래정보저장소에 보고 필요</w:t>
      </w:r>
    </w:p>
    <w:p>
      <w:pPr>
        <w:pStyle w:val="ListBullet"/>
      </w:pPr>
      <w:r>
        <w:t>시장 감시: Eurex Market Supervision이 시장남용, 조작, 이상 패턴에 대한 매매 활동 모니터링</w:t>
      </w:r>
    </w:p>
    <w:p>
      <w:pPr>
        <w:pStyle w:val="Heading3"/>
      </w:pPr>
      <w:r>
        <w:t>9.4 국경간 고려사항 (Cross-Border Considerations)</w:t>
      </w:r>
    </w:p>
    <w:p>
      <w:pPr>
        <w:pStyle w:val="ListBullet"/>
      </w:pPr>
      <w:r>
        <w:t>Eurex는 다수 관할권에서 제3국 CCP로 인정</w:t>
      </w:r>
    </w:p>
    <w:p>
      <w:pPr>
        <w:pStyle w:val="ListBullet"/>
      </w:pPr>
      <w:r>
        <w:t>CFTC 등록: Eurex Clearing AG, 미국 CFTC에 파생상품청산기관(DCO)으로 등록</w:t>
      </w:r>
    </w:p>
    <w:p>
      <w:pPr>
        <w:pStyle w:val="ListBullet"/>
      </w:pPr>
      <w:r>
        <w:t>Eurex는 다수 비EU 관할권에서 동등성 결정 획득</w:t>
      </w:r>
    </w:p>
    <w:p>
      <w:pPr>
        <w:pStyle w:val="ListBullet"/>
      </w:pPr>
      <w:r>
        <w:t>다수 국가의 참여자에게 국경간 회원 자격 이용 가능</w:t>
      </w:r>
    </w:p>
    <w:p>
      <w:r>
        <w:t>[출처: Eurex, "MiFID II/MiFIR", https://www.eurex.com/ex-en/rules-regs/regulations/mifid-mifir]</w:t>
      </w:r>
    </w:p>
    <w:p>
      <w:r>
        <w:t>[출처: BaFin, "Position limits for commodity derivatives", https://www.bafin.de/EN/Aufsicht/BoersenMaerkte/Derivate/PositionslimitsWarenderivate/positionslimits_warenderivate_node_en.html]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(Trading Fees)</w:t>
      </w:r>
    </w:p>
    <w:p>
      <w:r>
        <w:t>Eurex는 장내 및 장외 (T7 Entry Service) 거래에 대해 계약당 거래 수수료를 부과한다:</w:t>
      </w:r>
    </w:p>
    <w:p>
      <w:pPr>
        <w:pStyle w:val="ListBullet"/>
      </w:pPr>
      <w:r>
        <w:t>계약당 표준 수수료: 상품 분류 및 장내/장외 거래 여부에 따라 상이</w:t>
      </w:r>
    </w:p>
    <w:p>
      <w:pPr>
        <w:pStyle w:val="ListBullet"/>
      </w:pPr>
      <w:r>
        <w:t>감면 수수료: 상품 및 포지션 계좌 유형 (P-Account / M-Account)에 따라 일정 기준 이상 거래량에 적용 가능</w:t>
      </w:r>
    </w:p>
    <w:p>
      <w:pPr>
        <w:pStyle w:val="ListBullet"/>
      </w:pPr>
      <w:r>
        <w:t>수수료 등급: 참여자는 월간 환급 혜택 가능:</w:t>
      </w:r>
    </w:p>
    <w:p>
      <w:pPr>
        <w:pStyle w:val="ListBullet"/>
      </w:pPr>
      <w:r>
        <w:t>시장조성 환급: 호가 의무를 충족하는 적격 시장조성자 대상</w:t>
      </w:r>
    </w:p>
    <w:p>
      <w:pPr>
        <w:pStyle w:val="ListBullet"/>
      </w:pPr>
      <w:r>
        <w:t>거래량 환급: 누적 월간 거래량 기반</w:t>
      </w:r>
    </w:p>
    <w:p>
      <w:pPr>
        <w:pStyle w:val="ListBullet"/>
      </w:pPr>
      <w:r>
        <w:t>2026년 가격 변경 (2026년 1월 1일 및 4월 1일 시행):</w:t>
      </w:r>
    </w:p>
    <w:p>
      <w:pPr>
        <w:pStyle w:val="ListBullet"/>
      </w:pPr>
      <w:r>
        <w:t>주가지수 선물, EURO STOXX 50 지수 옵션, 채권 선물 및 옵션에 대한 표준 수수료, 감면 수수료, 환급, 기준 수정</w:t>
      </w:r>
    </w:p>
    <w:p>
      <w:pPr>
        <w:pStyle w:val="ListBullet"/>
      </w:pPr>
      <w:r>
        <w:t>주가지수 옵션 유동성 클래스 1의 환급 수준이 등급별 5 퍼센트포인트 인하</w:t>
      </w:r>
    </w:p>
    <w:p>
      <w:pPr>
        <w:pStyle w:val="ListBullet"/>
      </w:pPr>
      <w:r>
        <w:t>금리 옵션 유동성공급 환급이 모든 유동성 클래스에서 10 퍼센트포인트 인하</w:t>
      </w:r>
    </w:p>
    <w:p>
      <w:r>
        <w:t>대표적 수수료 범위 (예시, 공식 가격표에 따름):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표준 수수료 (계약당)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주가지수 선물 (예: FESX)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0.10 - 0.30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채권 선물 (예: FGBL)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0.05 - 0.20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주가지수 옵션 (예: OESX)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0.10 - 0.40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개별주식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0.15 - 0.50 [unverified]</w:t>
            </w:r>
          </w:p>
        </w:tc>
      </w:tr>
    </w:tbl>
    <w:p/>
    <w:p>
      <w:r>
        <w:t>주: 실제 수수료는 거래량 등급, 회원 유형, 현행 가격표에 따라 달라진다. 전체 수수료표는 "Price List of Eurex Clearing AG" (제3장)에 게시된다.</w:t>
      </w:r>
    </w:p>
    <w:p>
      <w:pPr>
        <w:pStyle w:val="Heading3"/>
      </w:pPr>
      <w:r>
        <w:t>10.2 청산 수수료 (Clearing Fees)</w:t>
      </w:r>
    </w:p>
    <w:p>
      <w:pPr>
        <w:pStyle w:val="ListBullet"/>
      </w:pPr>
      <w:r>
        <w:t>계약당 거래 기반 청산 수수료</w:t>
      </w:r>
    </w:p>
    <w:p>
      <w:pPr>
        <w:pStyle w:val="ListBullet"/>
      </w:pPr>
      <w:r>
        <w:t>가입비: EUR 50,000 (일회) 청산회원 대상</w:t>
      </w:r>
    </w:p>
    <w:p>
      <w:pPr>
        <w:pStyle w:val="ListBullet"/>
      </w:pPr>
      <w:r>
        <w:t>연간 회비: EUR 25,000 청산회원 대상</w:t>
      </w:r>
    </w:p>
    <w:p>
      <w:pPr>
        <w:pStyle w:val="Heading3"/>
      </w:pPr>
      <w:r>
        <w:t>10.3 접속 및 시장 데이터 수수료 (Connectivity &amp; Market Data Fees)</w:t>
      </w:r>
    </w:p>
    <w:p>
      <w:pPr>
        <w:pStyle w:val="ListBullet"/>
      </w:pPr>
      <w:r>
        <w:t>코로케이션 수수료: FR2의 랙 공간 및 크로스커넥트에 대해 Equinix가 부과</w:t>
      </w:r>
    </w:p>
    <w:p>
      <w:pPr>
        <w:pStyle w:val="ListBullet"/>
      </w:pPr>
      <w:r>
        <w:t>접속 수수료: 네트워크 연결 (10 Gbit/s 회선)에 부과</w:t>
      </w:r>
    </w:p>
    <w:p>
      <w:pPr>
        <w:pStyle w:val="ListBullet"/>
      </w:pPr>
      <w:r>
        <w:t>시장 데이터 수수료: 실시간 시장 데이터 (EMDI, EOBI, MDI) 사용 유형 (디스플레이, 비디스플레이, 파생 데이터)에 따라 부과</w:t>
      </w:r>
    </w:p>
    <w:p>
      <w:pPr>
        <w:pStyle w:val="ListBullet"/>
      </w:pPr>
      <w:r>
        <w:t>수수료표 변경: 접속 수수료표는 회보를 통해 정기적으로 수정</w:t>
      </w:r>
    </w:p>
    <w:p>
      <w:r>
        <w:t>[출처: Eurex, "Transaction fees", https://www.eurex.com/ex-en/trade/transaction-fees]</w:t>
      </w:r>
    </w:p>
    <w:p>
      <w:r>
        <w:t>[출처: Eurex, "Price List of Eurex Clearing AG", https://www.eurex.com/ec-en/rules-regs/rules-and-regulations/3.-Price-List-32640]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T7 시스템 업그레이드 (T7 System Upgrades)</w:t>
      </w:r>
    </w:p>
    <w:p>
      <w:pPr>
        <w:pStyle w:val="ListBullet"/>
      </w:pPr>
      <w:r>
        <w:t>T7 Release 14.0 (2025년 11월 10일): 비공개 매매참가자를 위한 Sponsored Access (SpA) 도입; STIR 선물의 Butterfly 및 Condor 전략으로 합성 매칭 확장; 브라우저 기반 신규 GUI</w:t>
      </w:r>
    </w:p>
    <w:p>
      <w:pPr>
        <w:pStyle w:val="ListBullet"/>
      </w:pPr>
      <w:r>
        <w:t>T7 Release 14.1 (2026년 5월 18일 예정): SpA 리스크 모니터링 강화; STIR 시장 (FEU3, FST3)을 위한 합성 Packs &amp; Bundles; 추가 GUI 개선</w:t>
      </w:r>
    </w:p>
    <w:p>
      <w:pPr>
        <w:pStyle w:val="Heading3"/>
      </w:pPr>
      <w:r>
        <w:t>11.2 신규 상품 및 시장 이니셔티브 (New Products &amp; Market Initiatives)</w:t>
      </w:r>
    </w:p>
    <w:p>
      <w:pPr>
        <w:pStyle w:val="ListBullet"/>
      </w:pPr>
      <w:r>
        <w:t>Systematic QIS Index Futures (2025년 12월): Premialab과 협력하여 출시; 이전에 OTC 스왑으로만 이용 가능했던 규칙 기반 테마 전략 (예: "Fundamental Quality European", "Value European") 거래 가능. OTC QIS 시장은 2026년 말까지 USD 1조에 달할 것으로 추정</w:t>
      </w:r>
    </w:p>
    <w:p>
      <w:pPr>
        <w:pStyle w:val="ListBullet"/>
      </w:pPr>
      <w:r>
        <w:t>Credit Index Futures: 2021년 출시 이후 강한 성장 궤적; 참여자들이 장내 신용 파생상품을 채택하면서 거래량 급증</w:t>
      </w:r>
    </w:p>
    <w:p>
      <w:pPr>
        <w:pStyle w:val="ListBullet"/>
      </w:pPr>
      <w:r>
        <w:t>Three-Month Euro STR Futures: EURIBOR 대체 유로 무위험금리 벤치마크로서 채택 지속</w:t>
      </w:r>
    </w:p>
    <w:p>
      <w:pPr>
        <w:pStyle w:val="ListBullet"/>
      </w:pPr>
      <w:r>
        <w:t>일일 옵션 (Daily Options): EURO STOXX 50 및 DAX에 대한 이용 가능 범위 확대 (2025년 11월 출시)</w:t>
      </w:r>
    </w:p>
    <w:p>
      <w:pPr>
        <w:pStyle w:val="ListBullet"/>
      </w:pPr>
      <w:r>
        <w:t>ESG 지수 파생상품: 2025년 1분기 누적 명목 거래량 EUR 300억 초과 (2024년 대비 +76.5%); ESG 상품 자본 미결제약정 2026년 초 EUR 49억에 달해 24개월 간 200% 증가</w:t>
      </w:r>
    </w:p>
    <w:p>
      <w:pPr>
        <w:pStyle w:val="Heading3"/>
      </w:pPr>
      <w:r>
        <w:t>11.3 접근 및 회원 변경 (Access &amp; Membership Changes)</w:t>
      </w:r>
    </w:p>
    <w:p>
      <w:pPr>
        <w:pStyle w:val="ListBullet"/>
      </w:pPr>
      <w:r>
        <w:t>Sponsored Access 모델 (2025년 11월): 바이사이드 기업 및 비회원 주체의 진입 장벽 완화; 승인된 SpA 서비스 제공자를 통해 정식 거래소 회원 없이 저지연 T7 접근 제공</w:t>
      </w:r>
    </w:p>
    <w:p>
      <w:pPr>
        <w:pStyle w:val="Heading3"/>
      </w:pPr>
      <w:r>
        <w:t>11.4 규제 변경 (Regulatory Changes)</w:t>
      </w:r>
    </w:p>
    <w:p>
      <w:pPr>
        <w:pStyle w:val="ListBullet"/>
      </w:pPr>
      <w:r>
        <w:t>EMIR REFIT: 향상된 데이터 필드 및 검증 규칙을 포함한 거래 보고 요건 업데이트</w:t>
      </w:r>
    </w:p>
    <w:p>
      <w:pPr>
        <w:pStyle w:val="ListBullet"/>
      </w:pPr>
      <w:r>
        <w:t>MiFID II 포지션한도: 상품 파생상품 포지션한도 체계의 지속적 개선</w:t>
      </w:r>
    </w:p>
    <w:p>
      <w:pPr>
        <w:pStyle w:val="ListBullet"/>
      </w:pPr>
      <w:r>
        <w:t>필수 인터페이스 암호화: 모든 ETI 및 FIX 인터페이스에 대한 암호화 연결 이전 완료</w:t>
      </w:r>
    </w:p>
    <w:p>
      <w:pPr>
        <w:pStyle w:val="Heading3"/>
      </w:pPr>
      <w:r>
        <w:t>11.5 전략적 이니셔티브 (Strategic Initiatives)</w:t>
      </w:r>
    </w:p>
    <w:p>
      <w:pPr>
        <w:pStyle w:val="ListBullet"/>
      </w:pPr>
      <w:r>
        <w:t>Eurex Repo: 2025년 역대 최고 연도 (EUR 4,061억 평균 기간조정 거래량); 담보부 자금조달 역량 확대</w:t>
      </w:r>
    </w:p>
    <w:p>
      <w:pPr>
        <w:pStyle w:val="ListBullet"/>
      </w:pPr>
      <w:r>
        <w:t>OTC 청산 성장: 2025년 일평균 청산 거래량 EUR 2,800억 (+35%); Eurex Clearing의 OTC IRD 시장에 ~650개 신규 고객 가입</w:t>
      </w:r>
    </w:p>
    <w:p>
      <w:pPr>
        <w:pStyle w:val="ListBullet"/>
      </w:pPr>
      <w:r>
        <w:t>디지털 자산: 암호화폐 파생상품 제공 확대; Deutsche Borse Group이 Crypto Finance AG 과반 지분 인수 (2023년)</w:t>
      </w:r>
    </w:p>
    <w:p>
      <w:pPr>
        <w:pStyle w:val="ListBullet"/>
      </w:pPr>
      <w:r>
        <w:t>D7 디지털 사후거래 플랫폼: 디지털 증권 발행 및 결제를 위해 2024년 출시</w:t>
      </w:r>
    </w:p>
    <w:p>
      <w:r>
        <w:t>[출처: Eurex, "Our path for 2026", https://www.eurex.com/ex-en/find/circulars/Eurex-Readiness-Newsflash-Our-path-for-2026--4867350]</w:t>
      </w:r>
    </w:p>
    <w:p>
      <w:r>
        <w:t>[출처: Eurex, "T7 Release 14.0", https://www.eurex.com/ex-en/support/initiatives/T7-Release-14.0]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상품 카탈로그 (파생상품 특화) (Product Catalog — Derivatives-Specific)</w:t>
      </w:r>
    </w:p>
    <w:p>
      <w:pPr>
        <w:pStyle w:val="Heading3"/>
      </w:pPr>
      <w:r>
        <w:t>12.1 금리 파생상품 (Interest Rate Derivatives)</w:t>
      </w:r>
    </w:p>
    <w:p>
      <w:r>
        <w:t>채권 선물 (국채) (Fixed Income Futures):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기초자산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잔존 만기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규모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Euro-Schatz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FGBS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독일 연방 채권/노트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1.75 - 2.25년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 100,000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Euro-Bobl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FGBM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독일 연방 채권/노트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4.5 - 5.5년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 100,000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Euro-Bund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FGBL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독일 연방 채권 (Bundesanleihen)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8.5 - 10.5년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 100,000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Euro-Buxl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FGBX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독일 연방 채권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24 - 35년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 100,000</w:t>
            </w:r>
          </w:p>
        </w:tc>
      </w:tr>
    </w:tbl>
    <w:p/>
    <w:p>
      <w:r>
        <w:t>채권 옵션: Euro-Schatz, Euro-Bobl, Euro-Bund, Euro-Buxl 선물에 대한 옵션</w:t>
      </w:r>
    </w:p>
    <w:p>
      <w:r>
        <w:t>단기금융 선물 (Money Market Futures):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코드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기초자산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Three-Month Euribor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FEU3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3개월 EURIBOR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Three-Month Euro STR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FST3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3개월 복리 Euro STR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One-Month Euro STR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1개월 Euro STR</w:t>
            </w:r>
          </w:p>
        </w:tc>
      </w:tr>
    </w:tbl>
    <w:p/>
    <w:p>
      <w:r>
        <w:t>Credit Index Futures:</w:t>
      </w:r>
    </w:p>
    <w:p>
      <w:pPr>
        <w:pStyle w:val="ListBullet"/>
      </w:pPr>
      <w:r>
        <w:t>iTraxx Europe Main CDS Index Futures</w:t>
      </w:r>
    </w:p>
    <w:p>
      <w:pPr>
        <w:pStyle w:val="ListBullet"/>
      </w:pPr>
      <w:r>
        <w:t>iTraxx Europe Crossover CDS Index Futures</w:t>
      </w:r>
    </w:p>
    <w:p>
      <w:pPr>
        <w:pStyle w:val="ListBullet"/>
      </w:pPr>
      <w:r>
        <w:t>iTraxx Europe Senior Financials CDS Index Futures</w:t>
      </w:r>
    </w:p>
    <w:p>
      <w:r>
        <w:t>OTC 청산:</w:t>
      </w:r>
    </w:p>
    <w:p>
      <w:pPr>
        <w:pStyle w:val="ListBullet"/>
      </w:pPr>
      <w:r>
        <w:t>금리 스왑 (IRS)</w:t>
      </w:r>
    </w:p>
    <w:p>
      <w:pPr>
        <w:pStyle w:val="ListBullet"/>
      </w:pPr>
      <w:r>
        <w:t>익일물 금리 스왑 (OIS)</w:t>
      </w:r>
    </w:p>
    <w:p>
      <w:pPr>
        <w:pStyle w:val="ListBullet"/>
      </w:pPr>
      <w:r>
        <w:t>선도금리계약 (FRA)</w:t>
      </w:r>
    </w:p>
    <w:p>
      <w:pPr>
        <w:pStyle w:val="ListBullet"/>
      </w:pPr>
      <w:r>
        <w:t>통화간 스왑</w:t>
      </w:r>
    </w:p>
    <w:p>
      <w:pPr>
        <w:pStyle w:val="Heading3"/>
      </w:pPr>
      <w:r>
        <w:t>12.2 주가지수 파생상품 (Equity Index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지수군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**EURO STOXX 50**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(FESX), Mini 선물, Micro 선물 (FSXE), 옵션 (OESX), 일일 옵션, 주간 옵션, End-of-Day 옵션, Total Return 선물 (TESX), ESG 선물, 배당 선물, 분산 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**DAX**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(FDAX), Mini-DAX 선물 (FDXM), Micro-DAX 선물 (FDXS), 옵션 (ODAX), 일일 옵션, 주간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**MDAX**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선물,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**STOXX Europe 600**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선물, 옵션; 업종지수 파생상품 (은행, 기술, 헬스케어 등 18개 업종)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**MSCI**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146개 선물 및 23개 옵션, MSCI World, MSCI Europe, MSCI EM, 국가 지수, ESG 변형 커버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**FTSE 100**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및 옵션 (2023년 도입)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**ESG 지수**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STOXX ESG-X, STOXX Europe Climate Benchmark, DAX ESG 변형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**Systematic QIS 지수**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규칙 기반 테마 전략 선물 (2025년 12월 출시)</w:t>
            </w:r>
          </w:p>
        </w:tc>
      </w:tr>
    </w:tbl>
    <w:p/>
    <w:p>
      <w:pPr>
        <w:pStyle w:val="Heading3"/>
      </w:pPr>
      <w:r>
        <w:t>12.3 주식 파생상품 (개별주식) (Equity Derivatives)</w:t>
      </w:r>
    </w:p>
    <w:p>
      <w:pPr>
        <w:pStyle w:val="ListBullet"/>
      </w:pPr>
      <w:r>
        <w:t>개별주식 선물: STOXX Europe 600 구성종목 및 주요 미국/캐나다 종목을 커버하는 900개 이상 계약</w:t>
      </w:r>
    </w:p>
    <w:p>
      <w:pPr>
        <w:pStyle w:val="ListBullet"/>
      </w:pPr>
      <w:r>
        <w:t>주식 옵션: 글로벌 모든 주요 산업 부문에 걸쳐 500개 이상 계약</w:t>
      </w:r>
    </w:p>
    <w:p>
      <w:pPr>
        <w:pStyle w:val="ListBullet"/>
      </w:pPr>
      <w:r>
        <w:t>개별주식 선물 및 옵션에 대한 실물인도</w:t>
      </w:r>
    </w:p>
    <w:p>
      <w:pPr>
        <w:pStyle w:val="Heading3"/>
      </w:pPr>
      <w:r>
        <w:t>12.4 배당 파생상품 (Dividend Derivatives)</w:t>
      </w:r>
    </w:p>
    <w:p>
      <w:pPr>
        <w:pStyle w:val="ListBullet"/>
      </w:pPr>
      <w:r>
        <w:t>지수 배당 선물: EURO STOXX 50 배당 선물, DAX 배당 선물</w:t>
      </w:r>
    </w:p>
    <w:p>
      <w:pPr>
        <w:pStyle w:val="ListBullet"/>
      </w:pPr>
      <w:r>
        <w:t>개별주식 배당 선물: 유로존 및 범유럽 최대 기업 80개 이상 계약</w:t>
      </w:r>
    </w:p>
    <w:p>
      <w:pPr>
        <w:pStyle w:val="ListBullet"/>
      </w:pPr>
      <w:r>
        <w:t>선언된 배당금에 기반한 현금결제</w:t>
      </w:r>
    </w:p>
    <w:p>
      <w:pPr>
        <w:pStyle w:val="Heading3"/>
      </w:pPr>
      <w:r>
        <w:t>12.5 변동성 파생상품 (Volatility Derivatives)</w:t>
      </w:r>
    </w:p>
    <w:p>
      <w:pPr>
        <w:pStyle w:val="ListBullet"/>
      </w:pPr>
      <w:r>
        <w:t>VSTOXX 선물: EURO STOXX 50 내재변동성 (VSTOXX 지수) 기반</w:t>
      </w:r>
    </w:p>
    <w:p>
      <w:pPr>
        <w:pStyle w:val="ListBullet"/>
      </w:pPr>
      <w:r>
        <w:t>VSTOXX 옵션: VSTOXX 선물에 대한 옵션</w:t>
      </w:r>
    </w:p>
    <w:p>
      <w:pPr>
        <w:pStyle w:val="ListBullet"/>
      </w:pPr>
      <w:r>
        <w:t>EURO STOXX 50 분산 선물 (EVAR): 장내형 분산 스왑</w:t>
      </w:r>
    </w:p>
    <w:p>
      <w:pPr>
        <w:pStyle w:val="Heading3"/>
      </w:pPr>
      <w:r>
        <w:t>12.6 FX 파생상품 (FX Derivatives)</w:t>
      </w:r>
    </w:p>
    <w:p>
      <w:pPr>
        <w:pStyle w:val="ListBullet"/>
      </w:pPr>
      <w:r>
        <w:t>Rolling Spot Futures: 연속 롤오버; 현물부터의 결제일</w:t>
      </w:r>
    </w:p>
    <w:p>
      <w:pPr>
        <w:pStyle w:val="ListBullet"/>
      </w:pPr>
      <w:r>
        <w:t>Classic FX Futures: 연속월, 분기, 반기, 최대 3년에 걸친 고정 결제일</w:t>
      </w:r>
    </w:p>
    <w:p>
      <w:pPr>
        <w:pStyle w:val="ListBullet"/>
      </w:pPr>
      <w:r>
        <w:t>FX 옵션: 주요 통화 쌍에 대한 옵션</w:t>
      </w:r>
    </w:p>
    <w:p>
      <w:pPr>
        <w:pStyle w:val="ListBullet"/>
      </w:pPr>
      <w:r>
        <w:t>인도형 및 비인도형 계약 이용 가능</w:t>
      </w:r>
    </w:p>
    <w:p>
      <w:pPr>
        <w:pStyle w:val="Heading3"/>
      </w:pPr>
      <w:r>
        <w:t>12.7 ETF 및 ETC 파생상품 (ETF &amp; ETC Derivatives)</w:t>
      </w:r>
    </w:p>
    <w:p>
      <w:pPr>
        <w:pStyle w:val="ListBullet"/>
      </w:pPr>
      <w:r>
        <w:t>주요 주가지수 ETF에 대한 선물 및 옵션</w:t>
      </w:r>
    </w:p>
    <w:p>
      <w:pPr>
        <w:pStyle w:val="ListBullet"/>
      </w:pPr>
      <w:r>
        <w:t>채권 ETF에 대한 선물 및 옵션</w:t>
      </w:r>
    </w:p>
    <w:p>
      <w:pPr>
        <w:pStyle w:val="ListBullet"/>
      </w:pPr>
      <w:r>
        <w:t>ETC 파생상품: Physical Gold ETC (AUM EUR 40억 이상), Crude Oil ETC</w:t>
      </w:r>
    </w:p>
    <w:p>
      <w:pPr>
        <w:pStyle w:val="Heading3"/>
      </w:pPr>
      <w:r>
        <w:t>12.8 암호화폐 파생상품 (Cryptocurrency Derivatives)</w:t>
      </w:r>
    </w:p>
    <w:p>
      <w:pPr>
        <w:pStyle w:val="ListBullet"/>
      </w:pPr>
      <w:r>
        <w:t>Bitcoin 선물 [unverified -- 구체적 상품 확대 중]</w:t>
      </w:r>
    </w:p>
    <w:p>
      <w:pPr>
        <w:pStyle w:val="ListBullet"/>
      </w:pPr>
      <w:r>
        <w:t>Ether 선물 [unverified]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주요 계약 사양 (거래량 상위 5개 상품) (Key Contract Specifications)</w:t>
      </w:r>
    </w:p>
    <w:p>
      <w:pPr>
        <w:pStyle w:val="Heading3"/>
      </w:pPr>
      <w:r>
        <w:t>13.1 EURO STOXX 50 지수 선물 (FESX)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상품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FESX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 STOXX 50 지수 (유로존 50대 우량주)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 / 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EUR 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 (호가단위)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36개월; 가장 가까운 12개 분기월 (3, 6, 9, 12월)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만기월 셋째 금요일 (또는 직전 거래소 영업일)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최종결제일 CET 11:50~12:00 사이 산출된 EURO STOXX 50 지수값의 평균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01:00 - 22:00 CET (아시아 시간 포함)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~2억 500만 계약; 일평균 명목 EUR 395억</w:t>
            </w:r>
          </w:p>
        </w:tc>
      </w:tr>
    </w:tbl>
    <w:p/>
    <w:p>
      <w:pPr>
        <w:pStyle w:val="Heading3"/>
      </w:pPr>
      <w:r>
        <w:t>13.2 EURO STOXX 50 지수 옵션 (OESX)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상품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OESX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 STOXX 50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 / 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EUR 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 (호가단위)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유럽식 (최종결제일 CET 20:30까지만 행사 가능)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월간, 주간, 일일 만기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CET 11:50~12:00 사이 EURO STOXX 50 지수값의 평균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08:00 - 22:00 CET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~2억 4,200만 계약; 일평균 명목 EUR 440억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24개월 이하 기간에 최소 7개 (내가격 3개, 등가격 1개, 외가격 3개); 장기에는 최소 5개</w:t>
            </w:r>
          </w:p>
        </w:tc>
      </w:tr>
    </w:tbl>
    <w:p/>
    <w:p>
      <w:pPr>
        <w:pStyle w:val="Heading3"/>
      </w:pPr>
      <w:r>
        <w:t>13.3 Euro-Bund 선물 (FGBL)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상품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FGBL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6% 쿠폰의 명목 독일 연방 국채 (Bundesanleihe)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적격 채권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잔존 만기 8.5~10.5년, 최소 발행 규모 EUR 50억의 독일 연방 채권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명목 EUR 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 (호가단위)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(액면의 백분율)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9개월; 가장 가까운 3개 분기월 (3, 6, 9, 12월)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해당 만기월 인도일 2거래소 영업일 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만기월 10번째 역일 (또는 다음 거래소 영업일)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실물인도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일일정산가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CET 17:15 직전 1분간 거래의 거래량 가중 평균 (5건 이상 거래 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최종결제일 CET 12:30의 거래량 가중 평균 (10건 이상 거래 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01:00 - 22:00 CET (아시아 시간 포함)</w:t>
            </w:r>
          </w:p>
        </w:tc>
      </w:tr>
    </w:tbl>
    <w:p/>
    <w:p>
      <w:pPr>
        <w:pStyle w:val="Heading3"/>
      </w:pPr>
      <w:r>
        <w:t>13.4 DAX 선물 (FDAX)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상품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FDAX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DAX 지수 (독일 40대 우량주)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 / 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EUR 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 (호가단위)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12.50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9개월; 가장 가까운 3개 분기월 (3, 6, 9, 12월)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만기월 셋째 금요일 (또는 직전 거래소 영업일)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DAX 구성종목의 장중 단일가매매 가격에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01:00 - 22:00 CET (아시아 시간 포함)</w:t>
            </w:r>
          </w:p>
        </w:tc>
      </w:tr>
    </w:tbl>
    <w:p/>
    <w:p>
      <w:pPr>
        <w:pStyle w:val="Heading3"/>
      </w:pPr>
      <w:r>
        <w:t>13.5 Euro-Bobl 선물 (FGBM)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상품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FGBM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6% 쿠폰의 명목 독일 연방 채권/노트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적격 채권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잔존 만기 4.5~5.5년의 독일 연방 채권/노트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명목 EUR 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 (호가단위)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(액면의 백분율)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9개월; 가장 가까운 3개 분기월 (3, 6, 9, 12월)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인도일 2거래소 영업일 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만기월 10번째 역일 (또는 다음 거래소 영업일)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실물인도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01:00 - 22:00 CET (아시아 시간 포함)</w:t>
            </w:r>
          </w:p>
        </w:tc>
      </w:tr>
    </w:tbl>
    <w:p/>
    <w:p>
      <w:r>
        <w:t>[출처: Eurex, "EURO STOXX 50 Index Futures (FESX)", https://www.eurex.com/ex-en/markets/idx/stx/euro-stoxx-50-derivatives/products/EURO-STOXX-50-Index-Futures-160088]</w:t>
      </w:r>
    </w:p>
    <w:p>
      <w:r>
        <w:t>[출처: Eurex, "Euro-Bund Futures (FGBL)", https://www.eurex.com/ex-en/markets/int/fix/government-bonds/Euro-Bund-Futures-137298]</w:t>
      </w:r>
    </w:p>
    <w:p>
      <w:r>
        <w:t>[출처: Eurex, "DAX Futures (FDAX)", https://www.eurex.com/ex-en/markets/idx/dax/DAX-Futures-139902]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증거금 체계 -- Eurex Clearing Prisma (Margin Framework -- Eurex Clearing Prisma)</w:t>
      </w:r>
    </w:p>
    <w:p>
      <w:pPr>
        <w:pStyle w:val="Heading3"/>
      </w:pPr>
      <w:r>
        <w:t>14.1 개요 (Overview)</w:t>
      </w:r>
    </w:p>
    <w:p>
      <w:r>
        <w:t>Eurex Clearing Prisma는 Eurex Clearing AG가 청산하는 모든 장내 파생상품(ETD) 및 OTC 상품에 적용되는 포트폴리오 기반 리스크 관리 방법론이다. 상품별 증거금 계산과 달리, Prisma는 헤지 및 교차상관 효과를 고려하여 포트폴리오 수준에서 증거금 요건을 결정한다.</w:t>
      </w:r>
    </w:p>
    <w:p>
      <w:pPr>
        <w:pStyle w:val="Heading3"/>
      </w:pPr>
      <w:r>
        <w:t>14.2 방법론 (Methodology)</w:t>
      </w:r>
    </w:p>
    <w:p>
      <w:r>
        <w:t>핵심 접근법:</w:t>
      </w:r>
    </w:p>
    <w:p>
      <w:pPr>
        <w:pStyle w:val="ListBullet"/>
      </w:pPr>
      <w:r>
        <w:t>과거 VaR (Historical Value-at-Risk): Prisma는 필터링된 과거 시뮬레이션 접근법을 사용하여 잠재적 포트폴리오 손실 추정</w:t>
      </w:r>
    </w:p>
    <w:p>
      <w:pPr>
        <w:pStyle w:val="ListBullet"/>
      </w:pPr>
      <w:r>
        <w:t>청산 그룹 (Liquidation Groups): 유사한 리스크 특성을 공유하는 상품이 청산 그룹으로 분류. 동일 청산 그룹 내, 동일 보유 기간에서 포트폴리오 증거금 적용</w:t>
      </w:r>
    </w:p>
    <w:p>
      <w:pPr>
        <w:pStyle w:val="ListBullet"/>
      </w:pPr>
      <w:r>
        <w:t>예: EURO STOXX 50 선물과 DAX 선물이 동일 청산 그룹에 속할 수 있어, 분산된 포트폴리오에 대한 증거금 상쇄 제공</w:t>
      </w:r>
    </w:p>
    <w:p>
      <w:pPr>
        <w:pStyle w:val="ListBullet"/>
      </w:pPr>
      <w:r>
        <w:t>교차상품 시나리오 (Cross-Product Scenarios): 포트폴리오 상관관계 및 분산 효과를 일관되게 반영하여 보다 정확한 리스크 상계 가능</w:t>
      </w:r>
    </w:p>
    <w:p>
      <w:pPr>
        <w:pStyle w:val="ListBullet"/>
      </w:pPr>
      <w:r>
        <w:t>보유 기간 (Holding Periods): 상품 유형별 상이; 예: ETD는 2일 보유 기간, OTC IRS는 5일 보유 기간</w:t>
      </w:r>
    </w:p>
    <w:p>
      <w:pPr>
        <w:pStyle w:val="Heading3"/>
      </w:pPr>
      <w:r>
        <w:t>14.3 증거금 유형 (Margin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증거금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**개시증거금 (Initial Margin / Additional Margin)**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향후 영업일의 잠재적 청산 리스크 커버; Prisma 과거 VaR 계산에 기반, 99.x% 신뢰수준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**프리미엄 증거금 (Premium Margin)**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옵션: 옵션 프리미엄 비용 커버 (전통 방식 옵션)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**현재 청산 증거금 (Current Liquidating Margin)**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포지션의 즉시 시가평가 가치 반영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**변동증거금 (Variation Margin)**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포지션의 일일 손익 정산; 현금으로 납부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**증거금 하한 (Margin Floors)**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Prisma 개시증거금 하한의 연간 재보정 (가장 최근 재보정 2025년 6월 16일 시행)</w:t>
            </w:r>
          </w:p>
        </w:tc>
      </w:tr>
    </w:tbl>
    <w:p/>
    <w:p>
      <w:pPr>
        <w:pStyle w:val="Heading3"/>
      </w:pPr>
      <w:r>
        <w:t>14.4 교차 증거금 (Cross-Margining)</w:t>
      </w:r>
    </w:p>
    <w:p>
      <w:pPr>
        <w:pStyle w:val="ListBullet"/>
      </w:pPr>
      <w:r>
        <w:t>교차상품 증거금: 동일 청산 그룹 내 상품 간 상쇄</w:t>
      </w:r>
    </w:p>
    <w:p>
      <w:pPr>
        <w:pStyle w:val="ListBullet"/>
      </w:pPr>
      <w:r>
        <w:t>교차시장 증거금: Eurex Clearing이 청산하는 장내 (ETD)와 OTC 포지션 간 상쇄</w:t>
      </w:r>
    </w:p>
    <w:p>
      <w:pPr>
        <w:pStyle w:val="ListBullet"/>
      </w:pPr>
      <w:r>
        <w:t>교차보유기간 증거금: 서로 다른 보유 기간의 상품 간 상쇄 허용 (예: 5일 보유 기간의 OTC IRS vs. 2일 보유 기간의 장내 채권)</w:t>
      </w:r>
    </w:p>
    <w:p>
      <w:pPr>
        <w:pStyle w:val="ListBullet"/>
      </w:pPr>
      <w:r>
        <w:t>핵심 혜택: 보다 정확한 리스크 상계로 분산된 포트폴리오의 개시증거금 요건 대폭 감소</w:t>
      </w:r>
    </w:p>
    <w:p>
      <w:pPr>
        <w:pStyle w:val="Heading3"/>
      </w:pPr>
      <w:r>
        <w:t>14.5 마진콜 절차 (Margin Call Process)</w:t>
      </w:r>
    </w:p>
    <w:p>
      <w:pPr>
        <w:pStyle w:val="ListBullet"/>
      </w:pPr>
      <w:r>
        <w:t>증거금은 매매일 동안 산출 (장중 증거금 재계산)</w:t>
      </w:r>
    </w:p>
    <w:p>
      <w:pPr>
        <w:pStyle w:val="ListBullet"/>
      </w:pPr>
      <w:r>
        <w:t>정기 마진콜: 일말 증거금 요건이 청산회원에게 통보</w:t>
      </w:r>
    </w:p>
    <w:p>
      <w:pPr>
        <w:pStyle w:val="ListBullet"/>
      </w:pPr>
      <w:r>
        <w:t>장중 마진콜: 장중 리스크 기준 초과 시 Eurex Clearing이 청산회원 계좌에서 직접 인출 가능</w:t>
      </w:r>
    </w:p>
    <w:p>
      <w:pPr>
        <w:pStyle w:val="ListBullet"/>
      </w:pPr>
      <w:r>
        <w:t>납부: 변동증거금 및 전통 옵션 프리미엄은 현금으로 납부 필수; 개시증거금은 현금 또는 적격 유가증권 (적절한 헤어컷 적용)으로 납부 가능</w:t>
      </w:r>
    </w:p>
    <w:p>
      <w:pPr>
        <w:pStyle w:val="Heading3"/>
      </w:pPr>
      <w:r>
        <w:t>14.6 Cloud Prisma Margin Estimator (cPME)</w:t>
      </w:r>
    </w:p>
    <w:p>
      <w:pPr>
        <w:pStyle w:val="ListBullet"/>
      </w:pPr>
      <w:r>
        <w:t>참여자가 가상 포트폴리오에 대한 증거금 요건을 추정할 수 있는 웹 기반 도구</w:t>
      </w:r>
    </w:p>
    <w:p>
      <w:pPr>
        <w:pStyle w:val="ListBullet"/>
      </w:pPr>
      <w:r>
        <w:t>Deutsche Borse Risk GitHub를 통해 이용 가능: https://deutsche-boerse-risk.github.io/CloudPrismaMarginEstimator/</w:t>
      </w:r>
    </w:p>
    <w:p>
      <w:r>
        <w:t>[출처: Eurex Clearing, "Eurex Clearing Prisma", https://www.eurex.com/ec-en/services/margining/eurex-clearing-prisma]</w:t>
      </w:r>
    </w:p>
    <w:p>
      <w:r>
        <w:t>[출처: Eurex Clearing, "Margining process", https://www.eurex.com/ec-en/services/margining/margining-process]</w:t>
      </w:r>
    </w:p>
    <w:p>
      <w:r>
        <w:t>[출처: Eurex Clearing, "Cross-margining", https://www.eurex.com/ec-en/services/margining/cross-margining]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포지션한도 (건옥제한) (Position Limits)</w:t>
      </w:r>
    </w:p>
    <w:p>
      <w:pPr>
        <w:pStyle w:val="Heading3"/>
      </w:pPr>
      <w:r>
        <w:t>15.1 체계 (Framework)</w:t>
      </w:r>
    </w:p>
    <w:p>
      <w:pPr>
        <w:pStyle w:val="ListBullet"/>
      </w:pPr>
      <w:r>
        <w:t>MiFID II 제57조: EU 매매시장에서 거래되는 상품 파생상품에 대한 포지션한도 설정</w:t>
      </w:r>
    </w:p>
    <w:p>
      <w:pPr>
        <w:pStyle w:val="ListBullet"/>
      </w:pPr>
      <w:r>
        <w:t>BaFin이 독일 매매시장에서 독점적 또는 주로 거래되는 상품 파생상품 (Eurex 포함)의 포지션한도 설정 및 모니터링 관할 당국</w:t>
      </w:r>
    </w:p>
    <w:p>
      <w:pPr>
        <w:pStyle w:val="ListBullet"/>
      </w:pPr>
      <w:r>
        <w:t>책임 수준 (Accountability levels): 대규모 포지션 파악 및 질서 있는 시장 확보를 위해 금융상품에 설정</w:t>
      </w:r>
    </w:p>
    <w:p>
      <w:pPr>
        <w:pStyle w:val="Heading3"/>
      </w:pPr>
      <w:r>
        <w:t>15.2 상품 파생상품 포지션한도 (Commodity Derivatives Position Limits)</w:t>
      </w:r>
    </w:p>
    <w:p>
      <w:pPr>
        <w:pStyle w:val="ListBullet"/>
      </w:pPr>
      <w:r>
        <w:t>BaFin이 인도 가능 공급량 및 미결제약정에 기반하여 포지션한도 설정</w:t>
      </w:r>
    </w:p>
    <w:p>
      <w:pPr>
        <w:pStyle w:val="ListBullet"/>
      </w:pPr>
      <w:r>
        <w:t>상품 파생상품 및 경제적으로 동등한 OTC 계약에서 보유한 순 포지션에 적용</w:t>
      </w:r>
    </w:p>
    <w:p>
      <w:pPr>
        <w:pStyle w:val="ListBullet"/>
      </w:pPr>
      <w:r>
        <w:t>최근월 및 기타 월 합산 수준 모두에서 한도 적용</w:t>
      </w:r>
    </w:p>
    <w:p>
      <w:pPr>
        <w:pStyle w:val="Heading3"/>
      </w:pPr>
      <w:r>
        <w:t>15.3 헤지 면제 (Hedge Exemptions)</w:t>
      </w:r>
    </w:p>
    <w:p>
      <w:pPr>
        <w:pStyle w:val="ListBullet"/>
      </w:pPr>
      <w:r>
        <w:t>비금융 주체는 비금융 상업 활동에 직접 관련된 리스크를 객관적으로 측정 가능하게 감소시키는 포지션에 대해 MiFID II 제57(1)조에 따라 포지션한도 면제 신청 가능</w:t>
      </w:r>
    </w:p>
    <w:p>
      <w:pPr>
        <w:pStyle w:val="ListBullet"/>
      </w:pPr>
      <w:r>
        <w:t>금융 주체는 헤지 계약을 포지션한도에 산입해야 함 (헤지 면제 불가)</w:t>
      </w:r>
    </w:p>
    <w:p>
      <w:pPr>
        <w:pStyle w:val="ListBullet"/>
      </w:pPr>
      <w:r>
        <w:t>신청 절차: MiFID II 제57(1)조 및 위원회 위임 규정 (EU) 2017/591 제8조에 따라 BaFin에 제출</w:t>
      </w:r>
    </w:p>
    <w:p>
      <w:pPr>
        <w:pStyle w:val="ListBullet"/>
      </w:pPr>
      <w:r>
        <w:t>승인되면 "헤지"로 표시된 포지션은 포지션한도 체제 외에 해당</w:t>
      </w:r>
    </w:p>
    <w:p>
      <w:pPr>
        <w:pStyle w:val="Heading3"/>
      </w:pPr>
      <w:r>
        <w:t>15.4 비상품 포지션한도 (Non-Commodity Position Limits)</w:t>
      </w:r>
    </w:p>
    <w:p>
      <w:pPr>
        <w:pStyle w:val="ListBullet"/>
      </w:pPr>
      <w:r>
        <w:t>주가지수 및 금리 파생상품에 대해서는 경성 포지션한도 대신 포지션 보고 요건 적용</w:t>
      </w:r>
    </w:p>
    <w:p>
      <w:pPr>
        <w:pStyle w:val="ListBullet"/>
      </w:pPr>
      <w:r>
        <w:t>대규모 포지션 보고 기준은 Eurex Market Supervision의 강화된 모니터링 발동</w:t>
      </w:r>
    </w:p>
    <w:p>
      <w:pPr>
        <w:pStyle w:val="ListBullet"/>
      </w:pPr>
      <w:r>
        <w:t>거래소 규정은 예외적 상황에서 상품별 포지션한도를 부과할 수 있음</w:t>
      </w:r>
    </w:p>
    <w:p>
      <w:r>
        <w:t>[출처: BaFin, "Position limits for commodity derivatives", https://www.bafin.de/EN/Aufsicht/BoersenMaerkte/Derivate/PositionslimitsWarenderivate/positionslimits_warenderivate_node_en.html]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블록거래 (대량매매) / EFP / EFS -- 장외 매매 시설 (Block Trading / EFP / EFS -- Off-Book Trading Facilities)</w:t>
      </w:r>
    </w:p>
    <w:p>
      <w:pPr>
        <w:pStyle w:val="Heading3"/>
      </w:pPr>
      <w:r>
        <w:t>16.1 Eurex T7 Entry Services (TES)</w:t>
      </w:r>
    </w:p>
    <w:p>
      <w:r>
        <w:t>Eurex T7 Entry Services는 매매참가자가 장외 거래를 Eurex 시스템에 입력하여, 맞춤형 매매의 유연성과 Eurex Clearing을 통한 표준화된 청산 및 결제를 결합할 수 있게 한다.</w:t>
      </w:r>
    </w:p>
    <w:p>
      <w:r>
        <w:t>이용 가능한 TES 유형: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**블록거래 (대량매매) (Block Trades)**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협의된 가격으로 표준 Eurex 상품의 장외 체결; 최소 블록거래 규모 (MBTS)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**현물 교환 — 금융 (EFP-F)**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장외 채권 거래의 선물 레그 체결 및 청산; 채권 선물에 대한 자동 승인 기능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**스왑 교환 (EFS)**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포지션과 OTC 스왑 포지션 교환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**지수종가 매매 (TAIC)**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지수의 공식 종가에서 거래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**다자간 블록거래 (Multilateral Block Trades)**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복수 상대방과의 블록거래를 단일 거래로 등록 (예: 매수자 1명 vs. 매도자 3명)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**비공개 시설 (Non-Disclosure Facility)**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참여자가 신원을 공개하지 않고 거래 가능</w:t>
            </w:r>
          </w:p>
        </w:tc>
      </w:tr>
    </w:tbl>
    <w:p/>
    <w:p>
      <w:r>
        <w:t>TES 입력 및 승인 시간:</w:t>
      </w:r>
    </w:p>
    <w:p>
      <w:pPr>
        <w:pStyle w:val="ListBullet"/>
      </w:pPr>
      <w:r>
        <w:t>채권 선물의 EFP 및 EFS에 대한 입력 및 승인 시간이 매매일 종료 (CET 22:00)까지 연장</w:t>
      </w:r>
    </w:p>
    <w:p>
      <w:pPr>
        <w:pStyle w:val="Heading3"/>
      </w:pPr>
      <w:r>
        <w:t>16.2 Eurex EnLight -- 선택적 RFQ 플랫폼</w:t>
      </w:r>
    </w:p>
    <w:p>
      <w:pPr>
        <w:pStyle w:val="ListBullet"/>
      </w:pPr>
      <w:r>
        <w:t>장내, 장외 선택적 호가요청(RFQ) 기능</w:t>
      </w:r>
    </w:p>
    <w:p>
      <w:pPr>
        <w:pStyle w:val="ListBullet"/>
      </w:pPr>
      <w:r>
        <w:t>T7과의 완전한 직행처리(STP)를 통한 통합</w:t>
      </w:r>
    </w:p>
    <w:p>
      <w:pPr>
        <w:pStyle w:val="ListBullet"/>
      </w:pPr>
      <w:r>
        <w:t>주요 기능:</w:t>
      </w:r>
    </w:p>
    <w:p>
      <w:pPr>
        <w:pStyle w:val="ListBullet"/>
      </w:pPr>
      <w:r>
        <w:t>익명 협상: 요청자가 RFQ를 익명으로 수행 가능; 협상 중 또는 후에 신원 공개 없음</w:t>
      </w:r>
    </w:p>
    <w:p>
      <w:pPr>
        <w:pStyle w:val="ListBullet"/>
      </w:pPr>
      <w:r>
        <w:t>스마트 RFQ: 과거 데이터에 기반하여 유리하게 응답할 가능성이 높은 회원 제안</w:t>
      </w:r>
    </w:p>
    <w:p>
      <w:pPr>
        <w:pStyle w:val="ListBullet"/>
      </w:pPr>
      <w:r>
        <w:t>유출 통제: 영업 데스크가 RFQ를 수신할 상대방 및 포함할 정보량을 전적으로 통제</w:t>
      </w:r>
    </w:p>
    <w:p>
      <w:pPr>
        <w:pStyle w:val="ListBullet"/>
      </w:pPr>
      <w:r>
        <w:t>최소 규모: EnLight 최소 블록거래 규모 (EMBTS) 적용; 상품별 상이</w:t>
      </w:r>
    </w:p>
    <w:p>
      <w:pPr>
        <w:pStyle w:val="ListBullet"/>
      </w:pPr>
      <w:r>
        <w:t>접근: API, Bloomberg Tradebook, Trading Technologies 및 기타 ISV 플랫폼을 통해 이용 가능</w:t>
      </w:r>
    </w:p>
    <w:p>
      <w:r>
        <w:t>[출처: Eurex, "Block Trades", https://www.eurex.com/ex-en/trade/eurex-t7-entry-services/block-trades]</w:t>
      </w:r>
    </w:p>
    <w:p>
      <w:r>
        <w:t>[출처: Eurex, "Eurex EnLight", https://www.eurex.com/ex-en/trade/market-models/enlight]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인도 및 결제 (Delivery &amp; Settlement)</w:t>
      </w:r>
    </w:p>
    <w:p>
      <w:pPr>
        <w:pStyle w:val="Heading3"/>
      </w:pPr>
      <w:r>
        <w:t>17.1 현금결제 (Cash Settlement)</w:t>
      </w:r>
    </w:p>
    <w:p>
      <w:r>
        <w:t>지수 파생상품, 변동성 파생상품, 배당 파생상품, 단기금융 선물에 적용: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최종결제가 결정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EURO STOXX 50 선물/옵션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최종결제일 CET 11:50~12:00 사이 산출된 EURO STOXX 50 지수값의 평균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DAX 선물/옵션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최종결제일 DAX 구성종목의 장중 단일가매매 가격에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VSTOXX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만기일 VSTOXX 지수 계산에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Euribor / Euro STR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최종결제일 기준금리 고시에 기반</w:t>
            </w:r>
          </w:p>
        </w:tc>
      </w:tr>
    </w:tbl>
    <w:p/>
    <w:p>
      <w:pPr>
        <w:pStyle w:val="Heading3"/>
      </w:pPr>
      <w:r>
        <w:t>17.2 실물인도 (Physical Delivery)</w:t>
      </w:r>
    </w:p>
    <w:p>
      <w:r>
        <w:t>채권 선물, 개별주식 선물, 주식 옵션에 적용:</w:t>
      </w:r>
    </w:p>
    <w:p>
      <w:r>
        <w:t>채권 선물 인도 절차:</w:t>
      </w:r>
    </w:p>
    <w:p>
      <w:pPr>
        <w:pStyle w:val="ListNumber"/>
      </w:pPr>
      <w:r>
        <w:t>통지: 미결제 매도 포지션을 보유한 청산회원은 최종 거래일에 인도할 특정 채권 (인도 가능 바스켓 중)을 사후매매 풀 기간 종료까지 Eurex에 통지 필요</w:t>
      </w:r>
    </w:p>
    <w:p>
      <w:pPr>
        <w:pStyle w:val="ListNumber"/>
      </w:pPr>
      <w:r>
        <w:t>인도일: 만기월 10번째 역일 (또는 다음 거래소 영업일)</w:t>
      </w:r>
    </w:p>
    <w:p>
      <w:pPr>
        <w:pStyle w:val="ListNumber"/>
      </w:pPr>
      <w:r>
        <w:t>전환계수: 명목 쿠폰 (6%)과 인도 채권의 실제 쿠폰 간 차이를 조정하기 위해 적용</w:t>
      </w:r>
    </w:p>
    <w:p>
      <w:pPr>
        <w:pStyle w:val="ListNumber"/>
      </w:pPr>
      <w:r>
        <w:t>최저비용 인도 (CTD): 매도 포지션 보유자가 통상 전환계수 및 시장 상황에 기반하여 인도 비용이 가장 낮은 채권을 선택</w:t>
      </w:r>
    </w:p>
    <w:p>
      <w:r>
        <w:t>개별주식 선물/옵션:</w:t>
      </w:r>
    </w:p>
    <w:p>
      <w:pPr>
        <w:pStyle w:val="ListBullet"/>
      </w:pPr>
      <w:r>
        <w:t>기초 주식의 실물인도</w:t>
      </w:r>
    </w:p>
    <w:p>
      <w:pPr>
        <w:pStyle w:val="ListBullet"/>
      </w:pPr>
      <w:r>
        <w:t>해당 CSD (Clearstream 또는 기타 연결 결제 시스템)를 통한 Eurex Clearing 경유 결제</w:t>
      </w:r>
    </w:p>
    <w:p>
      <w:pPr>
        <w:pStyle w:val="ListBullet"/>
      </w:pPr>
      <w:r>
        <w:t>표준 결제 주기 (대부분의 유럽 시장에서 T+2)에 인도</w:t>
      </w:r>
    </w:p>
    <w:p>
      <w:pPr>
        <w:pStyle w:val="Heading3"/>
      </w:pPr>
      <w:r>
        <w:t>17.3 변동증거금 (일일 정산) (Variation Margin / Daily Settlement)</w:t>
      </w:r>
    </w:p>
    <w:p>
      <w:pPr>
        <w:pStyle w:val="ListBullet"/>
      </w:pPr>
      <w:r>
        <w:t>선물: 현금 변동증거금 지급을 통한 일일 시가평가</w:t>
      </w:r>
    </w:p>
    <w:p>
      <w:pPr>
        <w:pStyle w:val="ListBullet"/>
      </w:pPr>
      <w:r>
        <w:t>일일정산가: 현행 만기월에 대해 CET 17:15 직전 1분간 거래의 거래량 가중 평균으로 산출 (해당 기간 5건 이상 거래 시)</w:t>
      </w:r>
    </w:p>
    <w:p>
      <w:pPr>
        <w:pStyle w:val="ListBullet"/>
      </w:pPr>
      <w:r>
        <w:t>지정 결제은행을 통한 Eurex Clearing AG 경유 결제</w:t>
      </w:r>
    </w:p>
    <w:p>
      <w:r>
        <w:t>[출처: Eurex, "Euro-Bund Futures (FGBL)", https://www.eurex.com/ex-en/markets/int/fix/government-bonds/Euro-Bund-Futures-137298]</w:t>
      </w:r>
    </w:p>
    <w:p>
      <w:r>
        <w:t>[출처: Eurex, "Contract Specifications", https://www.eurex.com/exchange-en/resources/rules-regulations/Contract-specifications/136774]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부록: KRX 파생상품 시장과의 비교 (Appendix: Comparison with KRX Derivatives Market)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특성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Eurex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대표 주가지수 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 STOXX 50 선물/옵션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200 선물/옵션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금리 벤치마크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Euro-Bund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KTB 선물 (3년, 10년)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증거금 방법론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Prisma (포트폴리오 기반 과거 VaR)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SPAN 기반 (신규 방법론 전환 중)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T7 (Deutsche Borse 자체 개발)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(KRX 자체 개발)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Clearing AG (독립 CCP)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 (통합형 거래소-청산)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교차 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ETD-OTC 교차 증거금 이용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 교차 증거금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최대 21시간 (01:00 - 22:00 CET)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대부분 상품 ~6.5시간 (09:00 - 15:45 KST)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장외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T7 Entry Services, Eurex EnLight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 장외 시설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[Eurex, "Full year and December 2025 figures at Eurex"](https://www.eurex.com/ex-en/find/news-center/news/Full-year-and-December-2025-figures-at-Eurex-4891494)</w:t>
      </w:r>
    </w:p>
    <w:p>
      <w:pPr>
        <w:pStyle w:val="ListBullet"/>
      </w:pPr>
      <w:r>
        <w:t>[Eurex, "Full year and December 2024 figures at Eurex"](https://www.eurex.com/ex-en/find/news-center/news/Full-year-and-December-2024-figures-at-Eurex-4250318)</w:t>
      </w:r>
    </w:p>
    <w:p>
      <w:pPr>
        <w:pStyle w:val="ListBullet"/>
      </w:pPr>
      <w:r>
        <w:t>[Eurex, "Markets"](https://www.eurex.com/ex-en/markets)</w:t>
      </w:r>
    </w:p>
    <w:p>
      <w:pPr>
        <w:pStyle w:val="ListBullet"/>
      </w:pPr>
      <w:r>
        <w:t>[Eurex, "Trading hours"](https://www.eurex.com/ex-en/trade/trading-hours)</w:t>
      </w:r>
    </w:p>
    <w:p>
      <w:pPr>
        <w:pStyle w:val="ListBullet"/>
      </w:pPr>
      <w:r>
        <w:t>[Eurex, "Order types"](https://www.eurex.com/ex-en/trade/order-book-trading/order-types)</w:t>
      </w:r>
    </w:p>
    <w:p>
      <w:pPr>
        <w:pStyle w:val="ListBullet"/>
      </w:pPr>
      <w:r>
        <w:t>[Eurex, "T7"](https://www.eurex.com/ex-en/support/technology/t7)</w:t>
      </w:r>
    </w:p>
    <w:p>
      <w:pPr>
        <w:pStyle w:val="ListBullet"/>
      </w:pPr>
      <w:r>
        <w:t>[Eurex, "Insights into Trading System Dynamics", March 2025](https://www.eurex.com/resource/blob/48918/4f724c9415d2731cfb27295db6269c9c/data/presentation_insights-into-trading-system-dynamics_en.pdf)</w:t>
      </w:r>
    </w:p>
    <w:p>
      <w:pPr>
        <w:pStyle w:val="ListBullet"/>
      </w:pPr>
      <w:r>
        <w:t>[Eurex, "T7 Release 14.0"](https://www.eurex.com/ex-en/support/initiatives/T7-Release-14.0)</w:t>
      </w:r>
    </w:p>
    <w:p>
      <w:pPr>
        <w:pStyle w:val="ListBullet"/>
      </w:pPr>
      <w:r>
        <w:t>[Eurex, "Connectivity"](https://www.eurex.com/ex-en/support/technology/connectivity)</w:t>
      </w:r>
    </w:p>
    <w:p>
      <w:pPr>
        <w:pStyle w:val="ListBullet"/>
      </w:pPr>
      <w:r>
        <w:t>[Eurex, "Market and Reference Data Interfaces"](https://www.eurex.com/ex-en/support/initiatives/archive/release8/Market-and-Reference-Data-Interfaces-1546120)</w:t>
      </w:r>
    </w:p>
    <w:p>
      <w:pPr>
        <w:pStyle w:val="ListBullet"/>
      </w:pPr>
      <w:r>
        <w:t>[Eurex, "Volatility Interruption Functionality"](https://www.eurex.com/ex-en/support/emergencies-and-safeguards/volatility-interruption-functionality)</w:t>
      </w:r>
    </w:p>
    <w:p>
      <w:pPr>
        <w:pStyle w:val="ListBullet"/>
      </w:pPr>
      <w:r>
        <w:t>[Eurex, "Trading Safeguards", October 2025](https://www.eurex.com/resource/blob/2448162/28033c3a73ea19078860573d526f8f33/data/presentation-trading-safeguards.pdf)</w:t>
      </w:r>
    </w:p>
    <w:p>
      <w:pPr>
        <w:pStyle w:val="ListBullet"/>
      </w:pPr>
      <w:r>
        <w:t>[Eurex, "MiFID II/MiFIR"](https://www.eurex.com/ex-en/rules-regs/regulations/mifid-mifir)</w:t>
      </w:r>
    </w:p>
    <w:p>
      <w:pPr>
        <w:pStyle w:val="ListBullet"/>
      </w:pPr>
      <w:r>
        <w:t>[Eurex, "Transaction fees"](https://www.eurex.com/ex-en/trade/transaction-fees)</w:t>
      </w:r>
    </w:p>
    <w:p>
      <w:pPr>
        <w:pStyle w:val="ListBullet"/>
      </w:pPr>
      <w:r>
        <w:t>[Eurex Clearing, "Eurex Clearing Prisma"](https://www.eurex.com/ec-en/services/margining/eurex-clearing-prisma)</w:t>
      </w:r>
    </w:p>
    <w:p>
      <w:pPr>
        <w:pStyle w:val="ListBullet"/>
      </w:pPr>
      <w:r>
        <w:t>[Eurex Clearing, "Margining process"](https://www.eurex.com/ec-en/services/margining/margining-process)</w:t>
      </w:r>
    </w:p>
    <w:p>
      <w:pPr>
        <w:pStyle w:val="ListBullet"/>
      </w:pPr>
      <w:r>
        <w:t>[Eurex Clearing, "Cross-margining"](https://www.eurex.com/ec-en/services/margining/cross-margining)</w:t>
      </w:r>
    </w:p>
    <w:p>
      <w:pPr>
        <w:pStyle w:val="ListBullet"/>
      </w:pPr>
      <w:r>
        <w:t>[Eurex Clearing, "Membership Types"](https://www.eurex.com/ec-en/join/admission-requirements/Membership-Types-24040)</w:t>
      </w:r>
    </w:p>
    <w:p>
      <w:pPr>
        <w:pStyle w:val="ListBullet"/>
      </w:pPr>
      <w:r>
        <w:t>[Eurex, "Block Trades"](https://www.eurex.com/ex-en/trade/eurex-t7-entry-services/block-trades)</w:t>
      </w:r>
    </w:p>
    <w:p>
      <w:pPr>
        <w:pStyle w:val="ListBullet"/>
      </w:pPr>
      <w:r>
        <w:t>[Eurex, "Eurex EnLight"](https://www.eurex.com/ex-en/trade/market-models/enlight)</w:t>
      </w:r>
    </w:p>
    <w:p>
      <w:pPr>
        <w:pStyle w:val="ListBullet"/>
      </w:pPr>
      <w:r>
        <w:t>[Eurex, "Market-Making and Liquidity provisioning"](https://www.eurex.com/ex-en/trade/market-making-and-liquidity-provisioning)</w:t>
      </w:r>
    </w:p>
    <w:p>
      <w:pPr>
        <w:pStyle w:val="ListBullet"/>
      </w:pPr>
      <w:r>
        <w:t>[BaFin, "Position limits for commodity derivatives"](https://www.bafin.de/EN/Aufsicht/BoersenMaerkte/Derivate/PositionslimitsWarenderivate/positionslimits_warenderivate_node_en.html)</w:t>
      </w:r>
    </w:p>
    <w:p>
      <w:pPr>
        <w:pStyle w:val="ListBullet"/>
      </w:pPr>
      <w:r>
        <w:t>[Eurex, "Contract Specifications"](https://www.eurex.com/exchange-en/resources/rules-regulations/Contract-specifications/136774)</w:t>
      </w:r>
    </w:p>
    <w:p>
      <w:pPr>
        <w:pStyle w:val="ListBullet"/>
      </w:pPr>
      <w:r>
        <w:t>[Eurex, "Our path for 2026"](https://www.eurex.com/ex-en/find/circulars/Eurex-Readiness-Newsflash-Our-path-for-2026--4867350)</w:t>
      </w:r>
    </w:p>
    <w:p>
      <w:pPr>
        <w:pStyle w:val="ListBullet"/>
      </w:pPr>
      <w:r>
        <w:t>[Wikipedia, "Eurex"](https://en.wikipedia.org/wiki/Eurex)</w:t>
      </w:r>
    </w:p>
    <w:p>
      <w:pPr>
        <w:pStyle w:val="ListBullet"/>
      </w:pPr>
      <w:r>
        <w:t>[MarketsWiki, "Eurex"](https://www.marketswiki.com/wiki/Eurex)</w:t>
      </w:r>
    </w:p>
    <w:p>
      <w:pPr>
        <w:pStyle w:val="ListBullet"/>
      </w:pPr>
      <w:r>
        <w:t>[Deutsche Boerse Risk, "Cloud Prisma Margin Estimator"](https://deutsche-boerse-risk.github.io/CloudPrismaMarginEstimator/)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