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Euronext Derivatives (유로넥스트 파생상품)</w:t>
      </w:r>
    </w:p>
    <w:p>
      <w:r>
        <w:rPr>
          <w:i/>
          <w:sz w:val="18"/>
        </w:rPr>
        <w:t>**최종 수정일:** 2026-04-07</w:t>
      </w:r>
    </w:p>
    <w:p>
      <w:r>
        <w:rPr>
          <w:i/>
          <w:sz w:val="18"/>
        </w:rPr>
        <w:t>**조사 등급:** Tier 2</w:t>
      </w:r>
    </w:p>
    <w:p>
      <w:r>
        <w:rPr>
          <w:i/>
          <w:sz w:val="18"/>
        </w:rPr>
        <w:t>**분야:** 파생상품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개요 및 프로필 (Overview &amp; Profile)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세부사항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정식 명칭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Euronext N.V. -- Derivatives Markets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약칭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Euronext Derivatives (구 NYSE Liffe / MONEP / MATIF / AEX-Options / IDEM)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웹사이트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https://www.euronext.com ; https://live.euronext.com/en/products/derivatives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설립연도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2000년 (암스테르담, 브뤼셀, 파리 거래소 합병으로 Euronext 설립); 파생상품 연혁은 MONEP (1987), MATIF (1986), AEX-Optiebeurs (1978), IDEM (1994)까지 소급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소재지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네덜란드 / 암스테르담 (본사); 암스테르담, 브뤼셀, 더블린, 리스본, 밀라노, 오슬로, 파리에서 파생상품 시장 운영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지배구조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상장회사 (Euronext N.V., 티커 ENX, Euronext 암스테르담 및 파리 상장)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모회사 / 그룹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Euronext N.V. — 7개 유럽 시장에 걸쳐 현물 주식, 채권, 파생상품, 상품, 후선업무(Euronext Clearing, Euronext Securities), 기술(Optiq), 데이터 서비스를 아우르는 범유럽 시장 인프라 그룹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감독기관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Euronext 감독기관 협의체(College of Euronext Regulators): AMF (프랑스), AFM (네덜란드), FSMA (벨기에), CMVM (포르투갈), CONSOB (이탈리아), Finanstilsynet (노르웨이), CBI (아일랜드); CCP 감독은 EMIR에 따라 ESMA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파생상품 ADV (2025년 1월)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일일 606,267로트 (전년 대비 5.1% 증가)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미결제약정 (2025년 1월)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23,064,793계약 (전년 대비 4.5% 증가)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청산 계약 (2025년 1월)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13,337,872계약 (단일 집계)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상품 파생상품 ADV (2025년 10월)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일일 114,307로트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상장 파생상품 종목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주가지수 선물/옵션, 개별주식 옵션/선물, 배당 파생상품, 상품 선물/옵션(밀, 유채, 옥수수), 채권 파생상품(BTP, OAT, Bund 선물 — 2025년 9월 출시), ETF 옵션, Total Return 선물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시장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암스테르담(AEX), 파리(CAC 40, MATIF 상품), 밀라노(FTSE MIB, IDEM), 브뤼셀(BEL 20), 리스본(PSI), 오슬로(OBX), 더블린(ISEQ 20)</w:t>
            </w:r>
          </w:p>
        </w:tc>
      </w:tr>
    </w:tbl>
    <w:p/>
    <w:p>
      <w:r>
        <w:t>[Source: Euronext, "Trading Information", https://www.euronext.com/en/trading]</w:t>
      </w:r>
    </w:p>
    <w:p>
      <w:r>
        <w:t>[Source: Euronext, "Euronext publishes Q4 and full year 2024 results", February 2025, https://www.euronext.com/en/investor-relations/financial-information/news/euronext-publishes-q4-and-full-year-2024-results]</w:t>
      </w:r>
    </w:p>
    <w:p>
      <w:r>
        <w:t>[Source: Euronext Clearing, "Statistics", https://www.euronext.com/en/clearing/about/statistics]</w:t>
      </w:r>
    </w:p>
    <w:p>
      <w:pPr>
        <w:pStyle w:val="Heading3"/>
      </w:pPr>
      <w:r>
        <w:t>주요 연혁 (Key Historical Milestones)</w:t>
      </w:r>
    </w:p>
    <w:p>
      <w:pPr>
        <w:pStyle w:val="ListBullet"/>
      </w:pPr>
      <w:r>
        <w:t>1978년: European Options Exchange (EOE) 암스테르담에 설립 — 유럽 최초의 옵션 거래소 중 하나</w:t>
      </w:r>
    </w:p>
    <w:p>
      <w:pPr>
        <w:pStyle w:val="ListBullet"/>
      </w:pPr>
      <w:r>
        <w:t>1986년: MATIF (Marche a Terme International de France) 파리에서 금융 및 상품 선물 거래 개시</w:t>
      </w:r>
    </w:p>
    <w:p>
      <w:pPr>
        <w:pStyle w:val="ListBullet"/>
      </w:pPr>
      <w:r>
        <w:t>1987년: MONEP (Marche des Options Negociables de Paris) 주식 옵션 거래 개시</w:t>
      </w:r>
    </w:p>
    <w:p>
      <w:pPr>
        <w:pStyle w:val="ListBullet"/>
      </w:pPr>
      <w:r>
        <w:t>1994년: IDEM (Italian Derivatives Market) Borsa Italiana가 밀라노에서 출범</w:t>
      </w:r>
    </w:p>
    <w:p>
      <w:pPr>
        <w:pStyle w:val="ListBullet"/>
      </w:pPr>
      <w:r>
        <w:t>2000년 (9월): Euronext 설립 — Paris Bourse, Amsterdam Exchanges, Brussels Exchanges의 합병</w:t>
      </w:r>
    </w:p>
    <w:p>
      <w:pPr>
        <w:pStyle w:val="ListBullet"/>
      </w:pPr>
      <w:r>
        <w:t>2001년: Euronext가 LIFFE (London International Financial Futures and Options Exchange) 인수, Euronext.liffe 형성</w:t>
      </w:r>
    </w:p>
    <w:p>
      <w:pPr>
        <w:pStyle w:val="ListBullet"/>
      </w:pPr>
      <w:r>
        <w:t>2002년: Bolsa de Valores de Lisboa e Porto (BVLP)와 합병, 현 Euronext Lisbon</w:t>
      </w:r>
    </w:p>
    <w:p>
      <w:pPr>
        <w:pStyle w:val="ListBullet"/>
      </w:pPr>
      <w:r>
        <w:t>2003년: 현물 상품이 단일 NSC 플랫폼에 통합</w:t>
      </w:r>
    </w:p>
    <w:p>
      <w:pPr>
        <w:pStyle w:val="ListBullet"/>
      </w:pPr>
      <w:r>
        <w:t>2004년: 파생상품이 LIFFE CONNECT 플랫폼에 통합</w:t>
      </w:r>
    </w:p>
    <w:p>
      <w:pPr>
        <w:pStyle w:val="ListBullet"/>
      </w:pPr>
      <w:r>
        <w:t>2006년: NYSE Group과 Euronext가 합병에 합의, NYSE Euronext 형성</w:t>
      </w:r>
    </w:p>
    <w:p>
      <w:pPr>
        <w:pStyle w:val="ListBullet"/>
      </w:pPr>
      <w:r>
        <w:t>2007년: NYSE Euronext 공식 출범; 파생상품 및 현물 주식 운영 통합</w:t>
      </w:r>
    </w:p>
    <w:p>
      <w:pPr>
        <w:pStyle w:val="ListBullet"/>
      </w:pPr>
      <w:r>
        <w:t>2012년: 유럽위원회가 파생상품 독점 우려로 제안된 Deutsche Borse-NYSE Euronext 합병을 차단</w:t>
      </w:r>
    </w:p>
    <w:p>
      <w:pPr>
        <w:pStyle w:val="ListBullet"/>
      </w:pPr>
      <w:r>
        <w:t>2013년: Intercontinental Exchange (ICE)가 USD 110억에 NYSE Euronext 인수</w:t>
      </w:r>
    </w:p>
    <w:p>
      <w:pPr>
        <w:pStyle w:val="ListBullet"/>
      </w:pPr>
      <w:r>
        <w:t>2014년 (6월 20일): Euronext가 ICE에서 IPO를 통해 분사; Euronext 암스테르담 및 파리에 독립 상장회사로 복귀</w:t>
      </w:r>
    </w:p>
    <w:p>
      <w:pPr>
        <w:pStyle w:val="ListBullet"/>
      </w:pPr>
      <w:r>
        <w:t>2018년 (1월): MiFID II/MiFIR 시행; 파생상품 거래, 보고, 포지션한도에 중대한 영향</w:t>
      </w:r>
    </w:p>
    <w:p>
      <w:pPr>
        <w:pStyle w:val="ListBullet"/>
      </w:pPr>
      <w:r>
        <w:t>2018년 (6월): Optiq 거래 플랫폼이 Euronext 파생상품 시장에 가동, 레거시 LIFFE CONNECT/UTP 시스템 대체</w:t>
      </w:r>
    </w:p>
    <w:p>
      <w:pPr>
        <w:pStyle w:val="ListBullet"/>
      </w:pPr>
      <w:r>
        <w:t>2018년: Euronext가 Irish Stock Exchange (현 Euronext Dublin) 인수</w:t>
      </w:r>
    </w:p>
    <w:p>
      <w:pPr>
        <w:pStyle w:val="ListBullet"/>
      </w:pPr>
      <w:r>
        <w:t>2019년: Euronext가 Oslo Bors (현 Euronext Oslo) 인수</w:t>
      </w:r>
    </w:p>
    <w:p>
      <w:pPr>
        <w:pStyle w:val="ListBullet"/>
      </w:pPr>
      <w:r>
        <w:t>2021년 (4월): Euronext가 LSEG로부터 Borsa Italiana Group (IDEM, MTS, CC&amp;G 포함) 인수 완료 (EUR 44억)</w:t>
      </w:r>
    </w:p>
    <w:p>
      <w:pPr>
        <w:pStyle w:val="ListBullet"/>
      </w:pPr>
      <w:r>
        <w:t>2022년 (6월): 핵심 데이터센터가 영국 Basildon에서 이탈리아 Bergamo로 이전 완료</w:t>
      </w:r>
    </w:p>
    <w:p>
      <w:pPr>
        <w:pStyle w:val="ListBullet"/>
      </w:pPr>
      <w:r>
        <w:t>2023년 (11월): Euronext Clearing이 현물 주식 시장으로 확장 (LCH SA에서 이관)</w:t>
      </w:r>
    </w:p>
    <w:p>
      <w:pPr>
        <w:pStyle w:val="ListBullet"/>
      </w:pPr>
      <w:r>
        <w:t>2024년 (4월): Borsa Italiana 파생상품(IDEM)이 Optiq 거래 플랫폼으로 이관</w:t>
      </w:r>
    </w:p>
    <w:p>
      <w:pPr>
        <w:pStyle w:val="ListBullet"/>
      </w:pPr>
      <w:r>
        <w:t>2024년 (7월): Euronext Clearing이 상품 파생상품으로 확장</w:t>
      </w:r>
    </w:p>
    <w:p>
      <w:pPr>
        <w:pStyle w:val="ListBullet"/>
      </w:pPr>
      <w:r>
        <w:t>2024년 (9월 9일): Euronext Clearing이 모든 Euronext 금융 파생상품으로 확장 — LCH SA에서의 이관 완료</w:t>
      </w:r>
    </w:p>
    <w:p>
      <w:pPr>
        <w:pStyle w:val="ListBullet"/>
      </w:pPr>
      <w:r>
        <w:t>2025년 (2월): Euronext가 채권 파생상품(미니 현금결제 국채 선물) 출시 발표</w:t>
      </w:r>
    </w:p>
    <w:p>
      <w:pPr>
        <w:pStyle w:val="ListBullet"/>
      </w:pPr>
      <w:r>
        <w:t>2025년 (5월): 프랑스 및 네덜란드 기초자산 미니 개별주식 옵션 출시</w:t>
      </w:r>
    </w:p>
    <w:p>
      <w:pPr>
        <w:pStyle w:val="ListBullet"/>
      </w:pPr>
      <w:r>
        <w:t>2025년 (9월): Euronext Derivatives Milan에서 채권 파생상품 1단계 가동 (BTP, OAT, Bund, Bono 선물)</w:t>
      </w:r>
    </w:p>
    <w:p>
      <w:pPr>
        <w:pStyle w:val="ListBullet"/>
      </w:pPr>
      <w:r>
        <w:t>2026년 (3월): 미니 ETF 옵션 출시</w:t>
      </w:r>
    </w:p>
    <w:p>
      <w:r>
        <w:t>[Source: Euronext, "Our Journey", https://www.euronext.com/en/about/our-journey]</w:t>
      </w:r>
    </w:p>
    <w:p>
      <w:r>
        <w:t>[Source: Wikipedia, "Euronext", https://en.wikipedia.org/wiki/Euronext]</w:t>
      </w:r>
    </w:p>
    <w:p>
      <w:r>
        <w:t>[Source: Euronext press releases, various dates, https://www.euronext.com/en/about/media/euronext-press-releases]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시장 구조 (Market Structure)</w:t>
      </w:r>
    </w:p>
    <w:p>
      <w:pPr>
        <w:pStyle w:val="Heading3"/>
      </w:pPr>
      <w:r>
        <w:t>2.1 시장 구분 (Market Segments)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구분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주요 상품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시장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**주가지수 파생상품**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CAC 40, AEX, BEL 20, PSI, OBX, ISEQ 20, FTSE MIB 선물 및 옵션; 미니 및 마이크로 변형; 주간 및 일간 옵션; ESG 지수 선물 (CAC 40 ESG)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파리, 암스테르담, 브뤼셀, 리스본, 오슬로, 더블린, 밀라노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**개별주식 파생상품**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Euronext 시장 전반에 상장된 개별 주식에 대한 옵션 및 선물; 프랑스, 네덜란드, 벨기에, 포르투갈, 이탈리아, 노르웨이, 아일랜드, 독일 기초자산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전 시장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**배당 파생상품**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배당지수 선물 (CAC 40, AEX, FTSE MIB); 개별주식 배당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파리, 암스테르담, 밀라노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**상품 파생상품**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제분용 밀 No. 2 (EBM), 유채(ECO), 옥수수(EMA) 선물 및 옵션 — 실물 인수도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파리 (MATIF)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**채권 파생상품**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BTP (이탈리아 10Y/30Y), OAT (프랑스), Bund (독일), Bono (스페인) 미니 현금결제 선물 — 2025년 9월 출시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밀라노, 파리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**ETF/ETC 파생상품**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ETF 옵션; 미니 ETF 옵션 (2026년 3월 출시)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암스테르담, 파리, 밀라노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**Total Return 선물**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FTSE MIB, CAC 40, AEX에 대한 TRF — OTC Total Return Swap의 경제적 효과를 복제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파리, 밀라노</w:t>
            </w:r>
          </w:p>
        </w:tc>
      </w:tr>
    </w:tbl>
    <w:p/>
    <w:p>
      <w:r>
        <w:t>[Source: Euronext, "Financial Derivatives trading", https://www.euronext.com/en/for-investors/financial-derivatives]</w:t>
      </w:r>
    </w:p>
    <w:p>
      <w:r>
        <w:t>[Source: Euronext Live, "Equity derivatives", https://live.euronext.com/en/products/derivatives]</w:t>
      </w:r>
    </w:p>
    <w:p>
      <w:pPr>
        <w:pStyle w:val="Heading3"/>
      </w:pPr>
      <w:r>
        <w:t>2.2 거래 세션 (Trading Sessions)</w:t>
      </w:r>
    </w:p>
    <w:p>
      <w:r>
        <w:t>Euronext 파생상품은 중앙유럽시간(CET/CEST)으로 운영된다. 거래 시간은 상품군별로 상이하다: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세션 / 상품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현지 시간 (CET)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UTC (겨울)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**주가지수 선물 (CAC 40, AEX 등)**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08:00 - 22:00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07:00 - 21:00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미국 세션 중첩 포함 연장 시간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**FTSE MIB 선물**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08:00 - 22:00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07:00 - 21:00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Optiq 이관 후 기타 지수 선물과 정합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**주식 옵션 (개별주식)**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09:00 - 17:30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08:00 - 16:30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표준 유럽 세션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**주가지수 옵션**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09:00 - 17:30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08:00 - 16:30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일부 상품은 CET 18:30까지 거래 [unverified]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**상품 선물 (밀, 유채)**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10:45 - 18:30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09:45 - 17:30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MATIF 상품 세션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**일간/주간 옵션**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09:00 - 17:30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08:00 - 16:30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일중 만기 상품</w:t>
            </w:r>
          </w:p>
        </w:tc>
      </w:tr>
    </w:tbl>
    <w:p/>
    <w:p>
      <w:r>
        <w:t>참고사항:</w:t>
      </w:r>
    </w:p>
    <w:p>
      <w:pPr>
        <w:pStyle w:val="ListBullet"/>
      </w:pPr>
      <w:r>
        <w:t>지수 선물 정산가격은 통상 장 마감 근처의 평균 방식으로 산출된다 (예: CAC 40: CET 15:40~16:00 사이의 모든 지수 값의 산술평균)</w:t>
      </w:r>
    </w:p>
    <w:p>
      <w:pPr>
        <w:pStyle w:val="ListBullet"/>
      </w:pPr>
      <w:r>
        <w:t>기초자산 주식시장의 거래 중단은 관련 파생상품의 해당 중단을 유발한다</w:t>
      </w:r>
    </w:p>
    <w:p>
      <w:pPr>
        <w:pStyle w:val="ListBullet"/>
      </w:pPr>
      <w:r>
        <w:t>공휴일 일정은 시장별로 상이하며; Euronext는 시장별 연간 공휴일 일정을 공표한다</w:t>
      </w:r>
    </w:p>
    <w:p>
      <w:r>
        <w:t>[Source: Euronext, "Trading hours &amp; holidays", https://www.euronext.com/en/trading/trading-hours-holidays]</w:t>
      </w:r>
    </w:p>
    <w:p>
      <w:r>
        <w:t>[Source: Euronext Live, "Derivatives trading hours", https://live.euronext.com/en/media/295]</w:t>
      </w:r>
    </w:p>
    <w:p>
      <w:pPr>
        <w:pStyle w:val="Heading3"/>
      </w:pPr>
      <w:r>
        <w:t>2.3 호가단위 (Tick Sizes)</w:t>
      </w:r>
    </w:p>
    <w:p>
      <w:r>
        <w:t>주요 상품의 대표적인 호가단위 (최소가격변동폭):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상품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호가단위 (최소가격변동폭)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틱 가치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CAC 40 선물 (FCE)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0.5 지수포인트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EUR 5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AEX 선물 (FTI)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0.05 지수포인트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EUR 10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FTSE MIB 선물 (FIB)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5 지수포인트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EUR 25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FTSE MIB Mini 선물 (MIN)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5 지수포인트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EUR 5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BEL 20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 지수포인트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[unverified]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CAC 40 옵션 (PXA)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0.1 지수포인트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EUR 1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AEX 옵션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0.01 지수포인트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EUR 1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개별주식 옵션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가격대에 따라 상이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상이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제분용 밀 선물 (EBM)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EUR 0.25/톤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EUR 12.50</w:t>
            </w:r>
          </w:p>
        </w:tc>
      </w:tr>
    </w:tbl>
    <w:p/>
    <w:p>
      <w:r>
        <w:t>[Source: Euronext Live, various contract specification pages, https://live.euronext.com/en/resources/contracts-specifications]</w:t>
      </w:r>
    </w:p>
    <w:p>
      <w:pPr>
        <w:pStyle w:val="Heading3"/>
      </w:pPr>
      <w:r>
        <w:t>2.4 로트 단위 (Lot Sizes)</w:t>
      </w:r>
    </w:p>
    <w:p>
      <w:pPr>
        <w:pStyle w:val="ListBullet"/>
      </w:pPr>
      <w:r>
        <w:t>표준 로트 단위: 모든 장내 파생상품에서 1계약</w:t>
      </w:r>
    </w:p>
    <w:p>
      <w:pPr>
        <w:pStyle w:val="ListBullet"/>
      </w:pPr>
      <w:r>
        <w:t>블록거래 (대량매매) 최소 수량: 상품별로 상이하며 Euronext Trading Procedures에 정의</w:t>
      </w:r>
    </w:p>
    <w:p>
      <w:pPr>
        <w:pStyle w:val="ListBullet"/>
      </w:pPr>
      <w:r>
        <w:t>상품 계약: 제분용 밀 = 계약당 50톤; 유채 = 계약당 50톤</w:t>
      </w:r>
    </w:p>
    <w:p>
      <w:pPr>
        <w:pStyle w:val="Heading3"/>
      </w:pPr>
      <w:r>
        <w:t>2.5 시장조성자 / 유동성 공급자 프로그램 (Market Maker / Liquidity Provider Programs)</w:t>
      </w:r>
    </w:p>
    <w:p>
      <w:r>
        <w:t>Euronext는 시장 및 상품군별로 맞춤화된 유동성 공급 프로그램을 운영한다:</w:t>
      </w:r>
    </w:p>
    <w:p>
      <w:pPr>
        <w:pStyle w:val="ListBullet"/>
      </w:pPr>
      <w:r>
        <w:t>Primary Market Makers (PMM): 지정 상품 전반에 걸쳐 연속적 양방향 호가 의무; 수수료 환급 및 수당 수령 자격</w:t>
      </w:r>
    </w:p>
    <w:p>
      <w:pPr>
        <w:pStyle w:val="ListBullet"/>
      </w:pPr>
      <w:r>
        <w:t>Competitive Market Makers (CMM): 축소된 의무를 가진 보조 유동성 공급자</w:t>
      </w:r>
    </w:p>
    <w:p>
      <w:pPr>
        <w:pStyle w:val="ListBullet"/>
      </w:pPr>
      <w:r>
        <w:t>MiFID II 시장조성자 (마켓메이커) 제도: Stressed Market Conditions (SMC) 중 호가 의무를 충족하는 회원에게 종목당 월 EUR 50 인센티브 (80% 시간 임계치), 월 EUR 550 상한</w:t>
      </w:r>
    </w:p>
    <w:p>
      <w:pPr>
        <w:pStyle w:val="ListBullet"/>
      </w:pPr>
      <w:r>
        <w:t>상품 옵션 LP: 거래 수수료 100% 환급; 최우수 성과자에게 월 EUR 5,000 수당</w:t>
      </w:r>
    </w:p>
    <w:p>
      <w:pPr>
        <w:pStyle w:val="ListBullet"/>
      </w:pPr>
      <w:r>
        <w:t>전력 선물 LP: 최대 100% 거래 수수료 환급 및/또는 월 최대 EUR 10,000 수당</w:t>
      </w:r>
    </w:p>
    <w:p>
      <w:pPr>
        <w:pStyle w:val="ListBullet"/>
      </w:pPr>
      <w:r>
        <w:t>Mass Quote 기능: 시장조성자 (마켓메이커)가 단일 거래에서 다수 시리즈에 걸쳐 양방향 주문을 일괄 제출 가능</w:t>
      </w:r>
    </w:p>
    <w:p>
      <w:pPr>
        <w:pStyle w:val="ListBullet"/>
      </w:pPr>
      <w:r>
        <w:t>Pivot 방식: 연속 호가 및 RFQ 의무에서 50% 한도 내에서 물량과 스프레드를 동시에 조정하는 유연성</w:t>
      </w:r>
    </w:p>
    <w:p>
      <w:r>
        <w:t>[Source: Euronext, "Liquidity provision", https://www.euronext.com/en/trading/membership/liquidity-provision]</w:t>
      </w:r>
    </w:p>
    <w:p>
      <w:r>
        <w:t>[Source: Euronext, "Market Making Scheme for Derivatives Markets", https://connect2.euronext.com/sites/default/files/documentation/membership/Euronext%20Market%20Making%20Scheme%20for%20Derivatives%20Markets%20-%20Nov19%20(1).pdf]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매매 메커니즘 (Trading Mechanism)</w:t>
      </w:r>
    </w:p>
    <w:p>
      <w:pPr>
        <w:pStyle w:val="Heading3"/>
      </w:pPr>
      <w:r>
        <w:t>3.1 경매 방식 (Auction Mechanisms)</w:t>
      </w:r>
    </w:p>
    <w:p>
      <w:r>
        <w:t>Euronext 파생상품 시장은 Optiq 플랫폼 내에서 다음의 경매 유형을 사용한다:</w:t>
      </w:r>
    </w:p>
    <w:p>
      <w:pPr>
        <w:pStyle w:val="ListBullet"/>
      </w:pPr>
      <w:r>
        <w:t>개장 경매: 호가 접수 단계 중 주문을 수집; 예상 가격 표시. 체결 가능 물량을 극대화하는 가격으로 단일가 체결(Uncrossing). 시장 개장 시 모든 파생상품에 적용</w:t>
      </w:r>
    </w:p>
    <w:p>
      <w:pPr>
        <w:pStyle w:val="ListBullet"/>
      </w:pPr>
      <w:r>
        <w:t>마감 경매: 공식 종가/정산가격 결정; 유사한 호가접수 및 단일가 체결 메커니즘</w:t>
      </w:r>
    </w:p>
    <w:p>
      <w:pPr>
        <w:pStyle w:val="ListBullet"/>
      </w:pPr>
      <w:r>
        <w:t>변동성 중단 (서킷브레이커 (매매거래중단) 경매): 잠재적 거래 가격이 동적 또는 정적 가격밴드를 이탈할 때 발동. 재개 전 질서 있는 가격 발견을 위해 예약 기간(경매 호가접수 단계)에 진입</w:t>
      </w:r>
    </w:p>
    <w:p>
      <w:pPr>
        <w:pStyle w:val="ListBullet"/>
      </w:pPr>
      <w:r>
        <w:t>장중 경매: 특정 상품에 대해 추가 가격 발견 지점을 제공하기 위한 정기 경매 [unverified — 파생상품 대상, 주로 현물 주식에서 사용]</w:t>
      </w:r>
    </w:p>
    <w:p>
      <w:pPr>
        <w:pStyle w:val="Heading3"/>
      </w:pPr>
      <w:r>
        <w:t>3.2 접속매매 (연속 거래, Continuous Trading)</w:t>
      </w:r>
    </w:p>
    <w:p>
      <w:pPr>
        <w:pStyle w:val="ListBullet"/>
      </w:pPr>
      <w:r>
        <w:t>중앙지정가주문대장 (CLOB, Central Limit Order Book): 모든 파생상품에 대한 완전 전자화된 주문주도 시장</w:t>
      </w:r>
    </w:p>
    <w:p>
      <w:pPr>
        <w:pStyle w:val="ListBullet"/>
      </w:pPr>
      <w:r>
        <w:t>연속 체결: 거래 세션 동안 주문이 최우선 가격에서 연속 체결</w:t>
      </w:r>
    </w:p>
    <w:p>
      <w:pPr>
        <w:pStyle w:val="ListBullet"/>
      </w:pPr>
      <w:r>
        <w:t>시장조성자 (마켓메이커): 연속 호가를 통해 호가창 유동성을 보완; 시장은 주문주도형이며 호가주도형이 아님</w:t>
      </w:r>
    </w:p>
    <w:p>
      <w:pPr>
        <w:pStyle w:val="ListBullet"/>
      </w:pPr>
      <w:r>
        <w:t>Request for Cross (RFC): 회원이 사전 협의된 거래상대방과 고객 주문을 거래소에서 교차 체결할 수 있는 기능으로, 가격개선 규칙 및 호가창 최소 노출 요건의 적용을 받음</w:t>
      </w:r>
    </w:p>
    <w:p>
      <w:pPr>
        <w:pStyle w:val="Heading3"/>
      </w:pPr>
      <w:r>
        <w:t>3.3 가격 발견 (Price Discovery)</w:t>
      </w:r>
    </w:p>
    <w:p>
      <w:pPr>
        <w:pStyle w:val="ListBullet"/>
      </w:pPr>
      <w:r>
        <w:t>개장 경매 및 연속 호가창을 통한 1차적 가격 발견</w:t>
      </w:r>
    </w:p>
    <w:p>
      <w:pPr>
        <w:pStyle w:val="ListBullet"/>
      </w:pPr>
      <w:r>
        <w:t>경매 단일가 체결: 최대 체결 가능 물량, 그 다음 최소 잔여 물량, 그 다음 기준가격을 타이브레이커로 적용</w:t>
      </w:r>
    </w:p>
    <w:p>
      <w:pPr>
        <w:pStyle w:val="ListBullet"/>
      </w:pPr>
      <w:r>
        <w:t>정산가격: 지수 선물의 경우 만기일 장 마감 부근의 평균 방식으로 산출 (예: CAC 40: 만기일 CET 15:40~16:00 사이 모든 지수 값의 산술평균, 소수점 둘째 자리 반올림)</w:t>
      </w:r>
    </w:p>
    <w:p>
      <w:pPr>
        <w:pStyle w:val="ListBullet"/>
      </w:pPr>
      <w:r>
        <w:t>예상가격: 경매 호가접수 단계 중 표시</w:t>
      </w:r>
    </w:p>
    <w:p>
      <w:pPr>
        <w:pStyle w:val="Heading3"/>
      </w:pPr>
      <w:r>
        <w:t>3.4 주문 우선순위 규칙 (Order Priority Rules)</w:t>
      </w:r>
    </w:p>
    <w:p>
      <w:pPr>
        <w:pStyle w:val="ListBullet"/>
      </w:pPr>
      <w:r>
        <w:t>가격-시간 우선: 모든 Euronext 파생상품의 표준 우선순위 — 최우선 가격 먼저, 그 다음 동일 가격에서 가장 빠른 시간</w:t>
      </w:r>
    </w:p>
    <w:p>
      <w:pPr>
        <w:pStyle w:val="ListBullet"/>
      </w:pPr>
      <w:r>
        <w:t>시장가 주문이 모든 가격 수준에서 지정가 주문보다 우선</w:t>
      </w:r>
    </w:p>
    <w:p>
      <w:pPr>
        <w:pStyle w:val="ListBullet"/>
      </w:pPr>
      <w:r>
        <w:t>표시 우선: 동일 가격에서 표시 수량이 아이스버그 예비 수량보다 우선</w:t>
      </w:r>
    </w:p>
    <w:p>
      <w:pPr>
        <w:pStyle w:val="ListBullet"/>
      </w:pPr>
      <w:r>
        <w:t>비례배분(Pro-rata): Euronext 파생상품에서 표준이 아님; 가격-시간 우선이 기본 체결 알고리즘 [unverified — 특정 상품에서 대안적 배분 가능]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주문 유형 (Order Types)</w:t>
      </w:r>
    </w:p>
    <w:p>
      <w:pPr>
        <w:pStyle w:val="Heading3"/>
      </w:pPr>
      <w:r>
        <w:t>4.1 표준 주문 유형 (Standard Order Types)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주문 유형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**시장가 주문**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최우선 가격에서 즉시 체결; 가격 한도 미지정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**지정가 주문**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최대 매수가/최소 매도가 지정; 미체결 수량은 호가창에 잔류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**스톱 시장가 주문**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지정 가격 도달 시 발동; 시장가 주문으로 전환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**스톱 지정가 주문**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지정 가격 도달 시 발동; 지정 가격의 지정가 주문으로 전환</w:t>
            </w:r>
          </w:p>
        </w:tc>
      </w:tr>
    </w:tbl>
    <w:p/>
    <w:p>
      <w:pPr>
        <w:pStyle w:val="Heading3"/>
      </w:pPr>
      <w:r>
        <w:t>4.2 고급 주문 유형 (Advanced Order Types)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주문 유형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**아이스버그 주문**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총 주문 물량의 일부만 호가창에 표시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**Market-to-Limit (MTL)**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시장가 주문으로 부분 체결 후 잔여 수량이 마지막 체결 가격의 지정가 주문으로 전환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**스프레드/전략 주문**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캘린더 스프레드, 스트래들, 스트랭글 등 다수 레그 전략을 단일 주문으로 제출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**개장경매전용**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개장 경매 중에만 유효; 미체결 시 취소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**마감경매전용**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마감 경매 중에만 유효</w:t>
            </w:r>
          </w:p>
        </w:tc>
      </w:tr>
    </w:tbl>
    <w:p/>
    <w:p>
      <w:pPr>
        <w:pStyle w:val="Heading3"/>
      </w:pPr>
      <w:r>
        <w:t>4.3 주문 유효조건 (Time-in-Force, TIF)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TIF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**Day**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당일 거래일에만 유효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**GTC (Good-Till-Cancelled)**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명시적으로 취소될 때까지 유효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**GTDate (Good-Till-Date)**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지정된 날짜까지 유효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**IOC (Immediate-Or-Cancel)**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가능한 한 즉시 체결; 미체결 수량 취소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**FOK (Fill-Or-Kill)**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전체 주문이 즉시 체결되거나 전체 취소</w:t>
            </w:r>
          </w:p>
        </w:tc>
      </w:tr>
    </w:tbl>
    <w:p/>
    <w:p>
      <w:pPr>
        <w:pStyle w:val="Heading3"/>
      </w:pPr>
      <w:r>
        <w:t>4.4 주문 수정 및 취소 (Order Modification &amp; Cancellation)</w:t>
      </w:r>
    </w:p>
    <w:p>
      <w:pPr>
        <w:pStyle w:val="ListBullet"/>
      </w:pPr>
      <w:r>
        <w:t>적절한 거래 단계 중 주문 수정(가격, 수량) 또는 취소 가능</w:t>
      </w:r>
    </w:p>
    <w:p>
      <w:pPr>
        <w:pStyle w:val="ListBullet"/>
      </w:pPr>
      <w:r>
        <w:t>가격 변경 또는 수량 증가 시 새로운 시간 우선순위 부여</w:t>
      </w:r>
    </w:p>
    <w:p>
      <w:pPr>
        <w:pStyle w:val="ListBullet"/>
      </w:pPr>
      <w:r>
        <w:t>수량 감소 시 기존 시간 우선순위 유지</w:t>
      </w:r>
    </w:p>
    <w:p>
      <w:pPr>
        <w:pStyle w:val="ListBullet"/>
      </w:pPr>
      <w:r>
        <w:t>단일 상품 또는 전 상품에 대한 대량 취소 기능 이용 가능</w:t>
      </w:r>
    </w:p>
    <w:p>
      <w:pPr>
        <w:pStyle w:val="ListBullet"/>
      </w:pPr>
      <w:r>
        <w:t>Self-Trade Prevention (STP) 기능으로 의도하지 않은 자기거래 방지 가능</w:t>
      </w:r>
    </w:p>
    <w:p>
      <w:r>
        <w:t>[Source: Trading Technologies, "Euronext Supported Order Types", https://library.tradingtechnologies.com/user-setup/enx-supported-order-types.html]</w:t>
      </w:r>
    </w:p>
    <w:p>
      <w:r>
        <w:t>[Source: Euronext, "Self-Trade Prevention Functional Overview", https://connect2.euronext.com/sites/default/files/it-documentation/Self-Trade%20Prevention%20Functional%20Overview%20-%20v2.0.pdf]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매매시스템 기술 — Optiq (Trading System Technology — Optiq)</w:t>
      </w:r>
    </w:p>
    <w:p>
      <w:pPr>
        <w:pStyle w:val="Heading3"/>
      </w:pPr>
      <w:r>
        <w:t>5.1 개요 (Overview)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세부사항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시스템 명칭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Optiq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개발사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Euronext (자체 개발)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아키텍처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모듈형, 파티션 기반 아키텍처; Order Entry Gateway (OEG) 및 Matching Engine (ME) 구성요소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영속성 계층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Apache Kafka 기반 Confluent Platform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프로토콜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주문 접수에 SBE (Simple Binary Encoding) 및 FIX 5.0; 시장 데이터에 UDP/IP 기반 SBE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지연시간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평균 주문 왕복 약 15마이크로초; 시장 데이터 배포 약 15마이크로초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처리량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초당 100만+ 메시지 수용 용량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지터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최소 표준편차 — 예측 가능하고 안정적인 지연시간을 위한 아키텍처 설계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자산 범위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현물 주식 및 모든 파생상품(금융, 상품, 채권)을 위한 통합 플랫폼</w:t>
            </w:r>
          </w:p>
        </w:tc>
      </w:tr>
    </w:tbl>
    <w:p/>
    <w:p>
      <w:pPr>
        <w:pStyle w:val="Heading3"/>
      </w:pPr>
      <w:r>
        <w:t>5.2 아키텍처 (Architecture)</w:t>
      </w:r>
    </w:p>
    <w:p>
      <w:pPr>
        <w:pStyle w:val="ListBullet"/>
      </w:pPr>
      <w:r>
        <w:t>모듈형 서비스 구조: 구성요소의 독립적 확장이 가능한 유연한 모듈형 설계</w:t>
      </w:r>
    </w:p>
    <w:p>
      <w:pPr>
        <w:pStyle w:val="ListBullet"/>
      </w:pPr>
      <w:r>
        <w:t>통합 메시징: 단일 플랫폼에서의 통합 현물 및 파생상품 메시징 모델</w:t>
      </w:r>
    </w:p>
    <w:p>
      <w:pPr>
        <w:pStyle w:val="ListBullet"/>
      </w:pPr>
      <w:r>
        <w:t>Order Entry Gateway (OEG): 주문 제출의 진입점; SBE 및 FIX 5.0 프로토콜 지원</w:t>
      </w:r>
    </w:p>
    <w:p>
      <w:pPr>
        <w:pStyle w:val="ListBullet"/>
      </w:pPr>
      <w:r>
        <w:t>매매체결엔진 (Matching Engine, ME): 가격-시간 우선으로 주문을 처리하는 핵심 체결 구성요소</w:t>
      </w:r>
    </w:p>
    <w:p>
      <w:pPr>
        <w:pStyle w:val="ListBullet"/>
      </w:pPr>
      <w:r>
        <w:t>Market Data Gateway (MDG): UDP 멀티캐스트 기반 SBE를 통해 실시간 시장 데이터 배포</w:t>
      </w:r>
    </w:p>
    <w:p>
      <w:pPr>
        <w:pStyle w:val="ListBullet"/>
      </w:pPr>
      <w:r>
        <w:t>Kafka 기반 영속성: Confluent Platform/Apache Kafka가 영속성 계층을 지원하여 안정적인 메시지 스트리밍 및 재생 기능 제공</w:t>
      </w:r>
    </w:p>
    <w:p>
      <w:pPr>
        <w:pStyle w:val="Heading3"/>
      </w:pPr>
      <w:r>
        <w:t>5.3 플랫폼 변천 (Platform History)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일자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연혁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2016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Optiq 개발 발표; 첫 뉴스레터 발행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2017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Euronext 현물 시장에 Optiq 가동 (단계적 전환)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2018 (6월 25일)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Euronext 파생상품 시장에 Optiq 가동 (암스테르담, 브뤼셀, 리스본, 파리) — 레거시 LIFFE CONNECT/UTP 대체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2023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Borsa Italiana 현물 주식이 Optiq으로 이관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2024 (4월 3일)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Borsa Italiana 파생상품(IDEM) — 3차이자 최종 단계 — Optiq으로 이관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지속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새로운 기능, 용량 확충, MiFID II 준수 업데이트를 포함한 정기 버전 업데이트</w:t>
            </w:r>
          </w:p>
        </w:tc>
      </w:tr>
    </w:tbl>
    <w:p/>
    <w:p>
      <w:pPr>
        <w:pStyle w:val="Heading3"/>
      </w:pPr>
      <w:r>
        <w:t>5.4 성능 하이라이트 (Performance Highlights)</w:t>
      </w:r>
    </w:p>
    <w:p>
      <w:r>
        <w:t>파생상품 가동 이후 Optiq은 140억 건 이상의 메시지와 1,880만 건의 거래를 처리하였다. 이 플랫폼은 레거시 LIFFE CONNECT 시스템 대비 지연시간을 10분의 1로 줄이고 전체 용량의 무제한 확장을 달성하였다.</w:t>
      </w:r>
    </w:p>
    <w:p>
      <w:pPr>
        <w:pStyle w:val="Heading3"/>
      </w:pPr>
      <w:r>
        <w:t>5.5 재해복구 / 업무연속성 (Disaster Recovery / Business Continuity)</w:t>
      </w:r>
    </w:p>
    <w:p>
      <w:pPr>
        <w:pStyle w:val="ListBullet"/>
      </w:pPr>
      <w:r>
        <w:t>주요 데이터센터: 이탈리아 Bergamo Aruba Global Cloud Data Centre IT3 (2022년 6월 영국 Basildon에서 이전)</w:t>
      </w:r>
    </w:p>
    <w:p>
      <w:pPr>
        <w:pStyle w:val="ListBullet"/>
      </w:pPr>
      <w:r>
        <w:t>보조/DR 시설: 세부사항 비공개 [unverified]</w:t>
      </w:r>
    </w:p>
    <w:p>
      <w:pPr>
        <w:pStyle w:val="ListBullet"/>
      </w:pPr>
      <w:r>
        <w:t>Euronext는 업무연속성 절차를 공표하고 회원사와 정기 DR 테스트를 실시</w:t>
      </w:r>
    </w:p>
    <w:p>
      <w:pPr>
        <w:pStyle w:val="ListBullet"/>
      </w:pPr>
      <w:r>
        <w:t>Bergamo 데이터센터는 전적으로 재생에너지(태양광 및 수력)로 구동된다</w:t>
      </w:r>
    </w:p>
    <w:p>
      <w:r>
        <w:t>[Source: Euronext, "Euronext introduces Optiq", https://www.euronext.com/en/about/media/euronext-press-releases/euronext-introduces-optiq-new-technology-platform-powering-cash]</w:t>
      </w:r>
    </w:p>
    <w:p>
      <w:r>
        <w:t>[Source: Confluent, "Euronext builds high-speed trading platform", https://www.confluent.io/customers/euronext/]</w:t>
      </w:r>
    </w:p>
    <w:p>
      <w:r>
        <w:t>[Source: Euronext, "Successful roll-out of Euronext Derivatives markets to Optiq", https://www.euronext.com/en/about/media/euronext-press-releases/successful-roll-out-euronext-derivatives-markets-optiq-trading]</w:t>
      </w:r>
    </w:p>
    <w:p>
      <w:r>
        <w:t>[Source: Euronext, "Data Centre migration completed", https://www.euronext.com/en/news/data-centre-migration]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시장 데이터 (Market Data)</w:t>
      </w:r>
    </w:p>
    <w:p>
      <w:pPr>
        <w:pStyle w:val="Heading3"/>
      </w:pPr>
      <w:r>
        <w:t>6.1 피드 프로토콜 (Feed Protocols)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피드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프로토콜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**Optiq MDG (Market Data Gateway)**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UDP/IP 멀티캐스트 기반 SBE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주요 실시간 시장 데이터 피드; 현물 및 파생상품에 대한 이벤트 기반 매수/매도호가/거래/통계 데이터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**Optiq MDG Lite**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UDP/IP 기반 SBE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축소된 필드셋의 경량 시장 데이터 피드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**FIX 5.0 Drop Copy**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FIX 5.0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참가자를 위한 거래 및 주문 체결 보고서</w:t>
            </w:r>
          </w:p>
        </w:tc>
      </w:tr>
    </w:tbl>
    <w:p/>
    <w:p>
      <w:pPr>
        <w:pStyle w:val="Heading3"/>
      </w:pPr>
      <w:r>
        <w:t>6.2 데이터 수준 (Data Levels)</w:t>
      </w:r>
    </w:p>
    <w:p>
      <w:pPr>
        <w:pStyle w:val="ListBullet"/>
      </w:pPr>
      <w:r>
        <w:t>Level 1 (최우선호가): 최우선 매수/매도호가, 최종 거래 가격, 거래량, 통계</w:t>
      </w:r>
    </w:p>
    <w:p>
      <w:pPr>
        <w:pStyle w:val="ListBullet"/>
      </w:pPr>
      <w:r>
        <w:t>Level 2 (전체 심도): 모든 가격 수준 및 합산 수량의 전체 호가창 심도</w:t>
      </w:r>
    </w:p>
    <w:p>
      <w:pPr>
        <w:pStyle w:val="ListBullet"/>
      </w:pPr>
      <w:r>
        <w:t>거래 데이터: 타임스탬프, 가격, 거래량이 포함된 개별 거래 보고서</w:t>
      </w:r>
    </w:p>
    <w:p>
      <w:pPr>
        <w:pStyle w:val="ListBullet"/>
      </w:pPr>
      <w:r>
        <w:t>정산가격: 계약별 일일 및 최종 정산가격 공표</w:t>
      </w:r>
    </w:p>
    <w:p>
      <w:pPr>
        <w:pStyle w:val="ListBullet"/>
      </w:pPr>
      <w:r>
        <w:t>거래량 및 미결제약정: 상품별 일일 거래량 및 미결제약정 데이터, 계좌 유형별 이용 가능</w:t>
      </w:r>
    </w:p>
    <w:p>
      <w:pPr>
        <w:pStyle w:val="Heading3"/>
      </w:pPr>
      <w:r>
        <w:t>6.3 데이터 배포 (Data Distribution)</w:t>
      </w:r>
    </w:p>
    <w:p>
      <w:pPr>
        <w:pStyle w:val="ListBullet"/>
      </w:pPr>
      <w:r>
        <w:t>직접 연결: Bergamo 데이터센터 코로케이션 또는 Point of Presence (PoP) 네트워크 연결을 통해</w:t>
      </w:r>
    </w:p>
    <w:p>
      <w:pPr>
        <w:pStyle w:val="ListBullet"/>
      </w:pPr>
      <w:r>
        <w:t>데이터 벤더: 주요 시장 데이터 벤더(Bloomberg, Refinitiv/LSEG, ICE Data Services 등)를 통해 배포</w:t>
      </w:r>
    </w:p>
    <w:p>
      <w:pPr>
        <w:pStyle w:val="ListBullet"/>
      </w:pPr>
      <w:r>
        <w:t>CME Group: Euronext 파생상품 데이터가 CME Group 데이터 서비스를 통해서도 배포</w:t>
      </w:r>
    </w:p>
    <w:p>
      <w:pPr>
        <w:pStyle w:val="ListBullet"/>
      </w:pPr>
      <w:r>
        <w:t>Euronext Data Services: Euronext 자체 데이터 사업을 통해 과거 및 실시간 데이터 상품 이용 가능</w:t>
      </w:r>
    </w:p>
    <w:p>
      <w:pPr>
        <w:pStyle w:val="Heading3"/>
      </w:pPr>
      <w:r>
        <w:t>6.4 과거 데이터 (Historical Data)</w:t>
      </w:r>
    </w:p>
    <w:p>
      <w:pPr>
        <w:pStyle w:val="ListBullet"/>
      </w:pPr>
      <w:r>
        <w:t>틱별 과거 데이터 구매 가능</w:t>
      </w:r>
    </w:p>
    <w:p>
      <w:pPr>
        <w:pStyle w:val="ListBullet"/>
      </w:pPr>
      <w:r>
        <w:t>거래량 및 미결제약정 과거 보고서 월간 공표 ("NextMonth" 파생상품 통계 보고서)</w:t>
      </w:r>
    </w:p>
    <w:p>
      <w:pPr>
        <w:pStyle w:val="ListBullet"/>
      </w:pPr>
      <w:r>
        <w:t>정산가격 아카이브는 Euronext Live 웹사이트에서 이용 가능</w:t>
      </w:r>
    </w:p>
    <w:p>
      <w:r>
        <w:t>[Source: Euronext, "Optiq MDG Messages Interface Specification", https://connect.euronext.com/sites/default/files/it-documentation/optiq-mdg-messages-interface-specification-euronext-cash-and-derivatives-markets-external-v636320.pdf]</w:t>
      </w:r>
    </w:p>
    <w:p>
      <w:r>
        <w:t>[Source: Euronext, "Derivatives Market Data", https://www.euronext.com/en/data/market-data/market-data-products/derivatives-market-data]</w:t>
      </w:r>
    </w:p>
    <w:p>
      <w:r>
        <w:t>[Source: OnixS, "Euronext Optiq MDG Feed Handler", https://www.onixs.biz/euronext-optiq-market-data-gateway-feed-handler.html]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연결성 및 접근 (Connectivity &amp; Access)</w:t>
      </w:r>
    </w:p>
    <w:p>
      <w:pPr>
        <w:pStyle w:val="Heading3"/>
      </w:pPr>
      <w:r>
        <w:t>7.1 회원 (Membership)</w:t>
      </w:r>
    </w:p>
    <w:p>
      <w:pPr>
        <w:pStyle w:val="ListBullet"/>
      </w:pPr>
      <w:r>
        <w:t>파생상품 시장 회원: 각 특정 Euronext 파생상품 시장(암스테르담, 브뤼셀, 리스본, 밀라노, 오슬로, 파리)에 대한 회원 자격 신청 필요</w:t>
      </w:r>
    </w:p>
    <w:p>
      <w:pPr>
        <w:pStyle w:val="ListBullet"/>
      </w:pPr>
      <w:r>
        <w:t>교차시장 접근: 단일 회원 자격으로 다수 Euronext 시장의 파생상품에 접근 가능</w:t>
      </w:r>
    </w:p>
    <w:p>
      <w:pPr>
        <w:pStyle w:val="ListBullet"/>
      </w:pPr>
      <w:r>
        <w:t>회원 유형: Trading Members, Clearing Members (Euronext Clearing을 통해)</w:t>
      </w:r>
    </w:p>
    <w:p>
      <w:pPr>
        <w:pStyle w:val="ListBullet"/>
      </w:pPr>
      <w:r>
        <w:t>규제 체계: 회원은 본국에서 MiFID II에 따른 허가 투자회사여야 한다</w:t>
      </w:r>
    </w:p>
    <w:p>
      <w:pPr>
        <w:pStyle w:val="Heading3"/>
      </w:pPr>
      <w:r>
        <w:t>7.2 연결 방식 (Connection Methods)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방식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**코로케이션**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이탈리아 Bergamo Euronext 주요 데이터센터 내 직접 코로케이션; 최저지연 접속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**Proximity Hosting**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Bergamo 데이터센터 내 고객 거래 인프라를 위한 랙 공간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**Points of Presence (PoP)**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원격 연결을 위한 주요 금융 중심지의 네트워크 접근 거점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**Data Centre Carriers**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Bergamo까지 직접 고속 연결을 제공하는 제3자 네트워크 공급자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**마이크로웨이브 연결**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초저지연 연결을 위해 Bergamo 데이터센터 옥상의 위성 안테나를 통해 이용 가능</w:t>
            </w:r>
          </w:p>
        </w:tc>
      </w:tr>
    </w:tbl>
    <w:p/>
    <w:p>
      <w:pPr>
        <w:pStyle w:val="Heading3"/>
      </w:pPr>
      <w:r>
        <w:t>7.3 API 프로토콜 (API Protocols)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프로토콜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용도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**SBE (Simple Binary Encoding)**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주문 접수 및 시장 데이터를 위한 주요 고성능 프로토콜; 초저지연 처리를 위한 고정위치, 고정길이 필드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**FIX 5.0**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주문 접수를 위한 표준 FIX 프로토콜; RiskGuard 사전거래 리스크 관리 API에도 사용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**Optiq MDG**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시장 데이터 배포 프로토콜 (UDP 멀티캐스트 기반 SBE)</w:t>
            </w:r>
          </w:p>
        </w:tc>
      </w:tr>
    </w:tbl>
    <w:p/>
    <w:p>
      <w:pPr>
        <w:pStyle w:val="Heading3"/>
      </w:pPr>
      <w:r>
        <w:t>7.4 인증 및 테스트 (Certification &amp; Testing)</w:t>
      </w:r>
    </w:p>
    <w:p>
      <w:pPr>
        <w:pStyle w:val="ListBullet"/>
      </w:pPr>
      <w:r>
        <w:t>회원은 운영 접속 전 적합성 테스트를 통과해야 한다</w:t>
      </w:r>
    </w:p>
    <w:p>
      <w:pPr>
        <w:pStyle w:val="ListBullet"/>
      </w:pPr>
      <w:r>
        <w:t>Euronext는 Customer Development Environment (CDE) / External User Acceptance Testing (EUA) 환경을 제공</w:t>
      </w:r>
    </w:p>
    <w:p>
      <w:pPr>
        <w:pStyle w:val="ListBullet"/>
      </w:pPr>
      <w:r>
        <w:t>SBE 및 FIX 연결에 대해 별도 인증 필요</w:t>
      </w:r>
    </w:p>
    <w:p>
      <w:pPr>
        <w:pStyle w:val="ListBullet"/>
      </w:pPr>
      <w:r>
        <w:t>플랫폼 릴리스 전 정기적 이관/업그레이드 테스트 기간 제공</w:t>
      </w:r>
    </w:p>
    <w:p>
      <w:r>
        <w:t>[Source: Euronext, "Infrastructure and Connectivity", https://www.euronext.com/en/technology/infrastructure-and-connectivity]</w:t>
      </w:r>
    </w:p>
    <w:p>
      <w:r>
        <w:t>[Source: Euronext, "Euronext Data Centre", https://www.euronext.com/en/technology/euronext-data-centre]</w:t>
      </w:r>
    </w:p>
    <w:p>
      <w:r>
        <w:t>[Source: Euronext, "Data Centre Carriers", https://www.euronext.com/en/products-services/data-centre-carriers]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리스크 관리 및 서킷브레이커 (Risk Controls &amp; Circuit Breakers)</w:t>
      </w:r>
    </w:p>
    <w:p>
      <w:pPr>
        <w:pStyle w:val="Heading3"/>
      </w:pPr>
      <w:r>
        <w:t>8.1 거래 안전장치 철학 (Trading Safeguards Philosophy)</w:t>
      </w:r>
    </w:p>
    <w:p>
      <w:r>
        <w:t>Euronext의 접근방식은 극단적 상황에서만 거래를 중단하는 것으로, 서킷브레이커 (매매거래중단)만이 아닌 종합적인 거래 안전장치에 의존한다. 그 철학은 이상 이벤트를 탐지하고 무질서한 시장을 방지하면서 연속 거래를 극대화하는 것이다.</w:t>
      </w:r>
    </w:p>
    <w:p>
      <w:pPr>
        <w:pStyle w:val="Heading3"/>
      </w:pPr>
      <w:r>
        <w:t>8.2 가격밴드 메커니즘 (Price Collar Mechanisms)</w:t>
      </w:r>
    </w:p>
    <w:p>
      <w:pPr>
        <w:pStyle w:val="ListBullet"/>
      </w:pPr>
      <w:r>
        <w:t>동적 밴드(Dynamic Collar): 동적 기준가격(최종 거래 가격)을 기반으로 함; 가장 최근 거래 주변의 허용 가격 범위를 정의. 동적 기준가격은 각 거래 후 갱신</w:t>
      </w:r>
    </w:p>
    <w:p>
      <w:pPr>
        <w:pStyle w:val="ListBullet"/>
      </w:pPr>
      <w:r>
        <w:t>정적 밴드(Static Collar): 정적 기준가격(통상 전일 종가 또는 개장 경매 가격)을 기반으로 함; 더 넓은 허용 가격 범위를 정의. 정적 기준은 Euronext 시장운영부가 수동으로 변경하지 않는 한 고정</w:t>
      </w:r>
    </w:p>
    <w:p>
      <w:pPr>
        <w:pStyle w:val="ListBullet"/>
      </w:pPr>
      <w:r>
        <w:t>예약 기간(Reservation Period): 잠재적 거래 가격이 밴드를 이탈할 때 거래가 예약 기간(변동성 중단)에 진입 — 사실상 장중 경매. 재개 전 시장 참가자에게 주문 검토 시간을 부여</w:t>
      </w:r>
    </w:p>
    <w:p>
      <w:pPr>
        <w:pStyle w:val="ListBullet"/>
      </w:pPr>
      <w:r>
        <w:t>Trade Price Validation (TPV): 파생상품 시장을 위한 추가 안전장치 계층; 비정상 거래를 방지하기 위해 체결 전 거래 가격을 검증</w:t>
      </w:r>
    </w:p>
    <w:p>
      <w:pPr>
        <w:pStyle w:val="Heading3"/>
      </w:pPr>
      <w:r>
        <w:t>8.3 사전거래 리스크 관리 — Euronext RiskGuard (Pre-Trade Risk Controls — Euronext RiskGuard)</w:t>
      </w:r>
    </w:p>
    <w:p>
      <w:r>
        <w:t>Euronext RiskGuard는 파생상품(및 현물) 시장을 위한 사전거래 리스크 관리 서비스로, FIX 5.0 API 및 웹 기반 GUI를 통해 이용 가능하다: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관리 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**주문 수량 한도**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주문당 최대 계약 수; 신규 주문, 수정, 호가에 적용; 한도 초과 주문은 거부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**최대 주문 수량**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계약별 매수 및/또는 매도 주문 한도, 회원 또는 트레이더 그룹별 설정 가능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**일일 최대 익스포저 포지션**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한도 근접 또는 초과 시 이메일 경고를 동반한 포지션 모니터링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**Kill Switch**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청산회원이 거래회사의 모든 거래 활동을 즉시 중단 가능; 모든 미체결 주문 및 호가가 회수됨; 청산회원이 명시적으로 복원할 때까지 신규 주문 거부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**Self-Trade Prevention (STP)**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동일 회원/트레이더 간 의도하지 않은 체결 방지</w:t>
            </w:r>
          </w:p>
        </w:tc>
      </w:tr>
    </w:tbl>
    <w:p/>
    <w:p>
      <w:r>
        <w:t>적용 범위: RiskGuard 관리는 금융 및 상품 파생상품 시장에 적용된다. 델타중립 거래, RFC, 도매 거래는 특정 관리에서 제외된다.</w:t>
      </w:r>
    </w:p>
    <w:p>
      <w:r>
        <w:t>[Source: Euronext, "Trading safeguards on the Euronext markets", https://www.euronext.com/en/trading/market-quality/trading-safeguards-euronext-markets]</w:t>
      </w:r>
    </w:p>
    <w:p>
      <w:r>
        <w:t>[Source: Euronext, "Euronext RiskGuard Service General Overview", February 2019, https://www.euronext.com/sites/default/files/2019-04/euronext_riskguard_service_general_overview_feb_2019_0.pdf]</w:t>
      </w:r>
    </w:p>
    <w:p>
      <w:r>
        <w:t>[Source: Euronext, "Euronext RiskGuard", https://www.euronext.com/en/trading/trading-services/riskguard]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규제 체계 (Regulatory Framework)</w:t>
      </w:r>
    </w:p>
    <w:p>
      <w:pPr>
        <w:pStyle w:val="Heading3"/>
      </w:pPr>
      <w:r>
        <w:t>9.1 Euronext 감독기관 협의체 (College of Euronext Regulators)</w:t>
      </w:r>
    </w:p>
    <w:p>
      <w:r>
        <w:t>Euronext의 고유한 다관할권 구조는 양해각서(MoU)를 통해 설립된 Euronext 감독기관 협의체(College of Euronext Regulators)가 감독한다. 이 협의체는 모든 Euronext 시장에 걸쳐 감독을 조율한다: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감독기관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관할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시장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**AMF** (Autorite des Marches Financiers)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프랑스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Euronext Paris, MATIF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**AFM** (Autoriteit Financiele Markten)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네덜란드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Euronext Amsterdam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**FSMA** (Financial Services and Markets Authority)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벨기에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Euronext Brussels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**CMVM** (Comissao do Mercado de Valores Mobiliarios)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포르투갈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Euronext Lisbon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**CONSOB** (Commissione Nazionale per le Societa e la Borsa)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이탈리아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Euronext Milan / Borsa Italiana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**Finanstilsynet**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노르웨이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Euronext Oslo / Oslo Bors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**CBI** (Central Bank of Ireland)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아일랜드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Euronext Dublin</w:t>
            </w:r>
          </w:p>
        </w:tc>
      </w:tr>
    </w:tbl>
    <w:p/>
    <w:p>
      <w:pPr>
        <w:pStyle w:val="Heading3"/>
      </w:pPr>
      <w:r>
        <w:t>9.2 주요 규정 (Key Regulations)</w:t>
      </w:r>
    </w:p>
    <w:p>
      <w:pPr>
        <w:pStyle w:val="ListBullet"/>
      </w:pPr>
      <w:r>
        <w:t>MiFID II / MiFIR: Euronext 파생상품 시장은 MiFID II에 따른 규제시장(Regulated Markets)이다. 주요 영향:</w:t>
      </w:r>
    </w:p>
    <w:p>
      <w:pPr>
        <w:pStyle w:val="ListBullet"/>
      </w:pPr>
      <w:r>
        <w:t>파생상품에 대한 거래 전후 투명성 요건</w:t>
      </w:r>
    </w:p>
    <w:p>
      <w:pPr>
        <w:pStyle w:val="ListBullet"/>
      </w:pPr>
      <w:r>
        <w:t>상품 파생상품에 대한 포지션한도 (건옥제한) (ESMA 조율 하 국가 감독기관이 설정)</w:t>
      </w:r>
    </w:p>
    <w:p>
      <w:pPr>
        <w:pStyle w:val="ListBullet"/>
      </w:pPr>
      <w:r>
        <w:t>거래 보고 의무</w:t>
      </w:r>
    </w:p>
    <w:p>
      <w:pPr>
        <w:pStyle w:val="ListBullet"/>
      </w:pPr>
      <w:r>
        <w:t>알고리즘 거래 요건 (스트레스 상황에서의 시장조성 (마켓메이킹) 의무 포함)</w:t>
      </w:r>
    </w:p>
    <w:p>
      <w:pPr>
        <w:pStyle w:val="ListBullet"/>
      </w:pPr>
      <w:r>
        <w:t>최선집행 의무</w:t>
      </w:r>
    </w:p>
    <w:p>
      <w:pPr>
        <w:pStyle w:val="ListBullet"/>
      </w:pPr>
      <w:r>
        <w:t>EMIR (European Market Infrastructure Regulation): CCP 감독 규율 (ESMA 조율 하 CONSOB이 Euronext Clearing 감독); 특정 장외 파생상품에 대한 중앙청산 의무화</w:t>
      </w:r>
    </w:p>
    <w:p>
      <w:pPr>
        <w:pStyle w:val="ListBullet"/>
      </w:pPr>
      <w:r>
        <w:t>MAR (Market Abuse Regulation): 내부자 거래 및 시세조종 금지; Euronext가 시장감시 시스템 운영</w:t>
      </w:r>
    </w:p>
    <w:p>
      <w:pPr>
        <w:pStyle w:val="ListBullet"/>
      </w:pPr>
      <w:r>
        <w:t>Benchmark Regulation (BMR): 파생상품 기초자산으로 사용되는 지수에 적용</w:t>
      </w:r>
    </w:p>
    <w:p>
      <w:pPr>
        <w:pStyle w:val="Heading3"/>
      </w:pPr>
      <w:r>
        <w:t>9.3 감시 및 보고 (Surveillance &amp; Reporting)</w:t>
      </w:r>
    </w:p>
    <w:p>
      <w:pPr>
        <w:pStyle w:val="ListBullet"/>
      </w:pPr>
      <w:r>
        <w:t>Euronext는 모든 시장에 걸쳐 실시간 시장감시를 운영</w:t>
      </w:r>
    </w:p>
    <w:p>
      <w:pPr>
        <w:pStyle w:val="ListBullet"/>
      </w:pPr>
      <w:r>
        <w:t>Euronext ARM (Approved Reporting Mechanism) 서비스를 통해 국가 감독기관에 거래 보고</w:t>
      </w:r>
    </w:p>
    <w:p>
      <w:pPr>
        <w:pStyle w:val="ListBullet"/>
      </w:pPr>
      <w:r>
        <w:t>Euronext APA (Approved Publication Arrangement)를 통한 MiFID II 거래 후 투명성 보고</w:t>
      </w:r>
    </w:p>
    <w:p>
      <w:pPr>
        <w:pStyle w:val="ListBullet"/>
      </w:pPr>
      <w:r>
        <w:t>감독기관에 의심 거래 및 주문 보고서(STORs) 제출</w:t>
      </w:r>
    </w:p>
    <w:p>
      <w:pPr>
        <w:pStyle w:val="Heading3"/>
      </w:pPr>
      <w:r>
        <w:t>9.4 국경간 조율 (Cross-Border Coordination)</w:t>
      </w:r>
    </w:p>
    <w:p>
      <w:pPr>
        <w:pStyle w:val="ListBullet"/>
      </w:pPr>
      <w:r>
        <w:t>감독기관 협의체가 Euronext의 7개 시장에 걸쳐 일관된 규칙 적용을 보장</w:t>
      </w:r>
    </w:p>
    <w:p>
      <w:pPr>
        <w:pStyle w:val="ListBullet"/>
      </w:pPr>
      <w:r>
        <w:t>Euronext Rule Book (통합 규칙)이 일률적으로 적용; 각 국가 시장별 특별 규칙이 보완</w:t>
      </w:r>
    </w:p>
    <w:p>
      <w:pPr>
        <w:pStyle w:val="ListBullet"/>
      </w:pPr>
      <w:r>
        <w:t>시장 간 단일 운영 체계가 국경간 거래 및 청산을 촉진</w:t>
      </w:r>
    </w:p>
    <w:p>
      <w:r>
        <w:t>[Source: Euronext, "Regulation", https://www.euronext.com/en/regulation]</w:t>
      </w:r>
    </w:p>
    <w:p>
      <w:r>
        <w:t>[Source: Euronext, "Regulatory bodies", https://www.euronext.com/en/trade/join-euronext/regulatory-framework]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10. 수수료 및 수익 모델 (Fees &amp; Revenue Model)</w:t>
      </w:r>
    </w:p>
    <w:p>
      <w:pPr>
        <w:pStyle w:val="Heading3"/>
      </w:pPr>
      <w:r>
        <w:t>10.1 거래 수수료 (Trading Fees)</w:t>
      </w:r>
    </w:p>
    <w:p>
      <w:r>
        <w:t>Euronext는 상세한 "파생상품 시장 회원 거래 수수료 가이드"를 정기적으로 공표한다 (가장 최근: 2026년 3월 1일 시행). 주요 수수료 구조:</w:t>
      </w:r>
    </w:p>
    <w:p>
      <w:pPr>
        <w:pStyle w:val="ListBullet"/>
      </w:pPr>
      <w:r>
        <w:t>계약당 거래 수수료: 체결된 로트당 부과; 상품군(지수 선물/옵션, 개별주식 옵션, 상품 선물/옵션)별로 요율 상이</w:t>
      </w:r>
    </w:p>
    <w:p>
      <w:pPr>
        <w:pStyle w:val="ListBullet"/>
      </w:pPr>
      <w:r>
        <w:t>시장조성자 (마켓메이커) 환급: 시장조성 의무를 이행하는 회원에 대한 수수료 인하 또는 환급</w:t>
      </w:r>
    </w:p>
    <w:p>
      <w:pPr>
        <w:pStyle w:val="ListBullet"/>
      </w:pPr>
      <w:r>
        <w:t>도매 거래 수수료: TCS (Trade Confirmation System) 및 RFC (Request for Cross) 거래에 대한 별도 수수료 일정</w:t>
      </w:r>
    </w:p>
    <w:p>
      <w:pPr>
        <w:pStyle w:val="ListBullet"/>
      </w:pPr>
      <w:r>
        <w:t>회원 수수료: 연간 회원 수수료; 연중 가입 회원에 대한 일할 수수료 EUR 10,125 (2026년 요율)</w:t>
      </w:r>
    </w:p>
    <w:p>
      <w:r>
        <w:t>[Source: Euronext, "Trading fees and charges", https://www.euronext.com/en/trading/fees-charges]</w:t>
      </w:r>
    </w:p>
    <w:p>
      <w:r>
        <w:t>[Source: Euronext, "Derivatives Markets Trading Fee Guide effective 01 March 2026", https://www.euronext.com/sites/default/files/2026-02/euronext_derivatives_markets_trading_fee_guide_effective_01mar2026.pdf]</w:t>
      </w:r>
    </w:p>
    <w:p>
      <w:pPr>
        <w:pStyle w:val="Heading3"/>
      </w:pPr>
      <w:r>
        <w:t>10.2 청산 수수료 (Clearing Fees)</w:t>
      </w:r>
    </w:p>
    <w:p>
      <w:pPr>
        <w:pStyle w:val="ListBullet"/>
      </w:pPr>
      <w:r>
        <w:t>Euronext Clearing은 계약당 청산 수수료를 부과 (거래 수수료와 별도)</w:t>
      </w:r>
    </w:p>
    <w:p>
      <w:pPr>
        <w:pStyle w:val="ListBullet"/>
      </w:pPr>
      <w:r>
        <w:t>청산 수익은 2024년 EUR 1억 4,430만 (전년 대비 19.0% 증가)으로, Euronext Clearing의 파생상품 확장을 반영</w:t>
      </w:r>
    </w:p>
    <w:p>
      <w:pPr>
        <w:pStyle w:val="ListBullet"/>
      </w:pPr>
      <w:r>
        <w:t>수수료 구조에는 개시증거금 이자, 손해배상기금 출연금, 청산 서비스 수수료가 포함</w:t>
      </w:r>
    </w:p>
    <w:p>
      <w:pPr>
        <w:pStyle w:val="Heading3"/>
      </w:pPr>
      <w:r>
        <w:t>10.3 시장 데이터 수수료 (Market Data Fees)</w:t>
      </w:r>
    </w:p>
    <w:p>
      <w:pPr>
        <w:pStyle w:val="ListBullet"/>
      </w:pPr>
      <w:r>
        <w:t>직접 접속 수수료: 계약 당사자별 정보 상품별 적용; 직접 접속이 있는 Trading Members에 대해서는 면제</w:t>
      </w:r>
    </w:p>
    <w:p>
      <w:pPr>
        <w:pStyle w:val="ListBullet"/>
      </w:pPr>
      <w:r>
        <w:t>실시간 데이터: 연결 유형(코로케이션, PoP, 벤더 재배포)에 따른 계층별 가격 체계</w:t>
      </w:r>
    </w:p>
    <w:p>
      <w:pPr>
        <w:pStyle w:val="ListBullet"/>
      </w:pPr>
      <w:r>
        <w:t>과거 데이터: 틱 데이터, 거래량/미결제약정 데이터, 정산가격에 대해 별도 가격의 데이터 상품</w:t>
      </w:r>
    </w:p>
    <w:p>
      <w:pPr>
        <w:pStyle w:val="ListBullet"/>
      </w:pPr>
      <w:r>
        <w:t>Euronext Information Product Fee Schedule에 공표 (2026년 1월 갱신)</w:t>
      </w:r>
    </w:p>
    <w:p>
      <w:r>
        <w:t>[Source: Euronext, "Market Data Fees and Policies", https://www.euronext.com/en/data/real-time-data/pricing-specs-agreements/market-data-pricing-policies]</w:t>
      </w:r>
    </w:p>
    <w:p>
      <w:pPr>
        <w:pStyle w:val="Heading3"/>
      </w:pPr>
      <w:r>
        <w:t>10.4 코로케이션 및 연결 수수료 (Co-location &amp; Connectivity Fees)</w:t>
      </w:r>
    </w:p>
    <w:p>
      <w:pPr>
        <w:pStyle w:val="ListBullet"/>
      </w:pPr>
      <w:r>
        <w:t>Bergamo 데이터센터 코로케이션 랙 공간 (세부 가격 비공개)</w:t>
      </w:r>
    </w:p>
    <w:p>
      <w:pPr>
        <w:pStyle w:val="ListBullet"/>
      </w:pPr>
      <w:r>
        <w:t>크로스커넥트 및 PoP 접근을 위한 네트워크 연결 수수료</w:t>
      </w:r>
    </w:p>
    <w:p>
      <w:pPr>
        <w:pStyle w:val="ListBullet"/>
      </w:pPr>
      <w:r>
        <w:t>마이크로웨이브 연결 이용 가능 (프리미엄 가격) [unverified]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11. 최근 동향 (Recent Developments)</w:t>
      </w:r>
    </w:p>
    <w:p>
      <w:pPr>
        <w:pStyle w:val="Heading3"/>
      </w:pPr>
      <w:r>
        <w:t>11.1 Euronext Clearing 이관 (2023-2024)</w:t>
      </w:r>
    </w:p>
    <w:p>
      <w:r>
        <w:t>가장 혁신적인 최근 동향은 파생상품 청산의 LCH SA에서 Euronext Clearing(구 CC&amp;G)으로의 이관이다:</w:t>
      </w:r>
    </w:p>
    <w:p>
      <w:pPr>
        <w:pStyle w:val="ListBullet"/>
      </w:pPr>
      <w:r>
        <w:t>2023년 11월: 현물 주식 청산이 Euronext Clearing으로 이관</w:t>
      </w:r>
    </w:p>
    <w:p>
      <w:pPr>
        <w:pStyle w:val="ListBullet"/>
      </w:pPr>
      <w:r>
        <w:t>2024년 7월 15일: 상품 파생상품 청산 이관</w:t>
      </w:r>
    </w:p>
    <w:p>
      <w:pPr>
        <w:pStyle w:val="ListBullet"/>
      </w:pPr>
      <w:r>
        <w:t>2024년 9월 9일: 모든 Euronext 금융 파생상품(CAC 40, AEX 선물, 지수 옵션, 개별주식 옵션 포함)이 Euronext Clearing으로 이관 — LCH SA로부터의 전면 전환 완료</w:t>
      </w:r>
    </w:p>
    <w:p>
      <w:pPr>
        <w:pStyle w:val="ListBullet"/>
      </w:pPr>
      <w:r>
        <w:t>주요 이점: VaR 기반 방법론과 통합 주식/파생상품 손해배상기금을 통한 교차증거금으로 약 20% 증거금 효율성 달성</w:t>
      </w:r>
    </w:p>
    <w:p>
      <w:pPr>
        <w:pStyle w:val="ListBullet"/>
      </w:pPr>
      <w:r>
        <w:t>전략적 의의: Euronext가 이제 거래 및 청산 인프라 전체를 엔드투엔드로 통제하여 청산 수익을 내재화</w:t>
      </w:r>
    </w:p>
    <w:p>
      <w:r>
        <w:t>[Source: Euronext, "Successful expansion of Euronext Clearing to all Euronext financial derivatives", September 2024, https://www.euronext.com/en/about/media/euronext-press-releases/successful-expansion-euronext-clearing-all-euronext-financial]</w:t>
      </w:r>
    </w:p>
    <w:p>
      <w:r>
        <w:t>[Source: FOW, "Euronext reflects on landmark clearing migration from LCH", https://www.fow.com/insights/3702151-analysis-euronext-reflects-on-landmark-clearing-migration-from-lch]</w:t>
      </w:r>
    </w:p>
    <w:p>
      <w:pPr>
        <w:pStyle w:val="Heading3"/>
      </w:pPr>
      <w:r>
        <w:t>11.2 Borsa Italiana 파생상품의 Optiq 이관 (2024)</w:t>
      </w:r>
    </w:p>
    <w:p>
      <w:pPr>
        <w:pStyle w:val="ListBullet"/>
      </w:pPr>
      <w:r>
        <w:t>2024년 4월 3일, Borsa Italiana의 파생상품 시장(IDEM)이 Optiq으로의 이관을 완료 — Borsa Italiana 플랫폼 이관의 3차이자 최종 단계</w:t>
      </w:r>
    </w:p>
    <w:p>
      <w:pPr>
        <w:pStyle w:val="ListBullet"/>
      </w:pPr>
      <w:r>
        <w:t>Borsa Italiana Group 인수 후 3년 미만에 달성</w:t>
      </w:r>
    </w:p>
    <w:p>
      <w:pPr>
        <w:pStyle w:val="ListBullet"/>
      </w:pPr>
      <w:r>
        <w:t>모든 Euronext 파생상품이 이제 단일 통합 플랫폼(Optiq)에서 거래</w:t>
      </w:r>
    </w:p>
    <w:p>
      <w:r>
        <w:t>[Source: Euronext, "Successful completion of the migration of Borsa Italiana to the Optiq trading platform", https://www.euronext.com/en/about/media/euronext-press-releases/successful-completion-migration-borsa-italiana-optiqr-trading]</w:t>
      </w:r>
    </w:p>
    <w:p>
      <w:pPr>
        <w:pStyle w:val="Heading3"/>
      </w:pPr>
      <w:r>
        <w:t>11.3 신상품 출시 (New Product Launches)</w:t>
      </w:r>
    </w:p>
    <w:p>
      <w:pPr>
        <w:pStyle w:val="ListBullet"/>
      </w:pPr>
      <w:r>
        <w:t>2025년 9월: 채권 파생상품 출시 — 유럽 국채에 대한 최초의 미니 현금결제 선물(BTP 10Y/30Y, OAT, Bund, Bono), Euronext Derivatives Milan</w:t>
      </w:r>
    </w:p>
    <w:p>
      <w:pPr>
        <w:pStyle w:val="ListBullet"/>
      </w:pPr>
      <w:r>
        <w:t>2025년 5월: 프랑스 및 네덜란드 기초자산 미니 개별주식 옵션</w:t>
      </w:r>
    </w:p>
    <w:p>
      <w:pPr>
        <w:pStyle w:val="ListBullet"/>
      </w:pPr>
      <w:r>
        <w:t>2025년 9월: 최초의 미니 현금결제 선물</w:t>
      </w:r>
    </w:p>
    <w:p>
      <w:pPr>
        <w:pStyle w:val="ListBullet"/>
      </w:pPr>
      <w:r>
        <w:t>2026년 3월: 미니 ETF 옵션</w:t>
      </w:r>
    </w:p>
    <w:p>
      <w:pPr>
        <w:pStyle w:val="ListBullet"/>
      </w:pPr>
      <w:r>
        <w:t>진행 중: 독일, 아일랜드, 포르투갈 등에서의 신규 개별주식 옵션을 분기별로 추가</w:t>
      </w:r>
    </w:p>
    <w:p>
      <w:pPr>
        <w:pStyle w:val="ListBullet"/>
      </w:pPr>
      <w:r>
        <w:t>개인 투자자 파생상품 전략: Euronext는 개인 투자자 참여를 목표로 유럽 개인 투자자 파생상품 거래소로의 도약을 추진</w:t>
      </w:r>
    </w:p>
    <w:p>
      <w:r>
        <w:t>[Source: Euronext, "Euronext launches an innovative suite of fixed income derivatives", February 2025, https://www.euronext.com/en/about/media/euronext-press-releases/euronext-launches-innovative-suite-fixed-income-derivatives]</w:t>
      </w:r>
    </w:p>
    <w:p>
      <w:r>
        <w:t>[Source: Markets Media, "Euronext Aims to Become European Retail Exchange for Derivatives", https://www.marketsmedia.com/euronext-aims-to-become-european-retail-exchange-for-derivatives/]</w:t>
      </w:r>
    </w:p>
    <w:p>
      <w:pPr>
        <w:pStyle w:val="Heading3"/>
      </w:pPr>
      <w:r>
        <w:t>11.4 전략적 이니셔티브 (Strategic Initiatives)</w:t>
      </w:r>
    </w:p>
    <w:p>
      <w:pPr>
        <w:pStyle w:val="ListBullet"/>
      </w:pPr>
      <w:r>
        <w:t>Euronext Clearing 확장: 이관 후 교차증거금 활용 및 신규 청산회원 유치에 집중</w:t>
      </w:r>
    </w:p>
    <w:p>
      <w:pPr>
        <w:pStyle w:val="ListBullet"/>
      </w:pPr>
      <w:r>
        <w:t>채권 파생상품 성장: 유럽 국채 파생상품 프랜차이즈 구축을 위한 다년 이니셔티브</w:t>
      </w:r>
    </w:p>
    <w:p>
      <w:pPr>
        <w:pStyle w:val="ListBullet"/>
      </w:pPr>
      <w:r>
        <w:t>레포 확장: 이탈리아 레포 상품을 유럽 전역으로 확장하는 다년 Repo Expansion Initiative의 1단계</w:t>
      </w:r>
    </w:p>
    <w:p>
      <w:pPr>
        <w:pStyle w:val="ListBullet"/>
      </w:pPr>
      <w:r>
        <w:t>Nasdaq Nordic 전력 선물 인수: 유럽 에너지 시장에서의 리더십 강화</w:t>
      </w:r>
    </w:p>
    <w:p>
      <w:pPr>
        <w:pStyle w:val="ListBullet"/>
      </w:pPr>
      <w:r>
        <w:t>기술 플랫폼 라이선싱: Optiq을 다른 거래소 및 거래장 운영자를 위한 기술 솔루션으로 제공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파생상품 전용 섹션 (Derivatives-Specific Sections)</w:t>
      </w:r>
    </w:p>
    <w:p>
      <w:pPr>
        <w:pStyle w:val="Heading3"/>
      </w:pPr>
      <w:r>
        <w:t>D1. 상품 목록 (Product Catalog)</w:t>
      </w:r>
    </w:p>
    <w:p>
      <w:pPr>
        <w:pStyle w:val="Heading4"/>
      </w:pPr>
      <w:r>
        <w:t>주가지수 파생상품 (Equity Index Derivatives)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/>
            <w:r>
              <w:rPr>
                <w:b/>
                <w:sz w:val="18"/>
              </w:rPr>
              <w:t>지수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선물 코드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옵션 코드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시장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계약 단위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CAC 40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FCE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PXA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파리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지수포인트당 EUR 10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AEX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FTI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AEX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암스테르담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지수포인트당 EUR 200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FTSE MIB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FIB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MIB (MIBO)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밀라노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지수포인트당 EUR 5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FTSE MIB Mini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MIN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--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밀라노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지수포인트당 EUR 1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FTSE MIB Micro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MICR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--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밀라노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지수포인트당 EUR 0.20 [unverified]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BEL 20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BEL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BXO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브뤼셀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지수포인트당 EUR 5 [unverified]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PSI 20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PSI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--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리스본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지수포인트당 EUR 1 [unverified]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OBX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OBX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--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오슬로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지수포인트당 NOK 100 [unverified]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ISEQ 20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FES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--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더블린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지수포인트당 EUR 10 [unverified]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CAC 40 ESG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--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--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파리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지수포인트당 EUR 10 [unverified]</w:t>
            </w:r>
          </w:p>
        </w:tc>
      </w:tr>
    </w:tbl>
    <w:p/>
    <w:p>
      <w:r>
        <w:t>추가 상품:</w:t>
      </w:r>
    </w:p>
    <w:p>
      <w:pPr>
        <w:pStyle w:val="ListBullet"/>
      </w:pPr>
      <w:r>
        <w:t>AEX Daily Options (7th), AEX Weekly Options</w:t>
      </w:r>
    </w:p>
    <w:p>
      <w:pPr>
        <w:pStyle w:val="ListBullet"/>
      </w:pPr>
      <w:r>
        <w:t>CAC 40 Weekly Options</w:t>
      </w:r>
    </w:p>
    <w:p>
      <w:pPr>
        <w:pStyle w:val="ListBullet"/>
      </w:pPr>
      <w:r>
        <w:t>FTSE MIB, CAC 40, AEX에 대한 Total Return Futures</w:t>
      </w:r>
    </w:p>
    <w:p>
      <w:pPr>
        <w:pStyle w:val="ListBullet"/>
      </w:pPr>
      <w:r>
        <w:t>배당지수 선물 (CAC 40, AEX, FTSE MIB)</w:t>
      </w:r>
    </w:p>
    <w:p>
      <w:pPr>
        <w:pStyle w:val="Heading4"/>
      </w:pPr>
      <w:r>
        <w:t>개별주식 파생상품 (Single Stock Derivatives)</w:t>
      </w:r>
    </w:p>
    <w:p>
      <w:pPr>
        <w:pStyle w:val="ListBullet"/>
      </w:pPr>
      <w:r>
        <w:t>모든 Euronext 시장에 걸쳐 개별 주식에 대한 옵션 및 선물</w:t>
      </w:r>
    </w:p>
    <w:p>
      <w:pPr>
        <w:pStyle w:val="ListBullet"/>
      </w:pPr>
      <w:r>
        <w:t>프랑스(CAC 40 구성종목), 네덜란드(AEX 구성종목), 벨기에, 이탈리아(FTSE MIB 구성종목), 노르웨이, 포르투갈, 아일랜드, 독일 기초자산 포함</w:t>
      </w:r>
    </w:p>
    <w:p>
      <w:pPr>
        <w:pStyle w:val="ListBullet"/>
      </w:pPr>
      <w:r>
        <w:t>일부 프랑스 및 네덜란드 종목에 대한 미니 개별주식 옵션 이용 가능 (2025년 5월~)</w:t>
      </w:r>
    </w:p>
    <w:p>
      <w:pPr>
        <w:pStyle w:val="Heading4"/>
      </w:pPr>
      <w:r>
        <w:t>상품 파생상품 (Commodity Derivatives)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/>
            <w:r>
              <w:rPr>
                <w:b/>
                <w:sz w:val="18"/>
              </w:rPr>
              <w:t>상품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코드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시장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계약 단위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결제 방식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제분용 밀 No. 2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EBM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파리 (MATIF)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50톤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실물 인수도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유채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ECO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파리 (MATIF)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50톤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실물 인수도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옥수수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EMA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파리 (MATIF)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50톤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실물 인수도</w:t>
            </w:r>
          </w:p>
        </w:tc>
      </w:tr>
    </w:tbl>
    <w:p/>
    <w:p>
      <w:r>
        <w:t>참고: 제분용 밀은 Euronext의 대표 상품 계약이자 유럽 밀 가격 벤치마크이다. 계약월: 9월, 12월, 3월, 5월. 만기는 통상 계약월 10일.</w:t>
      </w:r>
    </w:p>
    <w:p>
      <w:pPr>
        <w:pStyle w:val="Heading4"/>
      </w:pPr>
      <w:r>
        <w:t>채권 파생상품 (2025년 9월 출시)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상품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시장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결제 방식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Mini BTP Futures (이탈리아 10Y)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밀라노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현금결제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최초의 미니 현금결제 국채 선물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Mini BTP Futures (이탈리아 30Y)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밀라노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현금결제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장기 이탈리아 국채 익스포저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Mini OAT Futures (프랑스)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밀라노/파리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현금결제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프랑스 국채 선물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Mini Bund Futures (독일)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밀라노/파리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현금결제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독일 국채 선물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Mini Bono Futures (스페인)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밀라노/파리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현금결제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스페인 국채 선물</w:t>
            </w:r>
          </w:p>
        </w:tc>
      </w:tr>
    </w:tbl>
    <w:p/>
    <w:p>
      <w:r>
        <w:t>[Source: Euronext, "Trading Equity Index Futures", https://www.euronext.com/en/for-investors/financial-derivatives/equity-index-derivatives]</w:t>
      </w:r>
    </w:p>
    <w:p>
      <w:r>
        <w:t>[Source: Euronext, "Milling Wheat derivatives", https://www.euronext.com/en/for-investors/commodities/milling-wheat]</w:t>
      </w:r>
    </w:p>
    <w:p>
      <w:pPr>
        <w:pStyle w:val="Heading3"/>
      </w:pPr>
      <w:r>
        <w:t>D2. 주요 계약 명세 (Key Contract Specifications, 거래량 상위 5개 상품)</w:t>
      </w:r>
    </w:p>
    <w:p>
      <w:pPr>
        <w:pStyle w:val="Heading4"/>
      </w:pPr>
      <w:r>
        <w:t>1. CAC 40 지수 선물 (FCE)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명세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거래소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Euronext Paris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계약 코드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FCE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기초자산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CAC 40 Index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계약 단위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지수포인트당 EUR 10 (예: 8,000.0에서 EUR 80,000)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호가단위 (최소가격변동폭)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0.5 지수포인트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틱 가치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EUR 5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계약월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월물: 최근 3개월; 분기물: 3월, 6월, 9월, 12월 주기로 최대 5년 [unverified]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거래 시간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CET 08:00 - 22:00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최종 거래일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결제월 셋째 금요일 CET 16:00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결제 방식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현금결제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최종 결제가격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CET 15:40~16:00 사이 산출 및 배포된 모든 CAC 40 지수 값의 산술평균, 소수점 둘째 자리 반올림</w:t>
            </w:r>
          </w:p>
        </w:tc>
      </w:tr>
    </w:tbl>
    <w:p/>
    <w:p>
      <w:pPr>
        <w:pStyle w:val="Heading4"/>
      </w:pPr>
      <w:r>
        <w:t>2. AEX 지수 선물 (FTI)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명세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거래소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Euronext Amsterdam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계약 코드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FTI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기초자산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AEX Index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계약 단위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지수포인트당 EUR 200 (예: 900.00에서 EUR 180,000)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호가단위 (최소가격변동폭)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0.05 지수포인트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틱 가치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EUR 10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계약월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월물: 최근 3개월; 분기물 주기 [unverified]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거래 시간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CET 08:00 - 22:00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최종 거래일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결제월 셋째 금요일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결제 방식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현금결제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최종 결제가격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만기 시 AEX 지수 산출 기반</w:t>
            </w:r>
          </w:p>
        </w:tc>
      </w:tr>
    </w:tbl>
    <w:p/>
    <w:p>
      <w:pPr>
        <w:pStyle w:val="Heading4"/>
      </w:pPr>
      <w:r>
        <w:t>3. AEX 지수 옵션 (AEX)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명세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거래소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Euronext Amsterdam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계약 코드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AEX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기초자산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AEX Index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계약 단위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지수포인트당 EUR 100 (예: 900.00에서 EUR 90,000) [unverified]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호가단위 (최소가격변동폭)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0.01 지수포인트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틱 가치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EUR 1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행사 유형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유러피안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계약월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월물; 주간 및 일간 만기도 이용 가능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거래 시간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CET 09:00 - 17:30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결제 방식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현금결제</w:t>
            </w:r>
          </w:p>
        </w:tc>
      </w:tr>
    </w:tbl>
    <w:p/>
    <w:p>
      <w:pPr>
        <w:pStyle w:val="Heading4"/>
      </w:pPr>
      <w:r>
        <w:t>4. FTSE MIB 지수 선물 (FIB)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명세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거래소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Euronext Milan (구 IDEM)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계약 코드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FIB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기초자산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FTSE MIB Index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계약 단위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지수포인트당 EUR 5 (예: 35,000에서 EUR 175,000)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호가단위 (최소가격변동폭)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5 지수포인트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틱 가치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EUR 25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계약월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분기물: 3월, 6월, 9월, 12월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거래 시간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CET 08:00 - 22:00 [unverified]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최종 거래일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결제월 셋째 금요일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결제 방식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현금결제</w:t>
            </w:r>
          </w:p>
        </w:tc>
      </w:tr>
    </w:tbl>
    <w:p/>
    <w:p>
      <w:pPr>
        <w:pStyle w:val="Heading4"/>
      </w:pPr>
      <w:r>
        <w:t>5. 제분용 밀 No. 2 선물 (EBM)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명세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거래소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Euronext Paris (MATIF)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계약 코드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EBM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기초자산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Milling Wheat No. 2 (EU 원산)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계약 단위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50톤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가격 표시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EUR/톤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호가단위 (최소가격변동폭)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EUR 0.25/톤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틱 가치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EUR 12.50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계약월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9월, 12월, 3월, 5월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만기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계약월 10일 (또는 다음 영업일)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결제 방식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실물 인수도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인수도 지점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프랑스 내 지정 저장 시설 [unverified]</w:t>
            </w:r>
          </w:p>
        </w:tc>
      </w:tr>
    </w:tbl>
    <w:p/>
    <w:p>
      <w:r>
        <w:t>[Source: Euronext Live, "CAC 40 Index Future contract specification", https://live.euronext.com/en/product/index-futures/FCE-DPAR/contract-specification]</w:t>
      </w:r>
    </w:p>
    <w:p>
      <w:r>
        <w:t>[Source: Euronext Live, "AEX Index Future contract specification", https://live.euronext.com/en/product/index-futures/FTI-DAMS/contract-specification]</w:t>
      </w:r>
    </w:p>
    <w:p>
      <w:r>
        <w:t>[Source: Euronext Live, "Milling Wheat contract specifications", https://live.euronext.com/en/resources/contracts-specifications/commodity-futures-milling-wheat]</w:t>
      </w:r>
    </w:p>
    <w:p>
      <w:pPr>
        <w:pStyle w:val="Heading3"/>
      </w:pPr>
      <w:r>
        <w:t>D3. 증거금 체계 (Margin Framework)</w:t>
      </w:r>
    </w:p>
    <w:p>
      <w:pPr>
        <w:pStyle w:val="Heading4"/>
      </w:pPr>
      <w:r>
        <w:t>Euronext Clearing 증거금 방법론</w:t>
      </w:r>
    </w:p>
    <w:p>
      <w:r>
        <w:t>LCH SA에서의 이관(2024년 9월 완료) 이후 모든 Euronext 파생상품은 VaR 기반 증거금 방법론을 사용하는 Euronext Clearing(구 CC&amp;G)을 통해 청산된다: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세부사항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방법론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동적(자동갱신) VaR 유사 포트폴리오 증거금 산출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리스크 지표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국채 제로커브 기반 현금흐름 매핑에 대한 Historical Simulation Expected Shortfall (ES)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신뢰수준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대부분 상품에서 99.0% [unverified — EMIR 표준 요건]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참조 기간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과거 시장 데이터 기반 [구체적 기간 비공개]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갱신 빈도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시장 상황에 따라 동적/자동 갱신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경기순환성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과도한 경기순환적 증거금 인상을 방지하기 위한 EMIR 준수 조치</w:t>
            </w:r>
          </w:p>
        </w:tc>
      </w:tr>
    </w:tbl>
    <w:p/>
    <w:p>
      <w:pPr>
        <w:pStyle w:val="Heading4"/>
      </w:pPr>
      <w:r>
        <w:t>증거금 추가분 (Margin Add-Ons)</w:t>
      </w:r>
    </w:p>
    <w:p>
      <w:r>
        <w:t>Euronext Clearing은 중간가격 리스크 이외의 포트폴리오 특유 리스크를 처리하기 위해 추가 증거금을 적용한다:</w:t>
      </w:r>
    </w:p>
    <w:p>
      <w:pPr>
        <w:pStyle w:val="ListBullet"/>
      </w:pPr>
      <w:r>
        <w:t>고유 리스크 (Idiosyncratic risk): 개별 증권에 특유한 리스크</w:t>
      </w:r>
    </w:p>
    <w:p>
      <w:pPr>
        <w:pStyle w:val="ListBullet"/>
      </w:pPr>
      <w:r>
        <w:t>유동성 리스크 (Liquidity risk): 상품별 상이한 유동성을 반영</w:t>
      </w:r>
    </w:p>
    <w:p>
      <w:pPr>
        <w:pStyle w:val="ListBullet"/>
      </w:pPr>
      <w:r>
        <w:t>집중 리스크 (Concentration risk): 대규모 집중 포지션에 대한 추가 증거금</w:t>
      </w:r>
    </w:p>
    <w:p>
      <w:pPr>
        <w:pStyle w:val="ListBullet"/>
      </w:pPr>
      <w:r>
        <w:t>결제 리스크 (Settlement risk): 결제 시점 관련 리스크</w:t>
      </w:r>
    </w:p>
    <w:p>
      <w:pPr>
        <w:pStyle w:val="ListBullet"/>
      </w:pPr>
      <w:r>
        <w:t>레포 리스크 (Repo risk): 레포 거래와 관련된 포지션</w:t>
      </w:r>
    </w:p>
    <w:p>
      <w:pPr>
        <w:pStyle w:val="Heading4"/>
      </w:pPr>
      <w:r>
        <w:t>방법론 변천 (Methodology Timeline)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일자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변경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2023년 10월 이전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이탈리아 주식 및 파생상품에 MARS (SPAN 유사 방법론) 사용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2022년 6월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이탈리아, 포르투갈, 스페인, 아일랜드 국채에 VaR 기반 방법론 가동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2023년 10월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이탈리아 주식, ETF, 주식 파생상품에 VaR 기반 방법론 가동 (MARS/SPAN 유사 모델 대체)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2024년 9월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LCH SA에서의 이관에 따라 모든 Euronext 금융 파생상품에 VaR 기반 방법론 확대 적용</w:t>
            </w:r>
          </w:p>
        </w:tc>
      </w:tr>
    </w:tbl>
    <w:p/>
    <w:p>
      <w:pPr>
        <w:pStyle w:val="Heading4"/>
      </w:pPr>
      <w:r>
        <w:t>교차증거금 (Cross-Margining)</w:t>
      </w:r>
    </w:p>
    <w:p>
      <w:pPr>
        <w:pStyle w:val="ListBullet"/>
      </w:pPr>
      <w:r>
        <w:t>통합 손해배상기금: 현물 및 파생상품 포지션 간 교차증거금을 촉진하는 단일 주식 및 파생상품 손해배상기금</w:t>
      </w:r>
    </w:p>
    <w:p>
      <w:pPr>
        <w:pStyle w:val="ListBullet"/>
      </w:pPr>
      <w:r>
        <w:t>증거금 효율성: 동일 손해배상기금 내 주식 및 파생상품 간 포트폴리오 증거금 산출을 통해 약 20% 증거금 절감 달성</w:t>
      </w:r>
    </w:p>
    <w:p>
      <w:r>
        <w:t>[Source: Euronext, "Euronext Clearing introduces an innovative VaR-based margin methodology", https://www.euronext.com/en/about/media/euronext-press-releases/euronext-clearing-introduces-innovative-var-based-margin]</w:t>
      </w:r>
    </w:p>
    <w:p>
      <w:r>
        <w:t>[Source: Euronext, "Risk Management Methodologies", https://www.euronext.com/en/post-trade/euronext-clearing/risk-management/methodologies]</w:t>
      </w:r>
    </w:p>
    <w:p>
      <w:r>
        <w:t>[Source: Euronext, "Model Validation", May 2024, https://www.euronext.com/sites/default/files/2024-05/Euronext_Clearing_Model%20Validation_May24.pdf]</w:t>
      </w:r>
    </w:p>
    <w:p>
      <w:pPr>
        <w:pStyle w:val="Heading3"/>
      </w:pPr>
      <w:r>
        <w:t>D4. 포지션한도 (Position Limits)</w:t>
      </w:r>
    </w:p>
    <w:p>
      <w:pPr>
        <w:pStyle w:val="ListBullet"/>
      </w:pPr>
      <w:r>
        <w:t>MiFID II 포지션한도 (건옥제한): ESMA와 조율하여 국가 감독기관이 상품 파생상품에 대한 포지션한도를 설정</w:t>
      </w:r>
    </w:p>
    <w:p>
      <w:pPr>
        <w:pStyle w:val="ListBullet"/>
      </w:pPr>
      <w:r>
        <w:t>제분용 밀 포지션한도: ESMA가 EBM (Milling Wheat No. 2) 계약에 대한 포지션한도 의견을 발표; 한도는 파리 MATIF 시장의 관할 감독기관인 AMF가 설정</w:t>
      </w:r>
    </w:p>
    <w:p>
      <w:pPr>
        <w:pStyle w:val="ListBullet"/>
      </w:pPr>
      <w:r>
        <w:t>책임 수준: 포지션 보고 임계치가 모든 파생상품에 적용; 대규모 포지션 보유자는 거래소 및 관련 감독기관에 보고 의무</w:t>
      </w:r>
    </w:p>
    <w:p>
      <w:pPr>
        <w:pStyle w:val="ListBullet"/>
      </w:pPr>
      <w:r>
        <w:t>헤지 면제: 관할 감독기관에 신청하는 정당한 헤지자에게 이용 가능</w:t>
      </w:r>
    </w:p>
    <w:p>
      <w:pPr>
        <w:pStyle w:val="ListBullet"/>
      </w:pPr>
      <w:r>
        <w:t>금융 파생상품: 주식/지수 파생상품에 대한 포지션한도는 일반적으로 상품 파생상품보다 덜 제한적; 구체적 한도는 상품별 상이 [unverified]</w:t>
      </w:r>
    </w:p>
    <w:p>
      <w:r>
        <w:t>[Source: ESMA, "Opinion on position limits on Milling Wheat No. 2 contract", https://www.esma.europa.eu/sites/default/files/library/amf_milling_wheat_ebmobm.pdf]</w:t>
      </w:r>
    </w:p>
    <w:p>
      <w:pPr>
        <w:pStyle w:val="Heading3"/>
      </w:pPr>
      <w:r>
        <w:t>D5. 블록거래 / EFP / EFS / 도매 거래 (Block Trading / EFP / EFS / Wholesale Trading)</w:t>
      </w:r>
    </w:p>
    <w:p>
      <w:r>
        <w:t>Euronext는 파생상품을 위한 여러 장외 및 도매 거래 기능을 운영한다: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기능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**TCS (Trade Confirmation System)**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협상 거래, 블록거래 (대량매매), VWAP 거래를 포함한 규제시장 거래의 공표; 거래 후 등록 및 보고에 사용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**Block Execution Service (BES)**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Trading Members가 장외 도매 거래를 거래소에 등록 보고 가능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**EFP (Exchange for Physical)**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지수에 따라 가중된 기초자산 주식 바스켓과 선물 포지션의 동시 교환; AMR (Automated Market Reference) 전략을 통해 Optiq 호가창에서 직접 입력 가능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**EFS (Exchange for Swaps)**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선물과 스왑 포지션의 교환; 중앙 호가창 거래와 관련된 체결 리스크 제거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**RFC (Request for Cross)**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사전 협의된 거래상대방과 고객 주문을 거래소에서 교차 체결하는 기능; 가격개선 규칙의 적용을 받음 (교차 가격이 호가창 최우선 매수/매도호가 이상이어야 함)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**Auto-match RFC**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RFC 주문의 자동 체결, 2024년 3월 도입</w:t>
            </w:r>
          </w:p>
        </w:tc>
      </w:tr>
    </w:tbl>
    <w:p/>
    <w:p>
      <w:r>
        <w:t>주요 규칙:</w:t>
      </w:r>
    </w:p>
    <w:p>
      <w:pPr>
        <w:pStyle w:val="ListBullet"/>
      </w:pPr>
      <w:r>
        <w:t>모든 도매 거래는 TCS를 통해 보고해야 하며 MiFID II에 따른 거래 후 투명성 요건의 적용을 받는다</w:t>
      </w:r>
    </w:p>
    <w:p>
      <w:pPr>
        <w:pStyle w:val="ListBullet"/>
      </w:pPr>
      <w:r>
        <w:t>최소 블록거래 (대량매매) 수량은 상품별로 적용 (Euronext Trading Procedures에 정의)</w:t>
      </w:r>
    </w:p>
    <w:p>
      <w:pPr>
        <w:pStyle w:val="ListBullet"/>
      </w:pPr>
      <w:r>
        <w:t>EFP/EFS 거래는 기초자산 또는 스왑의 진정한 관련 포지션을 수반해야 한다</w:t>
      </w:r>
    </w:p>
    <w:p>
      <w:r>
        <w:t>[Source: Euronext, "Wholesale trading &amp; RFC", https://www.euronext.com/en/for-investors/financial-derivatives/wholesale-trading]</w:t>
      </w:r>
    </w:p>
    <w:p>
      <w:r>
        <w:t>[Source: Euronext, "Euronext Derivatives Markets: Trading Procedures", https://www.euronext.com/sites/default/files/2025-02/trading_procedures_for_derivatives_-_dsp_fair_value_and_deferred_publication.pdf]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요약 (Summary)</w:t>
      </w:r>
    </w:p>
    <w:p>
      <w:r>
        <w:t>Euronext Derivatives는 7개 시장(암스테르담, 브뤼셀, 더블린, 리스본, 밀라노, 오슬로, 파리)에서 통합 Optiq 거래 플랫폼으로 운영되는 범유럽 파생상품 거래소이다. 상품 범위는 주가지수 선물/옵션, 개별주식 파생상품, 상품 선물/옵션(특히 유럽 벤치마크로서의 제분용 밀), 배당 파생상품, Total Return 선물, 신규 출시된 채권 파생상품에 이른다.</w:t>
      </w:r>
    </w:p>
    <w:p>
      <w:r>
        <w:t>2023-2024년은 두 가지 획기적 이관으로 혁신적인 시기였다: (1) Borsa Italiana의 파생상품 시장이 Optiq 플랫폼으로 이전(2024년 4월), (2) 모든 파생상품 청산이 LCH SA에서 Euronext Clearing으로 이관(2024년 9월 완료). 이러한 변화로 Euronext는 거래 및 청산 스택에 대한 완전한 수직적 통제를 확보하여, VaR 기반 포트폴리오 증거금 산출과 통합 손해배상기금을 통한 약 20% 증거금 효율성을 달성하였다.</w:t>
      </w:r>
    </w:p>
    <w:p>
      <w:r>
        <w:t>Optiq은 이탈리아 Bergamo 데이터센터에서 SBE 및 FIX 5.0 프로토콜을 사용하여 약 15마이크로초 주문 왕복 지연시간과 초당 100만+ 메시지 용량을 제공한다. 거래소는 채권 파생상품(2025년 9월 출시), 미니 옵션, 개인 투자자 파생상품 전략으로 상품 제공을 계속 확대하고 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