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Clearing &amp; Settlement — Overview</w:t>
      </w:r>
    </w:p>
    <w:p>
      <w:r>
        <w:rPr>
          <w:i/>
          <w:sz w:val="18"/>
        </w:rPr>
        <w:t>**Last Updated:** 2026-04-13</w:t>
      </w:r>
    </w:p>
    <w:p>
      <w:r>
        <w:rPr>
          <w:i/>
          <w:sz w:val="18"/>
        </w:rPr>
        <w:t>**Status:** Completed</w:t>
      </w:r>
    </w:p>
    <w:p>
      <w:r>
        <w:t>────────────────────────────────────────────────────────────</w:t>
      </w:r>
    </w:p>
    <w:p>
      <w:pPr>
        <w:pStyle w:val="Heading2"/>
      </w:pPr>
      <w:r>
        <w:t>1. Introduction</w:t>
      </w:r>
    </w:p>
    <w:p>
      <w:r>
        <w:t>This document provides a high-level overview of global clearing and settlement infrastructure — Central Counterparties (CCPs), Central Securities Depositories (CSDs), and related post-trade systems.</w:t>
      </w:r>
    </w:p>
    <w:p>
      <w:r>
        <w:t>────────────────────────────────────────────────────────────</w:t>
      </w:r>
    </w:p>
    <w:p>
      <w:pPr>
        <w:pStyle w:val="Heading2"/>
      </w:pPr>
      <w:r>
        <w:t>2. Post-Trade Landscape</w:t>
      </w:r>
    </w:p>
    <w:p>
      <w:pPr>
        <w:pStyle w:val="Heading3"/>
      </w:pPr>
      <w:r>
        <w:t>2.1 Post-Trade Value Chain</w:t>
      </w:r>
    </w:p>
    <w:p>
      <w:r>
        <w:rPr>
          <w:rFonts w:ascii="Consolas" w:hAnsi="Consolas"/>
          <w:color w:val="333333"/>
          <w:sz w:val="16"/>
        </w:rPr>
        <w:t>Trade Execution → Trade Capture → Clearing → Settlement → Custody</w:t>
        <w:br/>
        <w:t xml:space="preserve">                                    ↓</w:t>
        <w:br/>
        <w:t xml:space="preserve">                              Risk Management</w:t>
        <w:br/>
        <w:t xml:space="preserve">                              (Margining, Default Management)</w:t>
      </w:r>
    </w:p>
    <w:p>
      <w:pPr>
        <w:pStyle w:val="Heading3"/>
      </w:pPr>
      <w:r>
        <w:t>2.2 Key Infrastructure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Type</w:t>
            </w:r>
          </w:p>
        </w:tc>
        <w:tc>
          <w:tcPr>
            <w:tcW w:type="dxa" w:w="2880"/>
          </w:tcPr>
          <w:p>
            <w:pPr/>
            <w:r>
              <w:rPr>
                <w:b/>
                <w:sz w:val="18"/>
              </w:rPr>
              <w:t>Function</w:t>
            </w:r>
          </w:p>
        </w:tc>
        <w:tc>
          <w:tcPr>
            <w:tcW w:type="dxa" w:w="2880"/>
          </w:tcPr>
          <w:p>
            <w:pPr/>
            <w:r>
              <w:rPr>
                <w:b/>
                <w:sz w:val="18"/>
              </w:rPr>
              <w:t>Examples</w:t>
            </w:r>
          </w:p>
        </w:tc>
      </w:tr>
      <w:tr>
        <w:tc>
          <w:tcPr>
            <w:tcW w:type="dxa" w:w="2880"/>
          </w:tcPr>
          <w:p>
            <w:pPr/>
            <w:r>
              <w:rPr>
                <w:sz w:val="18"/>
              </w:rPr>
              <w:t>CCP</w:t>
            </w:r>
          </w:p>
        </w:tc>
        <w:tc>
          <w:tcPr>
            <w:tcW w:type="dxa" w:w="2880"/>
          </w:tcPr>
          <w:p>
            <w:pPr/>
            <w:r>
              <w:rPr>
                <w:sz w:val="18"/>
              </w:rPr>
              <w:t>Interposes as counterparty, manages counterparty risk</w:t>
            </w:r>
          </w:p>
        </w:tc>
        <w:tc>
          <w:tcPr>
            <w:tcW w:type="dxa" w:w="2880"/>
          </w:tcPr>
          <w:p>
            <w:pPr/>
            <w:r>
              <w:rPr>
                <w:sz w:val="18"/>
              </w:rPr>
              <w:t>LCH, CME Clearing, Eurex Clearing, KRX</w:t>
            </w:r>
          </w:p>
        </w:tc>
      </w:tr>
      <w:tr>
        <w:tc>
          <w:tcPr>
            <w:tcW w:type="dxa" w:w="2880"/>
          </w:tcPr>
          <w:p>
            <w:pPr/>
            <w:r>
              <w:rPr>
                <w:sz w:val="18"/>
              </w:rPr>
              <w:t>CSD</w:t>
            </w:r>
          </w:p>
        </w:tc>
        <w:tc>
          <w:tcPr>
            <w:tcW w:type="dxa" w:w="2880"/>
          </w:tcPr>
          <w:p>
            <w:pPr/>
            <w:r>
              <w:rPr>
                <w:sz w:val="18"/>
              </w:rPr>
              <w:t>Holds securities, processes settlement</w:t>
            </w:r>
          </w:p>
        </w:tc>
        <w:tc>
          <w:tcPr>
            <w:tcW w:type="dxa" w:w="2880"/>
          </w:tcPr>
          <w:p>
            <w:pPr/>
            <w:r>
              <w:rPr>
                <w:sz w:val="18"/>
              </w:rPr>
              <w:t>DTC, Euroclear, Clearstream, KSD</w:t>
            </w:r>
          </w:p>
        </w:tc>
      </w:tr>
      <w:tr>
        <w:tc>
          <w:tcPr>
            <w:tcW w:type="dxa" w:w="2880"/>
          </w:tcPr>
          <w:p>
            <w:pPr/>
            <w:r>
              <w:rPr>
                <w:sz w:val="18"/>
              </w:rPr>
              <w:t>ICSD</w:t>
            </w:r>
          </w:p>
        </w:tc>
        <w:tc>
          <w:tcPr>
            <w:tcW w:type="dxa" w:w="2880"/>
          </w:tcPr>
          <w:p>
            <w:pPr/>
            <w:r>
              <w:rPr>
                <w:sz w:val="18"/>
              </w:rPr>
              <w:t>International settlement and custody</w:t>
            </w:r>
          </w:p>
        </w:tc>
        <w:tc>
          <w:tcPr>
            <w:tcW w:type="dxa" w:w="2880"/>
          </w:tcPr>
          <w:p>
            <w:pPr/>
            <w:r>
              <w:rPr>
                <w:sz w:val="18"/>
              </w:rPr>
              <w:t>Euroclear Bank, Clearstream Banking</w:t>
            </w:r>
          </w:p>
        </w:tc>
      </w:tr>
      <w:tr>
        <w:tc>
          <w:tcPr>
            <w:tcW w:type="dxa" w:w="2880"/>
          </w:tcPr>
          <w:p>
            <w:pPr/>
            <w:r>
              <w:rPr>
                <w:sz w:val="18"/>
              </w:rPr>
              <w:t>Trade Repository</w:t>
            </w:r>
          </w:p>
        </w:tc>
        <w:tc>
          <w:tcPr>
            <w:tcW w:type="dxa" w:w="2880"/>
          </w:tcPr>
          <w:p>
            <w:pPr/>
            <w:r>
              <w:rPr>
                <w:sz w:val="18"/>
              </w:rPr>
              <w:t>Stores trade data for regulatory transparency</w:t>
            </w:r>
          </w:p>
        </w:tc>
        <w:tc>
          <w:tcPr>
            <w:tcW w:type="dxa" w:w="2880"/>
          </w:tcPr>
          <w:p>
            <w:pPr/>
            <w:r>
              <w:rPr>
                <w:sz w:val="18"/>
              </w:rPr>
              <w:t>DTCC GTR</w:t>
            </w:r>
          </w:p>
        </w:tc>
      </w:tr>
    </w:tbl>
    <w:p/>
    <w:p>
      <w:pPr>
        <w:pStyle w:val="Heading3"/>
      </w:pPr>
      <w:r>
        <w:t>2.3 Global Scale</w:t>
      </w:r>
    </w:p>
    <w:p>
      <w:pPr>
        <w:pStyle w:val="ListBullet"/>
      </w:pPr>
      <w:r>
        <w:t>Number of CCPs covered in this research: 20 organizations across 15 jurisdictions (U.S., UK, EU, Japan, Hong Kong, Singapore, Australia, Switzerland, China, India, Canada, Saudi Arabia, South Korea)</w:t>
      </w:r>
    </w:p>
    <w:p>
      <w:pPr>
        <w:pStyle w:val="ListBullet"/>
      </w:pPr>
      <w:r>
        <w:t>Total initial margin held (selected CCPs):</w:t>
      </w:r>
    </w:p>
    <w:p>
      <w:pPr>
        <w:pStyle w:val="ListBullet"/>
      </w:pPr>
      <w:r>
        <w:t>CME Clearing: ~$200+ billion guaranty fund + performance bond (2024-2025)</w:t>
      </w:r>
    </w:p>
    <w:p>
      <w:pPr>
        <w:pStyle w:val="ListBullet"/>
      </w:pPr>
      <w:r>
        <w:t>OCC: ~$180 billion IM (Q3 2025, +59% YoY); clearing fund ~$19.5 billion</w:t>
      </w:r>
    </w:p>
    <w:p>
      <w:pPr>
        <w:pStyle w:val="ListBullet"/>
      </w:pPr>
      <w:r>
        <w:t>LCH SwapClear: ~$240 billion IM (Q4 2024); ForexClear: $10.7 billion IM</w:t>
      </w:r>
    </w:p>
    <w:p>
      <w:pPr>
        <w:pStyle w:val="ListBullet"/>
      </w:pPr>
      <w:r>
        <w:t>Eurex Clearing: EUR 43,668 billion OTC notional outstanding (end-2025)</w:t>
      </w:r>
    </w:p>
    <w:p>
      <w:pPr>
        <w:pStyle w:val="ListBullet"/>
      </w:pPr>
      <w:r>
        <w:t>DTCC/NSCC: Peak daily value $5.55 trillion (April 2025); FICC-GSD: $13.2 trillion peak daily</w:t>
      </w:r>
    </w:p>
    <w:p>
      <w:pPr>
        <w:pStyle w:val="ListBullet"/>
      </w:pPr>
      <w:r>
        <w:t>Assets under custody (CSDs/ICSDs):</w:t>
      </w:r>
    </w:p>
    <w:p>
      <w:pPr>
        <w:pStyle w:val="ListBullet"/>
      </w:pPr>
      <w:r>
        <w:t>DTC: $100+ trillion (2025)</w:t>
      </w:r>
    </w:p>
    <w:p>
      <w:pPr>
        <w:pStyle w:val="ListBullet"/>
      </w:pPr>
      <w:r>
        <w:t>Euroclear: EUR 42.5 trillion (~50% of European CSD market)</w:t>
      </w:r>
    </w:p>
    <w:p>
      <w:pPr>
        <w:pStyle w:val="ListBullet"/>
      </w:pPr>
      <w:r>
        <w:t>Clearstream: EUR 20+ trillion; handles &gt;50% of T2S volume</w:t>
      </w:r>
    </w:p>
    <w:p>
      <w:pPr>
        <w:pStyle w:val="ListBullet"/>
      </w:pPr>
      <w:r>
        <w:t>CSDC (China): RMB 11.05 quadrillion in securities under custody</w:t>
      </w:r>
    </w:p>
    <w:p>
      <w:pPr>
        <w:pStyle w:val="ListBullet"/>
      </w:pPr>
      <w:r>
        <w:t>CDS (Canada): ~CAD 4 trillion securities on deposit</w:t>
      </w:r>
    </w:p>
    <w:p>
      <w:pPr>
        <w:pStyle w:val="ListBullet"/>
      </w:pPr>
      <w:r>
        <w:t>Annual volumes:</w:t>
      </w:r>
    </w:p>
    <w:p>
      <w:pPr>
        <w:pStyle w:val="ListBullet"/>
      </w:pPr>
      <w:r>
        <w:t>DTCC: $3.7 quadrillion in securities transactions processed (2024)</w:t>
      </w:r>
    </w:p>
    <w:p>
      <w:pPr>
        <w:pStyle w:val="ListBullet"/>
      </w:pPr>
      <w:r>
        <w:t>OCC: 12.2 billion options contracts cleared (2024, record)</w:t>
      </w:r>
    </w:p>
    <w:p>
      <w:pPr>
        <w:pStyle w:val="ListBullet"/>
      </w:pPr>
      <w:r>
        <w:t>Eurex Clearing: 2,065.9 million contracts cleared (2025)</w:t>
      </w:r>
    </w:p>
    <w:p>
      <w:pPr>
        <w:pStyle w:val="ListBullet"/>
      </w:pPr>
      <w:r>
        <w:t>LCH SwapClear: $779 trillion notional cleared in H1 2024</w:t>
      </w:r>
    </w:p>
    <w:p>
      <w:pPr>
        <w:pStyle w:val="ListBullet"/>
      </w:pPr>
      <w:r>
        <w:t>ICE Clear Credit: $2+ trillion CDS open interest</w:t>
      </w:r>
    </w:p>
    <w:p>
      <w:pPr>
        <w:pStyle w:val="ListBullet"/>
      </w:pPr>
      <w:r>
        <w:t>Source: CPMI-IOSCO PQD, CCP12, individual CCP annual reports and PQD disclosures (2024-2025)</w:t>
      </w:r>
    </w:p>
    <w:p>
      <w:r>
        <w:t>────────────────────────────────────────────────────────────</w:t>
      </w:r>
    </w:p>
    <w:p>
      <w:pPr>
        <w:pStyle w:val="Heading2"/>
      </w:pPr>
      <w:r>
        <w:t>3. Clearing Models</w:t>
      </w:r>
    </w:p>
    <w:p>
      <w:pPr>
        <w:pStyle w:val="Heading3"/>
      </w:pPr>
      <w:r>
        <w:t>3.1 CCP Clearing (Central Clearing)</w:t>
      </w:r>
    </w:p>
    <w:p>
      <w:pPr>
        <w:pStyle w:val="ListBullet"/>
      </w:pPr>
      <w:r>
        <w:t>Novation and open offer</w:t>
      </w:r>
    </w:p>
    <w:p>
      <w:pPr>
        <w:pStyle w:val="ListBullet"/>
      </w:pPr>
      <w:r>
        <w:t>Multilateral netting</w:t>
      </w:r>
    </w:p>
    <w:p>
      <w:pPr>
        <w:pStyle w:val="ListBullet"/>
      </w:pPr>
      <w:r>
        <w:t>Benefits: counterparty risk reduction, netting efficiency, transparency</w:t>
      </w:r>
    </w:p>
    <w:p>
      <w:pPr>
        <w:pStyle w:val="Heading3"/>
      </w:pPr>
      <w:r>
        <w:t>3.2 Bilateral Clearing</w:t>
      </w:r>
    </w:p>
    <w:p>
      <w:pPr>
        <w:pStyle w:val="ListBullet"/>
      </w:pPr>
      <w:r>
        <w:t>Still applies to certain OTC derivatives not subject to clearing mandates, bilateral repos, and some fixed income instruments</w:t>
      </w:r>
    </w:p>
    <w:p>
      <w:pPr>
        <w:pStyle w:val="ListBullet"/>
      </w:pPr>
      <w:r>
        <w:t>Trend toward central clearing: Dodd-Frank Title VII and EMIR mandated clearing for standardized OTC IRS and CDS; SEC Treasury clearing mandate (2024) requires expanded central clearing of U.S. Treasury cash (Dec 2026) and repo (Jun 2027) through FICC</w:t>
      </w:r>
    </w:p>
    <w:p>
      <w:pPr>
        <w:pStyle w:val="ListBullet"/>
      </w:pPr>
      <w:r>
        <w:t>CCIL (India) clears government securities, forex, and money market instruments that were historically bilateral</w:t>
      </w:r>
    </w:p>
    <w:p>
      <w:pPr>
        <w:pStyle w:val="ListBullet"/>
      </w:pPr>
      <w:r>
        <w:t>Muqassa (Saudi Arabia) introduced CCP clearing for equity and repo markets that previously settled bilaterally</w:t>
      </w:r>
    </w:p>
    <w:p>
      <w:pPr>
        <w:pStyle w:val="Heading3"/>
      </w:pPr>
      <w:r>
        <w:t>3.3 Hybrid Models</w:t>
      </w:r>
    </w:p>
    <w:p>
      <w:pPr>
        <w:pStyle w:val="ListBullet"/>
      </w:pPr>
      <w:r>
        <w:t>Interoperability: SIX x-clear and LCH Ltd operate interoperable CCP links for European cash equities, allowing clearing members to choose their preferred CCP while maintaining risk management across linked CCPs. Cboe Clear Europe also participates in interoperable arrangements.</w:t>
      </w:r>
    </w:p>
    <w:p>
      <w:pPr>
        <w:pStyle w:val="ListBullet"/>
      </w:pPr>
      <w:r>
        <w:t>Client clearing / Sponsored access: FICC's Sponsored Member model allows buy-side firms to access CCP clearing through sponsoring clearing members; JSCC opened client clearing for JPY IRS to U.S. participants via CFTC exemption (Sept 2025)</w:t>
      </w:r>
    </w:p>
    <w:p>
      <w:pPr>
        <w:pStyle w:val="ListBullet"/>
      </w:pPr>
      <w:r>
        <w:t>Cross-margining: CME-FICC cross-margining arrangement (Jan 2024) for Treasury futures vs. cash Treasuries; OCC cross-guaranty agreements with NSCC/FICC/DTC</w:t>
      </w:r>
    </w:p>
    <w:p>
      <w:r>
        <w:t>────────────────────────────────────────────────────────────</w:t>
      </w:r>
    </w:p>
    <w:p>
      <w:pPr>
        <w:pStyle w:val="Heading2"/>
      </w:pPr>
      <w:r>
        <w:t>4. Risk Management Frameworks</w:t>
      </w:r>
    </w:p>
    <w:p>
      <w:pPr>
        <w:pStyle w:val="Heading3"/>
      </w:pPr>
      <w:r>
        <w:t>4.1 Margin Methodologies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Methodology</w:t>
            </w:r>
          </w:p>
        </w:tc>
        <w:tc>
          <w:tcPr>
            <w:tcW w:type="dxa" w:w="2880"/>
          </w:tcPr>
          <w:p>
            <w:pPr/>
            <w:r>
              <w:rPr>
                <w:b/>
                <w:sz w:val="18"/>
              </w:rPr>
              <w:t>Used By</w:t>
            </w:r>
          </w:p>
        </w:tc>
        <w:tc>
          <w:tcPr>
            <w:tcW w:type="dxa" w:w="2880"/>
          </w:tcPr>
          <w:p>
            <w:pPr/>
            <w:r>
              <w:rPr>
                <w:b/>
                <w:sz w:val="18"/>
              </w:rPr>
              <w:t>Key Features</w:t>
            </w:r>
          </w:p>
        </w:tc>
      </w:tr>
      <w:tr>
        <w:tc>
          <w:tcPr>
            <w:tcW w:type="dxa" w:w="2880"/>
          </w:tcPr>
          <w:p>
            <w:pPr/>
            <w:r>
              <w:rPr>
                <w:sz w:val="18"/>
              </w:rPr>
              <w:t>SPAN</w:t>
            </w:r>
          </w:p>
        </w:tc>
        <w:tc>
          <w:tcPr>
            <w:tcW w:type="dxa" w:w="2880"/>
          </w:tcPr>
          <w:p>
            <w:pPr/>
            <w:r>
              <w:rPr>
                <w:sz w:val="18"/>
              </w:rPr>
              <w:t>CME (legacy), CDCC, HKCC (PRiME)</w:t>
            </w:r>
          </w:p>
        </w:tc>
        <w:tc>
          <w:tcPr>
            <w:tcW w:type="dxa" w:w="2880"/>
          </w:tcPr>
          <w:p>
            <w:pPr/>
            <w:r>
              <w:rPr>
                <w:sz w:val="18"/>
              </w:rPr>
              <w:t>16 fixed risk scenarios; portfolio-based scanning of price/volatility shifts</w:t>
            </w:r>
          </w:p>
        </w:tc>
      </w:tr>
      <w:tr>
        <w:tc>
          <w:tcPr>
            <w:tcW w:type="dxa" w:w="2880"/>
          </w:tcPr>
          <w:p>
            <w:pPr/>
            <w:r>
              <w:rPr>
                <w:sz w:val="18"/>
              </w:rPr>
              <w:t>SPAN 2</w:t>
            </w:r>
          </w:p>
        </w:tc>
        <w:tc>
          <w:tcPr>
            <w:tcW w:type="dxa" w:w="2880"/>
          </w:tcPr>
          <w:p>
            <w:pPr/>
            <w:r>
              <w:rPr>
                <w:sz w:val="18"/>
              </w:rPr>
              <w:t>CME (phased rollout 2023-2025)</w:t>
            </w:r>
          </w:p>
        </w:tc>
        <w:tc>
          <w:tcPr>
            <w:tcW w:type="dxa" w:w="2880"/>
          </w:tcPr>
          <w:p>
            <w:pPr/>
            <w:r>
              <w:rPr>
                <w:sz w:val="18"/>
              </w:rPr>
              <w:t>Historical VaR with Expected Shortfall; thousands of scenarios; concentration risk; anti-procyclicality</w:t>
            </w:r>
          </w:p>
        </w:tc>
      </w:tr>
      <w:tr>
        <w:tc>
          <w:tcPr>
            <w:tcW w:type="dxa" w:w="2880"/>
          </w:tcPr>
          <w:p>
            <w:pPr/>
            <w:r>
              <w:rPr>
                <w:sz w:val="18"/>
              </w:rPr>
              <w:t>PRISMA</w:t>
            </w:r>
          </w:p>
        </w:tc>
        <w:tc>
          <w:tcPr>
            <w:tcW w:type="dxa" w:w="2880"/>
          </w:tcPr>
          <w:p>
            <w:pPr/>
            <w:r>
              <w:rPr>
                <w:sz w:val="18"/>
              </w:rPr>
              <w:t>Eurex Clearing</w:t>
            </w:r>
          </w:p>
        </w:tc>
        <w:tc>
          <w:tcPr>
            <w:tcW w:type="dxa" w:w="2880"/>
          </w:tcPr>
          <w:p>
            <w:pPr/>
            <w:r>
              <w:rPr>
                <w:sz w:val="18"/>
              </w:rPr>
              <w:t>Filtered Historical Simulation (FHS) with 750 filtered + 250 stress scenarios; Expected Shortfall at 99%/99.5%; liquidation groups for cross-margining</w:t>
            </w:r>
          </w:p>
        </w:tc>
      </w:tr>
      <w:tr>
        <w:tc>
          <w:tcPr>
            <w:tcW w:type="dxa" w:w="2880"/>
          </w:tcPr>
          <w:p>
            <w:pPr/>
            <w:r>
              <w:rPr>
                <w:sz w:val="18"/>
              </w:rPr>
              <w:t>PAIRS</w:t>
            </w:r>
          </w:p>
        </w:tc>
        <w:tc>
          <w:tcPr>
            <w:tcW w:type="dxa" w:w="2880"/>
          </w:tcPr>
          <w:p>
            <w:pPr/>
            <w:r>
              <w:rPr>
                <w:sz w:val="18"/>
              </w:rPr>
              <w:t>LCH SwapClear</w:t>
            </w:r>
          </w:p>
        </w:tc>
        <w:tc>
          <w:tcPr>
            <w:tcW w:type="dxa" w:w="2880"/>
          </w:tcPr>
          <w:p>
            <w:pPr/>
            <w:r>
              <w:rPr>
                <w:sz w:val="18"/>
              </w:rPr>
              <w:t>Portfolio Approach to Interest Rate Scenarios; Expected Shortfall at 99.7%, 5-day holding period, 10-year lookback with GFC floor</w:t>
            </w:r>
          </w:p>
        </w:tc>
      </w:tr>
      <w:tr>
        <w:tc>
          <w:tcPr>
            <w:tcW w:type="dxa" w:w="2880"/>
          </w:tcPr>
          <w:p>
            <w:pPr/>
            <w:r>
              <w:rPr>
                <w:sz w:val="18"/>
              </w:rPr>
              <w:t>STANS</w:t>
            </w:r>
          </w:p>
        </w:tc>
        <w:tc>
          <w:tcPr>
            <w:tcW w:type="dxa" w:w="2880"/>
          </w:tcPr>
          <w:p>
            <w:pPr/>
            <w:r>
              <w:rPr>
                <w:sz w:val="18"/>
              </w:rPr>
              <w:t>OCC</w:t>
            </w:r>
          </w:p>
        </w:tc>
        <w:tc>
          <w:tcPr>
            <w:tcW w:type="dxa" w:w="2880"/>
          </w:tcPr>
          <w:p>
            <w:pPr/>
            <w:r>
              <w:rPr>
                <w:sz w:val="18"/>
              </w:rPr>
              <w:t>Monte Carlo simulation with 10,000+ scenarios; Expected Shortfall at 99%, 2-day holding period</w:t>
            </w:r>
          </w:p>
        </w:tc>
      </w:tr>
      <w:tr>
        <w:tc>
          <w:tcPr>
            <w:tcW w:type="dxa" w:w="2880"/>
          </w:tcPr>
          <w:p>
            <w:pPr/>
            <w:r>
              <w:rPr>
                <w:sz w:val="18"/>
              </w:rPr>
              <w:t>IRM 2</w:t>
            </w:r>
          </w:p>
        </w:tc>
        <w:tc>
          <w:tcPr>
            <w:tcW w:type="dxa" w:w="2880"/>
          </w:tcPr>
          <w:p>
            <w:pPr/>
            <w:r>
              <w:rPr>
                <w:sz w:val="18"/>
              </w:rPr>
              <w:t>ICE Clear (phased rollout 2022-2025)</w:t>
            </w:r>
          </w:p>
        </w:tc>
        <w:tc>
          <w:tcPr>
            <w:tcW w:type="dxa" w:w="2880"/>
          </w:tcPr>
          <w:p>
            <w:pPr/>
            <w:r>
              <w:rPr>
                <w:sz w:val="18"/>
              </w:rPr>
              <w:t>Filtered Historical Simulation VaR at 99% confidence; replacing legacy scenario-based IRM</w:t>
            </w:r>
          </w:p>
        </w:tc>
      </w:tr>
      <w:tr>
        <w:tc>
          <w:tcPr>
            <w:tcW w:type="dxa" w:w="2880"/>
          </w:tcPr>
          <w:p>
            <w:pPr/>
            <w:r>
              <w:rPr>
                <w:sz w:val="18"/>
              </w:rPr>
              <w:t>VaR-based</w:t>
            </w:r>
          </w:p>
        </w:tc>
        <w:tc>
          <w:tcPr>
            <w:tcW w:type="dxa" w:w="2880"/>
          </w:tcPr>
          <w:p>
            <w:pPr/>
            <w:r>
              <w:rPr>
                <w:sz w:val="18"/>
              </w:rPr>
              <w:t>JSCC (post-2023 migration from SPAN), SIX x-clear (Monte Carlo VaR), Cboe Clear Europe, NSCC/FICC, CDP</w:t>
            </w:r>
          </w:p>
        </w:tc>
        <w:tc>
          <w:tcPr>
            <w:tcW w:type="dxa" w:w="2880"/>
          </w:tcPr>
          <w:p>
            <w:pPr/>
            <w:r>
              <w:rPr>
                <w:sz w:val="18"/>
              </w:rPr>
              <w:t>Various implementations including parametric, historical simulation, and Monte Carlo approaches</w:t>
            </w:r>
          </w:p>
        </w:tc>
      </w:tr>
    </w:tbl>
    <w:p/>
    <w:p>
      <w:pPr>
        <w:pStyle w:val="Heading3"/>
      </w:pPr>
      <w:r>
        <w:t>4.2 Default Waterfall — Standard Structure</w:t>
      </w:r>
    </w:p>
    <w:p>
      <w:pPr>
        <w:pStyle w:val="ListNumber"/>
      </w:pPr>
      <w:r>
        <w:t>Defaulter's margin</w:t>
      </w:r>
    </w:p>
    <w:p>
      <w:pPr>
        <w:pStyle w:val="ListNumber"/>
      </w:pPr>
      <w:r>
        <w:t>Defaulter's default fund contribution</w:t>
      </w:r>
    </w:p>
    <w:p>
      <w:pPr>
        <w:pStyle w:val="ListNumber"/>
      </w:pPr>
      <w:r>
        <w:t>CCP Skin-in-the-Game (SITG)</w:t>
      </w:r>
    </w:p>
    <w:p>
      <w:pPr>
        <w:pStyle w:val="ListNumber"/>
      </w:pPr>
      <w:r>
        <w:t>Non-defaulting members' default fund</w:t>
      </w:r>
    </w:p>
    <w:p>
      <w:pPr>
        <w:pStyle w:val="ListNumber"/>
      </w:pPr>
      <w:r>
        <w:t>CCP additional capital / assessment powers</w:t>
      </w:r>
    </w:p>
    <w:p>
      <w:pPr>
        <w:pStyle w:val="Heading3"/>
      </w:pPr>
      <w:r>
        <w:t>4.3 Recovery &amp; Resolution</w:t>
      </w:r>
    </w:p>
    <w:p>
      <w:pPr>
        <w:pStyle w:val="ListBullet"/>
      </w:pPr>
      <w:r>
        <w:t>FSB Key Attributes of Effective Resolution Regimes for Financial Institutions (2014, updated guidance for CCPs)</w:t>
      </w:r>
    </w:p>
    <w:p>
      <w:pPr>
        <w:pStyle w:val="ListBullet"/>
      </w:pPr>
      <w:r>
        <w:t>CCP Recovery tools: Variation Margin Gains Haircutting (VMGH), partial tear-up, assessment powers (cash calls on surviving members), forced position allocation, voluntary auction of defaulted portfolio</w:t>
      </w:r>
    </w:p>
    <w:p>
      <w:pPr>
        <w:pStyle w:val="ListBullet"/>
      </w:pPr>
      <w:r>
        <w:t>EU CCP Recovery and Resolution Regulation (EU 2021/23): Fully applicable since 2023; establishes comprehensive framework for CCP recovery planning and resolution tools</w:t>
      </w:r>
    </w:p>
    <w:p>
      <w:pPr>
        <w:pStyle w:val="ListBullet"/>
      </w:pPr>
      <w:r>
        <w:t>U.S. framework: SIFMUs (DTCC, OCC, CME, ICE Clear Credit) subject to Title VIII oversight by Federal Reserve; no dedicated CCP resolution legislation yet</w:t>
      </w:r>
    </w:p>
    <w:p>
      <w:pPr>
        <w:pStyle w:val="ListBullet"/>
      </w:pPr>
      <w:r>
        <w:t>Resolution authorities: Bank of England (for LCH Ltd), BaFin/SRB (for Eurex Clearing), SEC/CFTC/FDIC (for U.S. SIFMUs)</w:t>
      </w:r>
    </w:p>
    <w:p>
      <w:pPr>
        <w:pStyle w:val="ListBullet"/>
      </w:pPr>
      <w:r>
        <w:t>Default insurance: ICE Clear uses third-party default insurance as an additional layer in its waterfall</w:t>
      </w:r>
    </w:p>
    <w:p>
      <w:pPr>
        <w:pStyle w:val="ListBullet"/>
      </w:pPr>
      <w:r>
        <w:t>Living wills / resolution plans: Required under EU CCP RRR; FINMA approved SIX x-clear's first recovery plan in 2021; ASX introduced recovery rules in 2017</w:t>
      </w:r>
    </w:p>
    <w:p>
      <w:r>
        <w:t>────────────────────────────────────────────────────────────</w:t>
      </w:r>
    </w:p>
    <w:p>
      <w:pPr>
        <w:pStyle w:val="Heading2"/>
      </w:pPr>
      <w:r>
        <w:t>5. Settlement</w:t>
      </w:r>
    </w:p>
    <w:p>
      <w:pPr>
        <w:pStyle w:val="Heading3"/>
      </w:pPr>
      <w:r>
        <w:t>5.1 Settlement Cycles — Global Transition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Region</w:t>
            </w:r>
          </w:p>
        </w:tc>
        <w:tc>
          <w:tcPr>
            <w:tcW w:type="dxa" w:w="2160"/>
          </w:tcPr>
          <w:p>
            <w:pPr/>
            <w:r>
              <w:rPr>
                <w:b/>
                <w:sz w:val="18"/>
              </w:rPr>
              <w:t>Previous</w:t>
            </w:r>
          </w:p>
        </w:tc>
        <w:tc>
          <w:tcPr>
            <w:tcW w:type="dxa" w:w="2160"/>
          </w:tcPr>
          <w:p>
            <w:pPr/>
            <w:r>
              <w:rPr>
                <w:b/>
                <w:sz w:val="18"/>
              </w:rPr>
              <w:t>Current</w:t>
            </w:r>
          </w:p>
        </w:tc>
        <w:tc>
          <w:tcPr>
            <w:tcW w:type="dxa" w:w="2160"/>
          </w:tcPr>
          <w:p>
            <w:pPr/>
            <w:r>
              <w:rPr>
                <w:b/>
                <w:sz w:val="18"/>
              </w:rPr>
              <w:t>Target</w:t>
            </w:r>
          </w:p>
        </w:tc>
      </w:tr>
      <w:tr>
        <w:tc>
          <w:tcPr>
            <w:tcW w:type="dxa" w:w="2160"/>
          </w:tcPr>
          <w:p>
            <w:pPr/>
            <w:r>
              <w:rPr>
                <w:sz w:val="18"/>
              </w:rPr>
              <w:t>U.S.</w:t>
            </w:r>
          </w:p>
        </w:tc>
        <w:tc>
          <w:tcPr>
            <w:tcW w:type="dxa" w:w="2160"/>
          </w:tcPr>
          <w:p>
            <w:pPr/>
            <w:r>
              <w:rPr>
                <w:sz w:val="18"/>
              </w:rPr>
              <w:t>T+2</w:t>
            </w:r>
          </w:p>
        </w:tc>
        <w:tc>
          <w:tcPr>
            <w:tcW w:type="dxa" w:w="2160"/>
          </w:tcPr>
          <w:p>
            <w:pPr/>
            <w:r>
              <w:rPr>
                <w:sz w:val="18"/>
              </w:rPr>
              <w:t>T+1 (May 2024)</w:t>
            </w:r>
          </w:p>
        </w:tc>
        <w:tc>
          <w:tcPr>
            <w:tcW w:type="dxa" w:w="2160"/>
          </w:tcPr>
          <w:p>
            <w:pPr/>
            <w:r>
              <w:rPr>
                <w:sz w:val="18"/>
              </w:rPr>
            </w:r>
          </w:p>
        </w:tc>
      </w:tr>
      <w:tr>
        <w:tc>
          <w:tcPr>
            <w:tcW w:type="dxa" w:w="2160"/>
          </w:tcPr>
          <w:p>
            <w:pPr/>
            <w:r>
              <w:rPr>
                <w:sz w:val="18"/>
              </w:rPr>
              <w:t>EU</w:t>
            </w:r>
          </w:p>
        </w:tc>
        <w:tc>
          <w:tcPr>
            <w:tcW w:type="dxa" w:w="2160"/>
          </w:tcPr>
          <w:p>
            <w:pPr/>
            <w:r>
              <w:rPr>
                <w:sz w:val="18"/>
              </w:rPr>
              <w:t>T+2</w:t>
            </w:r>
          </w:p>
        </w:tc>
        <w:tc>
          <w:tcPr>
            <w:tcW w:type="dxa" w:w="2160"/>
          </w:tcPr>
          <w:p>
            <w:pPr/>
            <w:r>
              <w:rPr>
                <w:sz w:val="18"/>
              </w:rPr>
              <w:t>T+2</w:t>
            </w:r>
          </w:p>
        </w:tc>
        <w:tc>
          <w:tcPr>
            <w:tcW w:type="dxa" w:w="2160"/>
          </w:tcPr>
          <w:p>
            <w:pPr/>
            <w:r>
              <w:rPr>
                <w:sz w:val="18"/>
              </w:rPr>
              <w:t>T+1 (planned)</w:t>
            </w:r>
          </w:p>
        </w:tc>
      </w:tr>
      <w:tr>
        <w:tc>
          <w:tcPr>
            <w:tcW w:type="dxa" w:w="2160"/>
          </w:tcPr>
          <w:p>
            <w:pPr/>
            <w:r>
              <w:rPr>
                <w:sz w:val="18"/>
              </w:rPr>
              <w:t>UK</w:t>
            </w:r>
          </w:p>
        </w:tc>
        <w:tc>
          <w:tcPr>
            <w:tcW w:type="dxa" w:w="2160"/>
          </w:tcPr>
          <w:p>
            <w:pPr/>
            <w:r>
              <w:rPr>
                <w:sz w:val="18"/>
              </w:rPr>
              <w:t>T+2</w:t>
            </w:r>
          </w:p>
        </w:tc>
        <w:tc>
          <w:tcPr>
            <w:tcW w:type="dxa" w:w="2160"/>
          </w:tcPr>
          <w:p>
            <w:pPr/>
            <w:r>
              <w:rPr>
                <w:sz w:val="18"/>
              </w:rPr>
              <w:t>T+2</w:t>
            </w:r>
          </w:p>
        </w:tc>
        <w:tc>
          <w:tcPr>
            <w:tcW w:type="dxa" w:w="2160"/>
          </w:tcPr>
          <w:p>
            <w:pPr/>
            <w:r>
              <w:rPr>
                <w:sz w:val="18"/>
              </w:rPr>
              <w:t>T+1 (under review)</w:t>
            </w:r>
          </w:p>
        </w:tc>
      </w:tr>
      <w:tr>
        <w:tc>
          <w:tcPr>
            <w:tcW w:type="dxa" w:w="2160"/>
          </w:tcPr>
          <w:p>
            <w:pPr/>
            <w:r>
              <w:rPr>
                <w:sz w:val="18"/>
              </w:rPr>
              <w:t>India</w:t>
            </w:r>
          </w:p>
        </w:tc>
        <w:tc>
          <w:tcPr>
            <w:tcW w:type="dxa" w:w="2160"/>
          </w:tcPr>
          <w:p>
            <w:pPr/>
            <w:r>
              <w:rPr>
                <w:sz w:val="18"/>
              </w:rPr>
              <w:t>T+2</w:t>
            </w:r>
          </w:p>
        </w:tc>
        <w:tc>
          <w:tcPr>
            <w:tcW w:type="dxa" w:w="2160"/>
          </w:tcPr>
          <w:p>
            <w:pPr/>
            <w:r>
              <w:rPr>
                <w:sz w:val="18"/>
              </w:rPr>
              <w:t>T+1 (Jan 2023)</w:t>
            </w:r>
          </w:p>
        </w:tc>
        <w:tc>
          <w:tcPr>
            <w:tcW w:type="dxa" w:w="2160"/>
          </w:tcPr>
          <w:p>
            <w:pPr/>
            <w:r>
              <w:rPr>
                <w:sz w:val="18"/>
              </w:rPr>
            </w:r>
          </w:p>
        </w:tc>
      </w:tr>
      <w:tr>
        <w:tc>
          <w:tcPr>
            <w:tcW w:type="dxa" w:w="2160"/>
          </w:tcPr>
          <w:p>
            <w:pPr/>
            <w:r>
              <w:rPr>
                <w:sz w:val="18"/>
              </w:rPr>
              <w:t>China</w:t>
            </w:r>
          </w:p>
        </w:tc>
        <w:tc>
          <w:tcPr>
            <w:tcW w:type="dxa" w:w="2160"/>
          </w:tcPr>
          <w:p>
            <w:pPr/>
            <w:r>
              <w:rPr>
                <w:sz w:val="18"/>
              </w:rPr>
              <w:t>T+0 / T+1</w:t>
            </w:r>
          </w:p>
        </w:tc>
        <w:tc>
          <w:tcPr>
            <w:tcW w:type="dxa" w:w="2160"/>
          </w:tcPr>
          <w:p>
            <w:pPr/>
            <w:r>
              <w:rPr>
                <w:sz w:val="18"/>
              </w:rPr>
              <w:t>T+0 / T+1</w:t>
            </w:r>
          </w:p>
        </w:tc>
        <w:tc>
          <w:tcPr>
            <w:tcW w:type="dxa" w:w="2160"/>
          </w:tcPr>
          <w:p>
            <w:pPr/>
            <w:r>
              <w:rPr>
                <w:sz w:val="18"/>
              </w:rPr>
            </w:r>
          </w:p>
        </w:tc>
      </w:tr>
      <w:tr>
        <w:tc>
          <w:tcPr>
            <w:tcW w:type="dxa" w:w="2160"/>
          </w:tcPr>
          <w:p>
            <w:pPr/>
            <w:r>
              <w:rPr>
                <w:sz w:val="18"/>
              </w:rPr>
              <w:t>Korea</w:t>
            </w:r>
          </w:p>
        </w:tc>
        <w:tc>
          <w:tcPr>
            <w:tcW w:type="dxa" w:w="2160"/>
          </w:tcPr>
          <w:p>
            <w:pPr/>
            <w:r>
              <w:rPr>
                <w:sz w:val="18"/>
              </w:rPr>
              <w:t>T+2</w:t>
            </w:r>
          </w:p>
        </w:tc>
        <w:tc>
          <w:tcPr>
            <w:tcW w:type="dxa" w:w="2160"/>
          </w:tcPr>
          <w:p>
            <w:pPr/>
            <w:r>
              <w:rPr>
                <w:sz w:val="18"/>
              </w:rPr>
              <w:t>T+2</w:t>
            </w:r>
          </w:p>
        </w:tc>
        <w:tc>
          <w:tcPr>
            <w:tcW w:type="dxa" w:w="2160"/>
          </w:tcPr>
          <w:p>
            <w:pPr/>
            <w:r>
              <w:rPr>
                <w:sz w:val="18"/>
              </w:rPr>
            </w:r>
          </w:p>
        </w:tc>
      </w:tr>
    </w:tbl>
    <w:p/>
    <w:p>
      <w:pPr>
        <w:pStyle w:val="Heading3"/>
      </w:pPr>
      <w:r>
        <w:t>5.2 DVP Models</w:t>
      </w:r>
    </w:p>
    <w:p>
      <w:pPr>
        <w:pStyle w:val="ListBullet"/>
      </w:pPr>
      <w:r>
        <w:t>BIS Model 1: Gross-gross</w:t>
      </w:r>
    </w:p>
    <w:p>
      <w:pPr>
        <w:pStyle w:val="ListBullet"/>
      </w:pPr>
      <w:r>
        <w:t>BIS Model 2: Gross securities, net funds</w:t>
      </w:r>
    </w:p>
    <w:p>
      <w:pPr>
        <w:pStyle w:val="ListBullet"/>
      </w:pPr>
      <w:r>
        <w:t>BIS Model 3: Net-net</w:t>
      </w:r>
    </w:p>
    <w:p>
      <w:pPr>
        <w:pStyle w:val="Heading3"/>
      </w:pPr>
      <w:r>
        <w:t>5.3 Settlement Finality</w:t>
      </w:r>
    </w:p>
    <w:p>
      <w:pPr>
        <w:pStyle w:val="ListBullet"/>
      </w:pPr>
      <w:r>
        <w:t>EU: Settlement Finality Directive (SFD, 98/26/EC) ensures that transfer orders entered into designated systems are legally enforceable and irrevocable, even in insolvency</w:t>
      </w:r>
    </w:p>
    <w:p>
      <w:pPr>
        <w:pStyle w:val="ListBullet"/>
      </w:pPr>
      <w:r>
        <w:t>UK: Financial Markets and Insolvency (Settlement Finality) Regulations 1999</w:t>
      </w:r>
    </w:p>
    <w:p>
      <w:pPr>
        <w:pStyle w:val="ListBullet"/>
      </w:pPr>
      <w:r>
        <w:t>U.S.: NSCC/FICC/DTC settlement is final upon book-entry at DTC; legal certainty under UCC Article 8 and Dodd-Frank</w:t>
      </w:r>
    </w:p>
    <w:p>
      <w:pPr>
        <w:pStyle w:val="ListBullet"/>
      </w:pPr>
      <w:r>
        <w:t>Hong Kong: HKSCC settlement finality achieved on T+2 via CCASS with same-day finality for money settlement (introduced July 2011)</w:t>
      </w:r>
    </w:p>
    <w:p>
      <w:pPr>
        <w:pStyle w:val="ListBullet"/>
      </w:pPr>
      <w:r>
        <w:t>Japan: JGB settlement cycle shortened to T+1 in 2018; equities T+2 since 2019</w:t>
      </w:r>
    </w:p>
    <w:p>
      <w:pPr>
        <w:pStyle w:val="ListBullet"/>
      </w:pPr>
      <w:r>
        <w:t>Australia: ASX operates CHESS settlement with batch settlement finality; December 2024 batch failure highlighted operational risk concerns</w:t>
      </w:r>
    </w:p>
    <w:p>
      <w:pPr>
        <w:pStyle w:val="ListBullet"/>
      </w:pPr>
      <w:r>
        <w:t>Singapore: CDP achieved true DVP settlement finality in 2018 (Phase 2 of post-trade modernization)</w:t>
      </w:r>
    </w:p>
    <w:p>
      <w:pPr>
        <w:pStyle w:val="ListBullet"/>
      </w:pPr>
      <w:r>
        <w:t>T2S (Europe): Provides real-time gross settlement in central bank money with immediate finality for participating CSDs</w:t>
      </w:r>
    </w:p>
    <w:p>
      <w:r>
        <w:t>────────────────────────────────────────────────────────────</w:t>
      </w:r>
    </w:p>
    <w:p>
      <w:pPr>
        <w:pStyle w:val="Heading2"/>
      </w:pPr>
      <w:r>
        <w:t>6. Regulatory Framework</w:t>
      </w:r>
    </w:p>
    <w:p>
      <w:pPr>
        <w:pStyle w:val="Heading3"/>
      </w:pPr>
      <w:r>
        <w:t>6.1 International Standards</w:t>
      </w:r>
    </w:p>
    <w:p>
      <w:pPr>
        <w:pStyle w:val="ListBullet"/>
      </w:pPr>
      <w:r>
        <w:t>CPMI-IOSCO PFMI (2012)</w:t>
      </w:r>
    </w:p>
    <w:p>
      <w:pPr>
        <w:pStyle w:val="ListBullet"/>
      </w:pPr>
      <w:r>
        <w:t>FSB guidance on CCP recovery and resolution</w:t>
      </w:r>
    </w:p>
    <w:p>
      <w:pPr>
        <w:pStyle w:val="ListBullet"/>
      </w:pPr>
      <w:r>
        <w:t>Basel III CCP capital requirements</w:t>
      </w:r>
    </w:p>
    <w:p>
      <w:pPr>
        <w:pStyle w:val="Heading3"/>
      </w:pPr>
      <w:r>
        <w:t>6.2 Regional Regulations</w:t>
      </w:r>
    </w:p>
    <w:p>
      <w:pPr>
        <w:pStyle w:val="ListBullet"/>
      </w:pPr>
      <w:r>
        <w:t>U.S.: Dodd-Frank Title VII &amp; VIII</w:t>
      </w:r>
    </w:p>
    <w:p>
      <w:pPr>
        <w:pStyle w:val="ListBullet"/>
      </w:pPr>
      <w:r>
        <w:t>EU: EMIR, CSDR</w:t>
      </w:r>
    </w:p>
    <w:p>
      <w:pPr>
        <w:pStyle w:val="ListBullet"/>
      </w:pPr>
      <w:r>
        <w:t>UK: UK EMIR</w:t>
      </w:r>
    </w:p>
    <w:p>
      <w:pPr>
        <w:pStyle w:val="ListBullet"/>
      </w:pPr>
      <w:r>
        <w:t>Asia: Varies by jurisdiction</w:t>
      </w:r>
    </w:p>
    <w:p>
      <w:r>
        <w:t>────────────────────────────────────────────────────────────</w:t>
      </w:r>
    </w:p>
    <w:p>
      <w:pPr>
        <w:pStyle w:val="Heading2"/>
      </w:pPr>
      <w:r>
        <w:t>7. Key Trends</w:t>
      </w:r>
    </w:p>
    <w:p>
      <w:pPr>
        <w:pStyle w:val="ListBullet"/>
      </w:pPr>
      <w:r>
        <w:t>CCP resilience and stress testing</w:t>
      </w:r>
    </w:p>
    <w:p>
      <w:pPr>
        <w:pStyle w:val="ListBullet"/>
      </w:pPr>
      <w:r>
        <w:t>T+1 / T+0 settlement acceleration</w:t>
      </w:r>
    </w:p>
    <w:p>
      <w:pPr>
        <w:pStyle w:val="ListBullet"/>
      </w:pPr>
      <w:r>
        <w:t>DLT/blockchain in post-trade</w:t>
      </w:r>
    </w:p>
    <w:p>
      <w:pPr>
        <w:pStyle w:val="ListBullet"/>
      </w:pPr>
      <w:r>
        <w:t>Cloud adoption in clearing systems</w:t>
      </w:r>
    </w:p>
    <w:p>
      <w:pPr>
        <w:pStyle w:val="ListBullet"/>
      </w:pPr>
      <w:r>
        <w:t>Interoperability between CCPs</w:t>
      </w:r>
    </w:p>
    <w:p>
      <w:pPr>
        <w:pStyle w:val="ListBullet"/>
      </w:pPr>
      <w:r>
        <w:t>Cross-border regulatory cooperation</w:t>
      </w:r>
    </w:p>
    <w:p>
      <w:r>
        <w:t>────────────────────────────────────────────────────────────</w:t>
      </w:r>
    </w:p>
    <w:p>
      <w:pPr>
        <w:pStyle w:val="Heading2"/>
      </w:pPr>
      <w:r>
        <w:t>8. Research Roadmap</w:t>
      </w:r>
    </w:p>
    <w:p>
      <w:pPr>
        <w:pStyle w:val="Heading3"/>
      </w:pPr>
      <w:r>
        <w:t>Tier 1 — Deep Dive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Organization</w:t>
            </w:r>
          </w:p>
        </w:tc>
        <w:tc>
          <w:tcPr>
            <w:tcW w:type="dxa" w:w="2880"/>
          </w:tcPr>
          <w:p>
            <w:pPr/>
            <w:r>
              <w:rPr>
                <w:b/>
                <w:sz w:val="18"/>
              </w:rPr>
              <w:t>File</w:t>
            </w:r>
          </w:p>
        </w:tc>
        <w:tc>
          <w:tcPr>
            <w:tcW w:type="dxa" w:w="2880"/>
          </w:tcPr>
          <w:p>
            <w:pPr/>
            <w:r>
              <w:rPr>
                <w:b/>
                <w:sz w:val="18"/>
              </w:rPr>
              <w:t>Status</w:t>
            </w:r>
          </w:p>
        </w:tc>
      </w:tr>
      <w:tr>
        <w:tc>
          <w:tcPr>
            <w:tcW w:type="dxa" w:w="2880"/>
          </w:tcPr>
          <w:p>
            <w:pPr/>
            <w:r>
              <w:rPr>
                <w:sz w:val="18"/>
              </w:rPr>
              <w:t>DTCC</w:t>
            </w:r>
          </w:p>
        </w:tc>
        <w:tc>
          <w:tcPr>
            <w:tcW w:type="dxa" w:w="2880"/>
          </w:tcPr>
          <w:p>
            <w:pPr/>
            <w:r>
              <w:rPr>
                <w:sz w:val="18"/>
              </w:rPr>
              <w:t>[dtcc.md](organizations/dtcc.md)</w:t>
            </w:r>
          </w:p>
        </w:tc>
        <w:tc>
          <w:tcPr>
            <w:tcW w:type="dxa" w:w="2880"/>
          </w:tcPr>
          <w:p>
            <w:pPr/>
            <w:r>
              <w:rPr>
                <w:sz w:val="18"/>
              </w:rPr>
              <w:t>**Completed** (2026-04-07)</w:t>
            </w:r>
          </w:p>
        </w:tc>
      </w:tr>
      <w:tr>
        <w:tc>
          <w:tcPr>
            <w:tcW w:type="dxa" w:w="2880"/>
          </w:tcPr>
          <w:p>
            <w:pPr/>
            <w:r>
              <w:rPr>
                <w:sz w:val="18"/>
              </w:rPr>
              <w:t>LCH</w:t>
            </w:r>
          </w:p>
        </w:tc>
        <w:tc>
          <w:tcPr>
            <w:tcW w:type="dxa" w:w="2880"/>
          </w:tcPr>
          <w:p>
            <w:pPr/>
            <w:r>
              <w:rPr>
                <w:sz w:val="18"/>
              </w:rPr>
              <w:t>[lch.md](organizations/lch.md)</w:t>
            </w:r>
          </w:p>
        </w:tc>
        <w:tc>
          <w:tcPr>
            <w:tcW w:type="dxa" w:w="2880"/>
          </w:tcPr>
          <w:p>
            <w:pPr/>
            <w:r>
              <w:rPr>
                <w:sz w:val="18"/>
              </w:rPr>
              <w:t>**Completed** (2026-04-07)</w:t>
            </w:r>
          </w:p>
        </w:tc>
      </w:tr>
      <w:tr>
        <w:tc>
          <w:tcPr>
            <w:tcW w:type="dxa" w:w="2880"/>
          </w:tcPr>
          <w:p>
            <w:pPr/>
            <w:r>
              <w:rPr>
                <w:sz w:val="18"/>
              </w:rPr>
              <w:t>OCC</w:t>
            </w:r>
          </w:p>
        </w:tc>
        <w:tc>
          <w:tcPr>
            <w:tcW w:type="dxa" w:w="2880"/>
          </w:tcPr>
          <w:p>
            <w:pPr/>
            <w:r>
              <w:rPr>
                <w:sz w:val="18"/>
              </w:rPr>
              <w:t>[occ.md](organizations/occ.md)</w:t>
            </w:r>
          </w:p>
        </w:tc>
        <w:tc>
          <w:tcPr>
            <w:tcW w:type="dxa" w:w="2880"/>
          </w:tcPr>
          <w:p>
            <w:pPr/>
            <w:r>
              <w:rPr>
                <w:sz w:val="18"/>
              </w:rPr>
              <w:t>**Completed** (2026-04-07)</w:t>
            </w:r>
          </w:p>
        </w:tc>
      </w:tr>
      <w:tr>
        <w:tc>
          <w:tcPr>
            <w:tcW w:type="dxa" w:w="2880"/>
          </w:tcPr>
          <w:p>
            <w:pPr/>
            <w:r>
              <w:rPr>
                <w:sz w:val="18"/>
              </w:rPr>
              <w:t>CME Clearing</w:t>
            </w:r>
          </w:p>
        </w:tc>
        <w:tc>
          <w:tcPr>
            <w:tcW w:type="dxa" w:w="2880"/>
          </w:tcPr>
          <w:p>
            <w:pPr/>
            <w:r>
              <w:rPr>
                <w:sz w:val="18"/>
              </w:rPr>
              <w:t>[cme_clearing.md](organizations/cme_clearing.md)</w:t>
            </w:r>
          </w:p>
        </w:tc>
        <w:tc>
          <w:tcPr>
            <w:tcW w:type="dxa" w:w="2880"/>
          </w:tcPr>
          <w:p>
            <w:pPr/>
            <w:r>
              <w:rPr>
                <w:sz w:val="18"/>
              </w:rPr>
              <w:t>**Completed** (2026-04-07)</w:t>
            </w:r>
          </w:p>
        </w:tc>
      </w:tr>
      <w:tr>
        <w:tc>
          <w:tcPr>
            <w:tcW w:type="dxa" w:w="2880"/>
          </w:tcPr>
          <w:p>
            <w:pPr/>
            <w:r>
              <w:rPr>
                <w:sz w:val="18"/>
              </w:rPr>
              <w:t>Eurex Clearing</w:t>
            </w:r>
          </w:p>
        </w:tc>
        <w:tc>
          <w:tcPr>
            <w:tcW w:type="dxa" w:w="2880"/>
          </w:tcPr>
          <w:p>
            <w:pPr/>
            <w:r>
              <w:rPr>
                <w:sz w:val="18"/>
              </w:rPr>
              <w:t>[eurex_clearing.md](organizations/eurex_clearing.md)</w:t>
            </w:r>
          </w:p>
        </w:tc>
        <w:tc>
          <w:tcPr>
            <w:tcW w:type="dxa" w:w="2880"/>
          </w:tcPr>
          <w:p>
            <w:pPr/>
            <w:r>
              <w:rPr>
                <w:sz w:val="18"/>
              </w:rPr>
              <w:t>**Completed** (2026-04-07)</w:t>
            </w:r>
          </w:p>
        </w:tc>
      </w:tr>
      <w:tr>
        <w:tc>
          <w:tcPr>
            <w:tcW w:type="dxa" w:w="2880"/>
          </w:tcPr>
          <w:p>
            <w:pPr/>
            <w:r>
              <w:rPr>
                <w:sz w:val="18"/>
              </w:rPr>
              <w:t>KRX Clearing</w:t>
            </w:r>
          </w:p>
        </w:tc>
        <w:tc>
          <w:tcPr>
            <w:tcW w:type="dxa" w:w="2880"/>
          </w:tcPr>
          <w:p>
            <w:pPr/>
            <w:r>
              <w:rPr>
                <w:sz w:val="18"/>
              </w:rPr>
              <w:t>[krx_clearing.md](organizations/krx_clearing.md)</w:t>
            </w:r>
          </w:p>
        </w:tc>
        <w:tc>
          <w:tcPr>
            <w:tcW w:type="dxa" w:w="2880"/>
          </w:tcPr>
          <w:p>
            <w:pPr/>
            <w:r>
              <w:rPr>
                <w:sz w:val="18"/>
              </w:rPr>
              <w:t>**Completed** (2026-04-13)</w:t>
            </w:r>
          </w:p>
        </w:tc>
      </w:tr>
      <w:tr>
        <w:tc>
          <w:tcPr>
            <w:tcW w:type="dxa" w:w="2880"/>
          </w:tcPr>
          <w:p>
            <w:pPr/>
            <w:r>
              <w:rPr>
                <w:sz w:val="18"/>
              </w:rPr>
              <w:t>KSD</w:t>
            </w:r>
          </w:p>
        </w:tc>
        <w:tc>
          <w:tcPr>
            <w:tcW w:type="dxa" w:w="2880"/>
          </w:tcPr>
          <w:p>
            <w:pPr/>
            <w:r>
              <w:rPr>
                <w:sz w:val="18"/>
              </w:rPr>
              <w:t>[ksd.md](organizations/ksd.md)</w:t>
            </w:r>
          </w:p>
        </w:tc>
        <w:tc>
          <w:tcPr>
            <w:tcW w:type="dxa" w:w="2880"/>
          </w:tcPr>
          <w:p>
            <w:pPr/>
            <w:r>
              <w:rPr>
                <w:sz w:val="18"/>
              </w:rPr>
              <w:t>**Completed** (2026-04-13)</w:t>
            </w:r>
          </w:p>
        </w:tc>
      </w:tr>
    </w:tbl>
    <w:p/>
    <w:p>
      <w:pPr>
        <w:pStyle w:val="Heading3"/>
      </w:pPr>
      <w:r>
        <w:t>Tier 2 — Standard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Organization</w:t>
            </w:r>
          </w:p>
        </w:tc>
        <w:tc>
          <w:tcPr>
            <w:tcW w:type="dxa" w:w="2880"/>
          </w:tcPr>
          <w:p>
            <w:pPr/>
            <w:r>
              <w:rPr>
                <w:b/>
                <w:sz w:val="18"/>
              </w:rPr>
              <w:t>File</w:t>
            </w:r>
          </w:p>
        </w:tc>
        <w:tc>
          <w:tcPr>
            <w:tcW w:type="dxa" w:w="2880"/>
          </w:tcPr>
          <w:p>
            <w:pPr/>
            <w:r>
              <w:rPr>
                <w:b/>
                <w:sz w:val="18"/>
              </w:rPr>
              <w:t>Status</w:t>
            </w:r>
          </w:p>
        </w:tc>
      </w:tr>
      <w:tr>
        <w:tc>
          <w:tcPr>
            <w:tcW w:type="dxa" w:w="2880"/>
          </w:tcPr>
          <w:p>
            <w:pPr/>
            <w:r>
              <w:rPr>
                <w:sz w:val="18"/>
              </w:rPr>
              <w:t>JSCC</w:t>
            </w:r>
          </w:p>
        </w:tc>
        <w:tc>
          <w:tcPr>
            <w:tcW w:type="dxa" w:w="2880"/>
          </w:tcPr>
          <w:p>
            <w:pPr/>
            <w:r>
              <w:rPr>
                <w:sz w:val="18"/>
              </w:rPr>
              <w:t>[jscc.md](organizations/jscc.md)</w:t>
            </w:r>
          </w:p>
        </w:tc>
        <w:tc>
          <w:tcPr>
            <w:tcW w:type="dxa" w:w="2880"/>
          </w:tcPr>
          <w:p>
            <w:pPr/>
            <w:r>
              <w:rPr>
                <w:sz w:val="18"/>
              </w:rPr>
              <w:t>**Completed** (2026-04-07)</w:t>
            </w:r>
          </w:p>
        </w:tc>
      </w:tr>
      <w:tr>
        <w:tc>
          <w:tcPr>
            <w:tcW w:type="dxa" w:w="2880"/>
          </w:tcPr>
          <w:p>
            <w:pPr/>
            <w:r>
              <w:rPr>
                <w:sz w:val="18"/>
              </w:rPr>
              <w:t>HKSCC/HKCC/SEOCH</w:t>
            </w:r>
          </w:p>
        </w:tc>
        <w:tc>
          <w:tcPr>
            <w:tcW w:type="dxa" w:w="2880"/>
          </w:tcPr>
          <w:p>
            <w:pPr/>
            <w:r>
              <w:rPr>
                <w:sz w:val="18"/>
              </w:rPr>
              <w:t>[hkex_clearing.md](organizations/hkex_clearing.md)</w:t>
            </w:r>
          </w:p>
        </w:tc>
        <w:tc>
          <w:tcPr>
            <w:tcW w:type="dxa" w:w="2880"/>
          </w:tcPr>
          <w:p>
            <w:pPr/>
            <w:r>
              <w:rPr>
                <w:sz w:val="18"/>
              </w:rPr>
              <w:t>**Completed** (2026-04-07)</w:t>
            </w:r>
          </w:p>
        </w:tc>
      </w:tr>
      <w:tr>
        <w:tc>
          <w:tcPr>
            <w:tcW w:type="dxa" w:w="2880"/>
          </w:tcPr>
          <w:p>
            <w:pPr/>
            <w:r>
              <w:rPr>
                <w:sz w:val="18"/>
              </w:rPr>
              <w:t>CDP (Singapore)</w:t>
            </w:r>
          </w:p>
        </w:tc>
        <w:tc>
          <w:tcPr>
            <w:tcW w:type="dxa" w:w="2880"/>
          </w:tcPr>
          <w:p>
            <w:pPr/>
            <w:r>
              <w:rPr>
                <w:sz w:val="18"/>
              </w:rPr>
              <w:t>[cdp.md](organizations/cdp.md)</w:t>
            </w:r>
          </w:p>
        </w:tc>
        <w:tc>
          <w:tcPr>
            <w:tcW w:type="dxa" w:w="2880"/>
          </w:tcPr>
          <w:p>
            <w:pPr/>
            <w:r>
              <w:rPr>
                <w:sz w:val="18"/>
              </w:rPr>
              <w:t>**Completed** (2026-04-07)</w:t>
            </w:r>
          </w:p>
        </w:tc>
      </w:tr>
      <w:tr>
        <w:tc>
          <w:tcPr>
            <w:tcW w:type="dxa" w:w="2880"/>
          </w:tcPr>
          <w:p>
            <w:pPr/>
            <w:r>
              <w:rPr>
                <w:sz w:val="18"/>
              </w:rPr>
              <w:t>EuroCCP / Cboe Clear Europe</w:t>
            </w:r>
          </w:p>
        </w:tc>
        <w:tc>
          <w:tcPr>
            <w:tcW w:type="dxa" w:w="2880"/>
          </w:tcPr>
          <w:p>
            <w:pPr/>
            <w:r>
              <w:rPr>
                <w:sz w:val="18"/>
              </w:rPr>
              <w:t>[euroccp.md](organizations/euroccp.md)</w:t>
            </w:r>
          </w:p>
        </w:tc>
        <w:tc>
          <w:tcPr>
            <w:tcW w:type="dxa" w:w="2880"/>
          </w:tcPr>
          <w:p>
            <w:pPr/>
            <w:r>
              <w:rPr>
                <w:sz w:val="18"/>
              </w:rPr>
              <w:t>**Completed** (2026-04-07)</w:t>
            </w:r>
          </w:p>
        </w:tc>
      </w:tr>
      <w:tr>
        <w:tc>
          <w:tcPr>
            <w:tcW w:type="dxa" w:w="2880"/>
          </w:tcPr>
          <w:p>
            <w:pPr/>
            <w:r>
              <w:rPr>
                <w:sz w:val="18"/>
              </w:rPr>
              <w:t>ICE Clear</w:t>
            </w:r>
          </w:p>
        </w:tc>
        <w:tc>
          <w:tcPr>
            <w:tcW w:type="dxa" w:w="2880"/>
          </w:tcPr>
          <w:p>
            <w:pPr/>
            <w:r>
              <w:rPr>
                <w:sz w:val="18"/>
              </w:rPr>
              <w:t>[ice_clear.md](organizations/ice_clear.md)</w:t>
            </w:r>
          </w:p>
        </w:tc>
        <w:tc>
          <w:tcPr>
            <w:tcW w:type="dxa" w:w="2880"/>
          </w:tcPr>
          <w:p>
            <w:pPr/>
            <w:r>
              <w:rPr>
                <w:sz w:val="18"/>
              </w:rPr>
              <w:t>**Completed** (2026-04-07)</w:t>
            </w:r>
          </w:p>
        </w:tc>
      </w:tr>
      <w:tr>
        <w:tc>
          <w:tcPr>
            <w:tcW w:type="dxa" w:w="2880"/>
          </w:tcPr>
          <w:p>
            <w:pPr/>
            <w:r>
              <w:rPr>
                <w:sz w:val="18"/>
              </w:rPr>
              <w:t>ASX Clear</w:t>
            </w:r>
          </w:p>
        </w:tc>
        <w:tc>
          <w:tcPr>
            <w:tcW w:type="dxa" w:w="2880"/>
          </w:tcPr>
          <w:p>
            <w:pPr/>
            <w:r>
              <w:rPr>
                <w:sz w:val="18"/>
              </w:rPr>
              <w:t>[asx_clear.md](organizations/asx_clear.md)</w:t>
            </w:r>
          </w:p>
        </w:tc>
        <w:tc>
          <w:tcPr>
            <w:tcW w:type="dxa" w:w="2880"/>
          </w:tcPr>
          <w:p>
            <w:pPr/>
            <w:r>
              <w:rPr>
                <w:sz w:val="18"/>
              </w:rPr>
              <w:t>**Completed** (2026-04-07)</w:t>
            </w:r>
          </w:p>
        </w:tc>
      </w:tr>
    </w:tbl>
    <w:p/>
    <w:p>
      <w:pPr>
        <w:pStyle w:val="Heading3"/>
      </w:pPr>
      <w:r>
        <w:t>Tier 3 — Overview</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Organization</w:t>
            </w:r>
          </w:p>
        </w:tc>
        <w:tc>
          <w:tcPr>
            <w:tcW w:type="dxa" w:w="2880"/>
          </w:tcPr>
          <w:p>
            <w:pPr/>
            <w:r>
              <w:rPr>
                <w:b/>
                <w:sz w:val="18"/>
              </w:rPr>
              <w:t>File</w:t>
            </w:r>
          </w:p>
        </w:tc>
        <w:tc>
          <w:tcPr>
            <w:tcW w:type="dxa" w:w="2880"/>
          </w:tcPr>
          <w:p>
            <w:pPr/>
            <w:r>
              <w:rPr>
                <w:b/>
                <w:sz w:val="18"/>
              </w:rPr>
              <w:t>Status</w:t>
            </w:r>
          </w:p>
        </w:tc>
      </w:tr>
      <w:tr>
        <w:tc>
          <w:tcPr>
            <w:tcW w:type="dxa" w:w="2880"/>
          </w:tcPr>
          <w:p>
            <w:pPr/>
            <w:r>
              <w:rPr>
                <w:sz w:val="18"/>
              </w:rPr>
              <w:t>SIX x-clear</w:t>
            </w:r>
          </w:p>
        </w:tc>
        <w:tc>
          <w:tcPr>
            <w:tcW w:type="dxa" w:w="2880"/>
          </w:tcPr>
          <w:p>
            <w:pPr/>
            <w:r>
              <w:rPr>
                <w:sz w:val="18"/>
              </w:rPr>
              <w:t>[six_xclear.md](organizations/six_xclear.md)</w:t>
            </w:r>
          </w:p>
        </w:tc>
        <w:tc>
          <w:tcPr>
            <w:tcW w:type="dxa" w:w="2880"/>
          </w:tcPr>
          <w:p>
            <w:pPr/>
            <w:r>
              <w:rPr>
                <w:sz w:val="18"/>
              </w:rPr>
              <w:t>**Completed** (2026-04-07)</w:t>
            </w:r>
          </w:p>
        </w:tc>
      </w:tr>
      <w:tr>
        <w:tc>
          <w:tcPr>
            <w:tcW w:type="dxa" w:w="2880"/>
          </w:tcPr>
          <w:p>
            <w:pPr/>
            <w:r>
              <w:rPr>
                <w:sz w:val="18"/>
              </w:rPr>
              <w:t>Euroclear</w:t>
            </w:r>
          </w:p>
        </w:tc>
        <w:tc>
          <w:tcPr>
            <w:tcW w:type="dxa" w:w="2880"/>
          </w:tcPr>
          <w:p>
            <w:pPr/>
            <w:r>
              <w:rPr>
                <w:sz w:val="18"/>
              </w:rPr>
              <w:t>[euroclear.md](organizations/euroclear.md)</w:t>
            </w:r>
          </w:p>
        </w:tc>
        <w:tc>
          <w:tcPr>
            <w:tcW w:type="dxa" w:w="2880"/>
          </w:tcPr>
          <w:p>
            <w:pPr/>
            <w:r>
              <w:rPr>
                <w:sz w:val="18"/>
              </w:rPr>
              <w:t>**Completed** (2026-04-07)</w:t>
            </w:r>
          </w:p>
        </w:tc>
      </w:tr>
      <w:tr>
        <w:tc>
          <w:tcPr>
            <w:tcW w:type="dxa" w:w="2880"/>
          </w:tcPr>
          <w:p>
            <w:pPr/>
            <w:r>
              <w:rPr>
                <w:sz w:val="18"/>
              </w:rPr>
              <w:t>Clearstream</w:t>
            </w:r>
          </w:p>
        </w:tc>
        <w:tc>
          <w:tcPr>
            <w:tcW w:type="dxa" w:w="2880"/>
          </w:tcPr>
          <w:p>
            <w:pPr/>
            <w:r>
              <w:rPr>
                <w:sz w:val="18"/>
              </w:rPr>
              <w:t>[clearstream.md](organizations/clearstream.md)</w:t>
            </w:r>
          </w:p>
        </w:tc>
        <w:tc>
          <w:tcPr>
            <w:tcW w:type="dxa" w:w="2880"/>
          </w:tcPr>
          <w:p>
            <w:pPr/>
            <w:r>
              <w:rPr>
                <w:sz w:val="18"/>
              </w:rPr>
              <w:t>**Completed** (2026-04-07)</w:t>
            </w:r>
          </w:p>
        </w:tc>
      </w:tr>
      <w:tr>
        <w:tc>
          <w:tcPr>
            <w:tcW w:type="dxa" w:w="2880"/>
          </w:tcPr>
          <w:p>
            <w:pPr/>
            <w:r>
              <w:rPr>
                <w:sz w:val="18"/>
              </w:rPr>
              <w:t>CSDC</w:t>
            </w:r>
          </w:p>
        </w:tc>
        <w:tc>
          <w:tcPr>
            <w:tcW w:type="dxa" w:w="2880"/>
          </w:tcPr>
          <w:p>
            <w:pPr/>
            <w:r>
              <w:rPr>
                <w:sz w:val="18"/>
              </w:rPr>
              <w:t>[csdc.md](organizations/csdc.md)</w:t>
            </w:r>
          </w:p>
        </w:tc>
        <w:tc>
          <w:tcPr>
            <w:tcW w:type="dxa" w:w="2880"/>
          </w:tcPr>
          <w:p>
            <w:pPr/>
            <w:r>
              <w:rPr>
                <w:sz w:val="18"/>
              </w:rPr>
              <w:t>**Completed** (2026-04-07)</w:t>
            </w:r>
          </w:p>
        </w:tc>
      </w:tr>
      <w:tr>
        <w:tc>
          <w:tcPr>
            <w:tcW w:type="dxa" w:w="2880"/>
          </w:tcPr>
          <w:p>
            <w:pPr/>
            <w:r>
              <w:rPr>
                <w:sz w:val="18"/>
              </w:rPr>
              <w:t>CCIL</w:t>
            </w:r>
          </w:p>
        </w:tc>
        <w:tc>
          <w:tcPr>
            <w:tcW w:type="dxa" w:w="2880"/>
          </w:tcPr>
          <w:p>
            <w:pPr/>
            <w:r>
              <w:rPr>
                <w:sz w:val="18"/>
              </w:rPr>
              <w:t>[ccil.md](organizations/ccil.md)</w:t>
            </w:r>
          </w:p>
        </w:tc>
        <w:tc>
          <w:tcPr>
            <w:tcW w:type="dxa" w:w="2880"/>
          </w:tcPr>
          <w:p>
            <w:pPr/>
            <w:r>
              <w:rPr>
                <w:sz w:val="18"/>
              </w:rPr>
              <w:t>**Completed** (2026-04-07)</w:t>
            </w:r>
          </w:p>
        </w:tc>
      </w:tr>
      <w:tr>
        <w:tc>
          <w:tcPr>
            <w:tcW w:type="dxa" w:w="2880"/>
          </w:tcPr>
          <w:p>
            <w:pPr/>
            <w:r>
              <w:rPr>
                <w:sz w:val="18"/>
              </w:rPr>
              <w:t>CDS Canada</w:t>
            </w:r>
          </w:p>
        </w:tc>
        <w:tc>
          <w:tcPr>
            <w:tcW w:type="dxa" w:w="2880"/>
          </w:tcPr>
          <w:p>
            <w:pPr/>
            <w:r>
              <w:rPr>
                <w:sz w:val="18"/>
              </w:rPr>
              <w:t>[cds_canada.md](organizations/cds_canada.md)</w:t>
            </w:r>
          </w:p>
        </w:tc>
        <w:tc>
          <w:tcPr>
            <w:tcW w:type="dxa" w:w="2880"/>
          </w:tcPr>
          <w:p>
            <w:pPr/>
            <w:r>
              <w:rPr>
                <w:sz w:val="18"/>
              </w:rPr>
              <w:t>**Completed** (2026-04-07)</w:t>
            </w:r>
          </w:p>
        </w:tc>
      </w:tr>
      <w:tr>
        <w:tc>
          <w:tcPr>
            <w:tcW w:type="dxa" w:w="2880"/>
          </w:tcPr>
          <w:p>
            <w:pPr/>
            <w:r>
              <w:rPr>
                <w:sz w:val="18"/>
              </w:rPr>
              <w:t>Muqassa</w:t>
            </w:r>
          </w:p>
        </w:tc>
        <w:tc>
          <w:tcPr>
            <w:tcW w:type="dxa" w:w="2880"/>
          </w:tcPr>
          <w:p>
            <w:pPr/>
            <w:r>
              <w:rPr>
                <w:sz w:val="18"/>
              </w:rPr>
              <w:t>[muqassa.md](organizations/muqassa.md)</w:t>
            </w:r>
          </w:p>
        </w:tc>
        <w:tc>
          <w:tcPr>
            <w:tcW w:type="dxa" w:w="2880"/>
          </w:tcPr>
          <w:p>
            <w:pPr/>
            <w:r>
              <w:rPr>
                <w:sz w:val="18"/>
              </w:rPr>
              <w:t>**Completed** (2026-04-07)</w:t>
            </w:r>
          </w:p>
        </w:tc>
      </w:tr>
    </w:tbl>
    <w:p/>
    <w:p>
      <w:pPr>
        <w:pStyle w:val="Heading3"/>
      </w:pPr>
      <w:r>
        <w:t>Systems Deep-Dives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System</w:t>
            </w:r>
          </w:p>
        </w:tc>
        <w:tc>
          <w:tcPr>
            <w:tcW w:type="dxa" w:w="2880"/>
          </w:tcPr>
          <w:p>
            <w:pPr/>
            <w:r>
              <w:rPr>
                <w:b/>
                <w:sz w:val="18"/>
              </w:rPr>
              <w:t>File</w:t>
            </w:r>
          </w:p>
        </w:tc>
        <w:tc>
          <w:tcPr>
            <w:tcW w:type="dxa" w:w="2880"/>
          </w:tcPr>
          <w:p>
            <w:pPr/>
            <w:r>
              <w:rPr>
                <w:b/>
                <w:sz w:val="18"/>
              </w:rPr>
              <w:t>Status</w:t>
            </w:r>
          </w:p>
        </w:tc>
      </w:tr>
      <w:tr>
        <w:tc>
          <w:tcPr>
            <w:tcW w:type="dxa" w:w="2880"/>
          </w:tcPr>
          <w:p>
            <w:pPr/>
            <w:r>
              <w:rPr>
                <w:sz w:val="18"/>
              </w:rPr>
              <w:t>DTCC Systems (NSCC CNS, FICC GSD/MBSD, DTC, Project Ion)</w:t>
            </w:r>
          </w:p>
        </w:tc>
        <w:tc>
          <w:tcPr>
            <w:tcW w:type="dxa" w:w="2880"/>
          </w:tcPr>
          <w:p>
            <w:pPr/>
            <w:r>
              <w:rPr>
                <w:sz w:val="18"/>
              </w:rPr>
              <w:t>[dtcc_systems.md](systems/dtcc_systems.md)</w:t>
            </w:r>
          </w:p>
        </w:tc>
        <w:tc>
          <w:tcPr>
            <w:tcW w:type="dxa" w:w="2880"/>
          </w:tcPr>
          <w:p>
            <w:pPr/>
            <w:r>
              <w:rPr>
                <w:sz w:val="18"/>
              </w:rPr>
              <w:t>**Completed** (2026-04-07)</w:t>
            </w:r>
          </w:p>
        </w:tc>
      </w:tr>
      <w:tr>
        <w:tc>
          <w:tcPr>
            <w:tcW w:type="dxa" w:w="2880"/>
          </w:tcPr>
          <w:p>
            <w:pPr/>
            <w:r>
              <w:rPr>
                <w:sz w:val="18"/>
              </w:rPr>
              <w:t>LCH Systems (SwapClear, ForexClear, RepoClear, CDSClear)</w:t>
            </w:r>
          </w:p>
        </w:tc>
        <w:tc>
          <w:tcPr>
            <w:tcW w:type="dxa" w:w="2880"/>
          </w:tcPr>
          <w:p>
            <w:pPr/>
            <w:r>
              <w:rPr>
                <w:sz w:val="18"/>
              </w:rPr>
              <w:t>[lch_systems.md](systems/lch_systems.md)</w:t>
            </w:r>
          </w:p>
        </w:tc>
        <w:tc>
          <w:tcPr>
            <w:tcW w:type="dxa" w:w="2880"/>
          </w:tcPr>
          <w:p>
            <w:pPr/>
            <w:r>
              <w:rPr>
                <w:sz w:val="18"/>
              </w:rPr>
              <w:t>**Completed** (2026-04-07)</w:t>
            </w:r>
          </w:p>
        </w:tc>
      </w:tr>
      <w:tr>
        <w:tc>
          <w:tcPr>
            <w:tcW w:type="dxa" w:w="2880"/>
          </w:tcPr>
          <w:p>
            <w:pPr/>
            <w:r>
              <w:rPr>
                <w:sz w:val="18"/>
              </w:rPr>
              <w:t>Eurex Clearing Prisma Margin Methodology</w:t>
            </w:r>
          </w:p>
        </w:tc>
        <w:tc>
          <w:tcPr>
            <w:tcW w:type="dxa" w:w="2880"/>
          </w:tcPr>
          <w:p>
            <w:pPr/>
            <w:r>
              <w:rPr>
                <w:sz w:val="18"/>
              </w:rPr>
              <w:t>[eurex_clearing_prisma.md](systems/eurex_clearing_prisma.md)</w:t>
            </w:r>
          </w:p>
        </w:tc>
        <w:tc>
          <w:tcPr>
            <w:tcW w:type="dxa" w:w="2880"/>
          </w:tcPr>
          <w:p>
            <w:pPr/>
            <w:r>
              <w:rPr>
                <w:sz w:val="18"/>
              </w:rPr>
              <w:t>**Completed** (2026-04-07)</w:t>
            </w:r>
          </w:p>
        </w:tc>
      </w:tr>
    </w:tbl>
    <w:p/>
    <w:p>
      <w:pPr>
        <w:pStyle w:val="Heading3"/>
      </w:pPr>
      <w:r>
        <w:t>Regulatory Analysis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Topic</w:t>
            </w:r>
          </w:p>
        </w:tc>
        <w:tc>
          <w:tcPr>
            <w:tcW w:type="dxa" w:w="2880"/>
          </w:tcPr>
          <w:p>
            <w:pPr/>
            <w:r>
              <w:rPr>
                <w:b/>
                <w:sz w:val="18"/>
              </w:rPr>
              <w:t>File</w:t>
            </w:r>
          </w:p>
        </w:tc>
        <w:tc>
          <w:tcPr>
            <w:tcW w:type="dxa" w:w="2880"/>
          </w:tcPr>
          <w:p>
            <w:pPr/>
            <w:r>
              <w:rPr>
                <w:b/>
                <w:sz w:val="18"/>
              </w:rPr>
              <w:t>Status</w:t>
            </w:r>
          </w:p>
        </w:tc>
      </w:tr>
      <w:tr>
        <w:tc>
          <w:tcPr>
            <w:tcW w:type="dxa" w:w="2880"/>
          </w:tcPr>
          <w:p>
            <w:pPr/>
            <w:r>
              <w:rPr>
                <w:sz w:val="18"/>
              </w:rPr>
              <w:t>U.S. Clearing Regulation (Dodd-Frank Title VII/VIII, SEC Rule 17Ad-22, Treasury Clearing Mandate)</w:t>
            </w:r>
          </w:p>
        </w:tc>
        <w:tc>
          <w:tcPr>
            <w:tcW w:type="dxa" w:w="2880"/>
          </w:tcPr>
          <w:p>
            <w:pPr/>
            <w:r>
              <w:rPr>
                <w:sz w:val="18"/>
              </w:rPr>
              <w:t>[us_clearing_regulation.md](regulations/us_clearing_regulation.md)</w:t>
            </w:r>
          </w:p>
        </w:tc>
        <w:tc>
          <w:tcPr>
            <w:tcW w:type="dxa" w:w="2880"/>
          </w:tcPr>
          <w:p>
            <w:pPr/>
            <w:r>
              <w:rPr>
                <w:sz w:val="18"/>
              </w:rPr>
              <w:t>**Completed** (2026-04-07)</w:t>
            </w:r>
          </w:p>
        </w:tc>
      </w:tr>
      <w:tr>
        <w:tc>
          <w:tcPr>
            <w:tcW w:type="dxa" w:w="2880"/>
          </w:tcPr>
          <w:p>
            <w:pPr/>
            <w:r>
              <w:rPr>
                <w:sz w:val="18"/>
              </w:rPr>
              <w:t>EU Clearing Regulation (EMIR, CSDR, CCP RRR, EMIR 3.0)</w:t>
            </w:r>
          </w:p>
        </w:tc>
        <w:tc>
          <w:tcPr>
            <w:tcW w:type="dxa" w:w="2880"/>
          </w:tcPr>
          <w:p>
            <w:pPr/>
            <w:r>
              <w:rPr>
                <w:sz w:val="18"/>
              </w:rPr>
              <w:t>[eu_clearing_regulation.md](regulations/eu_clearing_regulation.md)</w:t>
            </w:r>
          </w:p>
        </w:tc>
        <w:tc>
          <w:tcPr>
            <w:tcW w:type="dxa" w:w="2880"/>
          </w:tcPr>
          <w:p>
            <w:pPr/>
            <w:r>
              <w:rPr>
                <w:sz w:val="18"/>
              </w:rPr>
              <w:t>**Completed** (2026-04-07)</w:t>
            </w:r>
          </w:p>
        </w:tc>
      </w:tr>
      <w:tr>
        <w:tc>
          <w:tcPr>
            <w:tcW w:type="dxa" w:w="2880"/>
          </w:tcPr>
          <w:p>
            <w:pPr/>
            <w:r>
              <w:rPr>
                <w:sz w:val="18"/>
              </w:rPr>
              <w:t>Asia Clearing Regulation (Japan, Hong Kong, Singapore, China, India, Australia)</w:t>
            </w:r>
          </w:p>
        </w:tc>
        <w:tc>
          <w:tcPr>
            <w:tcW w:type="dxa" w:w="2880"/>
          </w:tcPr>
          <w:p>
            <w:pPr/>
            <w:r>
              <w:rPr>
                <w:sz w:val="18"/>
              </w:rPr>
              <w:t>[asia_clearing_regulation.md](regulations/asia_clearing_regulation.md)</w:t>
            </w:r>
          </w:p>
        </w:tc>
        <w:tc>
          <w:tcPr>
            <w:tcW w:type="dxa" w:w="2880"/>
          </w:tcPr>
          <w:p>
            <w:pPr/>
            <w:r>
              <w:rPr>
                <w:sz w:val="18"/>
              </w:rPr>
              <w:t>**Completed** (2026-04-07)</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