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/>
        </w:rPr>
        <w:t>Clearstream (Clearstream)</w:t>
      </w:r>
    </w:p>
    <w:p>
      <w:pPr>
        <w:ind w:left="720"/>
        <w:shd w:fill="F0F0F0" w:val="clear"/>
      </w:pPr>
      <w:r>
        <w:rPr>
          <w:rFonts w:ascii="Calibri" w:hAnsi="Calibri"/>
          <w:i/>
        </w:rPr>
        <w:t>**Last Updated:** 2026-04-07</w:t>
      </w:r>
    </w:p>
    <w:p>
      <w:pPr>
        <w:ind w:left="720"/>
        <w:shd w:fill="F0F0F0" w:val="clear"/>
      </w:pPr>
      <w:r>
        <w:rPr>
          <w:rFonts w:ascii="Calibri" w:hAnsi="Calibri"/>
          <w:i/>
        </w:rPr>
        <w:t>**Research Tier:** Tier 3 (Overview)</w:t>
      </w:r>
    </w:p>
    <w:p>
      <w:pPr>
        <w:ind w:left="720"/>
        <w:shd w:fill="F0F0F0" w:val="clear"/>
      </w:pPr>
      <w:r>
        <w:rPr>
          <w:rFonts w:ascii="Calibri" w:hAnsi="Calibri"/>
          <w:i/>
        </w:rPr>
        <w:t>**Type:** ICSD (International Central Securities Depository) + CSD</w:t>
      </w:r>
    </w:p>
    <w:p>
      <w:pPr>
        <w:pBdr>
          <w:bottom w:val="single" w:sz="4" w:space="1" w:color="auto"/>
        </w:pBdr>
      </w:pPr>
    </w:p>
    <w:p>
      <w:pPr>
        <w:pStyle w:val="Heading2"/>
      </w:pPr>
      <w:r>
        <w:rPr>
          <w:rFonts w:ascii="Calibri" w:hAnsi="Calibri"/>
        </w:rPr>
        <w:t>1. Overview &amp; Profile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Item</w:t>
            </w:r>
          </w:p>
        </w:tc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Details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Official Name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Clearstream International S.A. (holding); Clearstream Banking S.A. (ICSD); Clearstream Europe AG (CSD, formerly Clearstream Banking AG)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Abbreviation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Clearstream; CBL (Luxembourg ICSD); CBF (Frankfurt CSD, now Clearstream Europe)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Website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  <w:color w:val="0563C1"/>
                <w:u w:val="single"/>
              </w:rPr>
              <w:t>https://www.clearstream.com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Year Established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2000 (formed from merger of Cedel International and Deutsche Borse Clearing)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Country / City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Luxembourg (ICSD headquarters); Frankfurt, Germany (CSD)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Ownership Structure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Wholly owned subsidiary of Deutsche Borse Group (publicly listed, ticker DB1)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Parent Company / Group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Deutsche Borse Group -- vertically integrated group encompassing Eurex (derivatives), Xetra (cash equities), Eurex Clearing (CCP), Clearstream (CSD/ICSD), EEX (energy), 360T (FX), STOXX/Qontigo (indices)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Regulatory Authority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CSSF (Commission de Surveillance du Secteur Financier, Luxembourg) for CBL; BaFin/Bundesbank for Clearstream Europe AG (Frankfurt)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CPMI-IOSCO PFMI Compliance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Yes -- publishes comprehensive CPMI-IOSCO disclosure reports for CBL and Clearstream Europe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CSDR Authorization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CBL authorized under CSDR on 12 April 2021 (core CSD services, banking ancillary services, interoperable Bridge link)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Assets Under Custody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EUR 20 trillion+ (group-wide); access to 60 markets globally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T2S Volume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Handles over 50% of entire T2S settlement volume via Clearstream Europe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Position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One of two global ICSDs (alongside Euroclear Bank); largest CSD in the Eurozone by T2S volume</w:t>
            </w:r>
          </w:p>
        </w:tc>
      </w:tr>
    </w:tbl>
    <w:p/>
    <w:p>
      <w:r>
        <w:rPr>
          <w:rFonts w:ascii="Calibri" w:hAnsi="Calibri"/>
        </w:rPr>
        <w:t>[Source: Clearstream -- About Clearstream, https://www.clearstream.com/clearstream-en/about-clearstream]</w:t>
      </w:r>
    </w:p>
    <w:p>
      <w:r>
        <w:rPr>
          <w:rFonts w:ascii="Calibri" w:hAnsi="Calibri"/>
        </w:rPr>
        <w:t>[Source: Wikipedia -- Clearstream, https://en.wikipedia.org/wiki/Clearstream]</w:t>
      </w:r>
    </w:p>
    <w:p>
      <w:r>
        <w:rPr>
          <w:rFonts w:ascii="Calibri" w:hAnsi="Calibri"/>
        </w:rPr>
        <w:t>[Source: Deutsche Borse -- Clearstream Europe Rebranding, https://www.deutsche-boerse.com/dbg-en/media/news-stories/press-releases/Clearstream-reinforces-commitment-to-Europe-by-rebranding-its-Germany-based-CSD-to-Clearstream-Europe-4688174]</w:t>
      </w:r>
    </w:p>
    <w:p>
      <w:pPr>
        <w:pStyle w:val="Heading3"/>
      </w:pPr>
      <w:r>
        <w:rPr>
          <w:rFonts w:ascii="Calibri" w:hAnsi="Calibri"/>
        </w:rPr>
        <w:t>Clearstream Group Entities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Entity</w:t>
            </w:r>
          </w:p>
        </w:tc>
        <w:tc>
          <w:tcPr>
            <w:tcW w:type="dxa" w:w="216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Type</w:t>
            </w:r>
          </w:p>
        </w:tc>
        <w:tc>
          <w:tcPr>
            <w:tcW w:type="dxa" w:w="216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Location</w:t>
            </w:r>
          </w:p>
        </w:tc>
        <w:tc>
          <w:tcPr>
            <w:tcW w:type="dxa" w:w="216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Role</w:t>
            </w:r>
          </w:p>
        </w:tc>
      </w:tr>
      <w:tr>
        <w:tc>
          <w:tcPr>
            <w:tcW w:type="dxa" w:w="2160"/>
          </w:tcPr>
          <w:p>
            <w:pPr/>
            <w:r/>
            <w:r>
              <w:rPr>
                <w:rFonts w:ascii="Calibri" w:hAnsi="Calibri"/>
                <w:b/>
              </w:rPr>
              <w:t>Clearstream International S.A.</w:t>
            </w:r>
          </w:p>
        </w:tc>
        <w:tc>
          <w:tcPr>
            <w:tcW w:type="dxa" w:w="2160"/>
          </w:tcPr>
          <w:p>
            <w:pPr/>
            <w:r/>
            <w:r>
              <w:rPr>
                <w:rFonts w:ascii="Calibri" w:hAnsi="Calibri"/>
              </w:rPr>
              <w:t>Holding company</w:t>
            </w:r>
          </w:p>
        </w:tc>
        <w:tc>
          <w:tcPr>
            <w:tcW w:type="dxa" w:w="2160"/>
          </w:tcPr>
          <w:p>
            <w:pPr/>
            <w:r/>
            <w:r>
              <w:rPr>
                <w:rFonts w:ascii="Calibri" w:hAnsi="Calibri"/>
              </w:rPr>
              <w:t>Luxembourg</w:t>
            </w:r>
          </w:p>
        </w:tc>
        <w:tc>
          <w:tcPr>
            <w:tcW w:type="dxa" w:w="2160"/>
          </w:tcPr>
          <w:p>
            <w:pPr/>
            <w:r/>
            <w:r>
              <w:rPr>
                <w:rFonts w:ascii="Calibri" w:hAnsi="Calibri"/>
              </w:rPr>
              <w:t>Group holding entity</w:t>
            </w:r>
          </w:p>
        </w:tc>
      </w:tr>
      <w:tr>
        <w:tc>
          <w:tcPr>
            <w:tcW w:type="dxa" w:w="2160"/>
          </w:tcPr>
          <w:p>
            <w:pPr/>
            <w:r/>
            <w:r>
              <w:rPr>
                <w:rFonts w:ascii="Calibri" w:hAnsi="Calibri"/>
                <w:b/>
              </w:rPr>
              <w:t>Clearstream Banking S.A. (CBL)</w:t>
            </w:r>
          </w:p>
        </w:tc>
        <w:tc>
          <w:tcPr>
            <w:tcW w:type="dxa" w:w="2160"/>
          </w:tcPr>
          <w:p>
            <w:pPr/>
            <w:r/>
            <w:r>
              <w:rPr>
                <w:rFonts w:ascii="Calibri" w:hAnsi="Calibri"/>
              </w:rPr>
              <w:t>ICSD + Credit institution</w:t>
            </w:r>
          </w:p>
        </w:tc>
        <w:tc>
          <w:tcPr>
            <w:tcW w:type="dxa" w:w="2160"/>
          </w:tcPr>
          <w:p>
            <w:pPr/>
            <w:r/>
            <w:r>
              <w:rPr>
                <w:rFonts w:ascii="Calibri" w:hAnsi="Calibri"/>
              </w:rPr>
              <w:t>Luxembourg</w:t>
            </w:r>
          </w:p>
        </w:tc>
        <w:tc>
          <w:tcPr>
            <w:tcW w:type="dxa" w:w="2160"/>
          </w:tcPr>
          <w:p>
            <w:pPr/>
            <w:r/>
            <w:r>
              <w:rPr>
                <w:rFonts w:ascii="Calibri" w:hAnsi="Calibri"/>
              </w:rPr>
              <w:t>International securities settlement and custody (Eurobonds); ICSD operations; banking services</w:t>
            </w:r>
          </w:p>
        </w:tc>
      </w:tr>
      <w:tr>
        <w:tc>
          <w:tcPr>
            <w:tcW w:type="dxa" w:w="2160"/>
          </w:tcPr>
          <w:p>
            <w:pPr/>
            <w:r/>
            <w:r>
              <w:rPr>
                <w:rFonts w:ascii="Calibri" w:hAnsi="Calibri"/>
                <w:b/>
              </w:rPr>
              <w:t>Clearstream Europe AG</w:t>
            </w:r>
            <w:r>
              <w:rPr>
                <w:rFonts w:ascii="Calibri" w:hAnsi="Calibri"/>
              </w:rPr>
              <w:t xml:space="preserve"> (formerly Clearstream Banking AG / CBF)</w:t>
            </w:r>
          </w:p>
        </w:tc>
        <w:tc>
          <w:tcPr>
            <w:tcW w:type="dxa" w:w="2160"/>
          </w:tcPr>
          <w:p>
            <w:pPr/>
            <w:r/>
            <w:r>
              <w:rPr>
                <w:rFonts w:ascii="Calibri" w:hAnsi="Calibri"/>
              </w:rPr>
              <w:t>CSD</w:t>
            </w:r>
          </w:p>
        </w:tc>
        <w:tc>
          <w:tcPr>
            <w:tcW w:type="dxa" w:w="2160"/>
          </w:tcPr>
          <w:p>
            <w:pPr/>
            <w:r/>
            <w:r>
              <w:rPr>
                <w:rFonts w:ascii="Calibri" w:hAnsi="Calibri"/>
              </w:rPr>
              <w:t>Frankfurt, Germany</w:t>
            </w:r>
          </w:p>
        </w:tc>
        <w:tc>
          <w:tcPr>
            <w:tcW w:type="dxa" w:w="2160"/>
          </w:tcPr>
          <w:p>
            <w:pPr/>
            <w:r/>
            <w:r>
              <w:rPr>
                <w:rFonts w:ascii="Calibri" w:hAnsi="Calibri"/>
              </w:rPr>
              <w:t>German domestic CSD; pan-European CSD via T2S (19 European markets); renamed September 2025</w:t>
            </w:r>
          </w:p>
        </w:tc>
      </w:tr>
      <w:tr>
        <w:tc>
          <w:tcPr>
            <w:tcW w:type="dxa" w:w="2160"/>
          </w:tcPr>
          <w:p>
            <w:pPr/>
            <w:r/>
            <w:r>
              <w:rPr>
                <w:rFonts w:ascii="Calibri" w:hAnsi="Calibri"/>
                <w:b/>
              </w:rPr>
              <w:t>LuxCSD S.A.</w:t>
            </w:r>
          </w:p>
        </w:tc>
        <w:tc>
          <w:tcPr>
            <w:tcW w:type="dxa" w:w="2160"/>
          </w:tcPr>
          <w:p>
            <w:pPr/>
            <w:r/>
            <w:r>
              <w:rPr>
                <w:rFonts w:ascii="Calibri" w:hAnsi="Calibri"/>
              </w:rPr>
              <w:t>CSD</w:t>
            </w:r>
          </w:p>
        </w:tc>
        <w:tc>
          <w:tcPr>
            <w:tcW w:type="dxa" w:w="2160"/>
          </w:tcPr>
          <w:p>
            <w:pPr/>
            <w:r/>
            <w:r>
              <w:rPr>
                <w:rFonts w:ascii="Calibri" w:hAnsi="Calibri"/>
              </w:rPr>
              <w:t>Luxembourg</w:t>
            </w:r>
          </w:p>
        </w:tc>
        <w:tc>
          <w:tcPr>
            <w:tcW w:type="dxa" w:w="2160"/>
          </w:tcPr>
          <w:p>
            <w:pPr/>
            <w:r/>
            <w:r>
              <w:rPr>
                <w:rFonts w:ascii="Calibri" w:hAnsi="Calibri"/>
              </w:rPr>
              <w:t>Luxembourg domestic CSD (joint venture with Banque Centrale du Luxembourg, est. 2010)</w:t>
            </w:r>
          </w:p>
        </w:tc>
      </w:tr>
    </w:tbl>
    <w:p/>
    <w:p>
      <w:pPr>
        <w:pStyle w:val="Heading3"/>
      </w:pPr>
      <w:r>
        <w:rPr>
          <w:rFonts w:ascii="Calibri" w:hAnsi="Calibri"/>
        </w:rPr>
        <w:t>Key Historical Milestones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Year</w:t>
            </w:r>
          </w:p>
        </w:tc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Event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1970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Cedel (Centrale de Livraison de Valeurs Mobilieres) established in Luxembourg by 35 European and North American banks for Eurobond settlement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1989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Deutsche Kassenverein (predecessor to Deutsche Borse Clearing) modernizes German securities infrastructure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2000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Clearstream formed through merger of Cedel International (50%) and Deutsche Borse Clearing (50%) on 1 January 2000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2002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Deutsche Borse acquires full ownership of Clearstream (1 July 2002)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2010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LuxCSD founded jointly with Banque Centrale du Luxembourg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2010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Co-founded REGIS-TR (trade repository) with Iberclear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2015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Clearstream Banking AG (CBF) connects to T2S (Wave 1, June 2015)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2017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Full T2S migration completed; Global Securities Financing services extended to T2S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2021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CBL receives CSDR authorization (12 April 2021)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2025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Clearstream Banking AG rebranded to "Clearstream Europe AG" (effective 26 September 2025)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2025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CBL authorized by CSSF as crypto-asset service provider (CASP)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2025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Deutsche Borse Group announces review of banking licenses for Eurex Clearing and Clearstream, considering returning CBF's banking license under CSDR refit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2025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Joint initiative with Euroclear to digitize Eurobond market</w:t>
            </w:r>
          </w:p>
        </w:tc>
      </w:tr>
    </w:tbl>
    <w:p/>
    <w:p>
      <w:r>
        <w:rPr>
          <w:rFonts w:ascii="Calibri" w:hAnsi="Calibri"/>
        </w:rPr>
        <w:t>[Source: Wikipedia -- Clearstream]</w:t>
      </w:r>
    </w:p>
    <w:p>
      <w:r>
        <w:rPr>
          <w:rFonts w:ascii="Calibri" w:hAnsi="Calibri"/>
        </w:rPr>
        <w:t>[Source: Clearstream -- 50 Years History, https://www.clearstream.com/clearstream-en/newsroom/200429-1969172]</w:t>
      </w:r>
    </w:p>
    <w:p>
      <w:r>
        <w:rPr>
          <w:rFonts w:ascii="Calibri" w:hAnsi="Calibri"/>
        </w:rPr>
        <w:t>[Source: Deutsche Borse -- Regulatory Complexity Reduction, https://www.deutsche-boerse.com/dbg-en/media/news-stories/press-releases/Deutsche-B-rse-Group-Plans-to-Use-Improved-European-Regulatory-Environment-to-Reduce-Regulatory-Complexity--4561082]</w:t>
      </w:r>
    </w:p>
    <w:p>
      <w:pPr>
        <w:pBdr>
          <w:bottom w:val="single" w:sz="4" w:space="1" w:color="auto"/>
        </w:pBdr>
      </w:pPr>
    </w:p>
    <w:p>
      <w:pPr>
        <w:pStyle w:val="Heading2"/>
      </w:pPr>
      <w:r>
        <w:rPr>
          <w:rFonts w:ascii="Calibri" w:hAnsi="Calibri"/>
        </w:rPr>
        <w:t>2. Settlement Model</w:t>
      </w:r>
    </w:p>
    <w:p>
      <w:pPr>
        <w:pStyle w:val="Heading3"/>
      </w:pPr>
      <w:r>
        <w:rPr>
          <w:rFonts w:ascii="Calibri" w:hAnsi="Calibri"/>
        </w:rPr>
        <w:t>2.1 Clearstream Banking S.A. (CBL -- ICSD)</w:t>
      </w:r>
    </w:p>
    <w:p>
      <w:r>
        <w:rPr>
          <w:rFonts w:ascii="Calibri" w:hAnsi="Calibri"/>
        </w:rPr>
        <w:t>As one of two global ICSDs, CBL provides settlement and custody for international securities (primarily Eurobonds) and cross-border transactions:</w:t>
      </w:r>
    </w:p>
    <w:p>
      <w:pPr>
        <w:pStyle w:val="ListBullet"/>
      </w:pPr>
      <w:r>
        <w:rPr>
          <w:rFonts w:ascii="Calibri" w:hAnsi="Calibri"/>
          <w:b/>
        </w:rPr>
        <w:t>Book-Entry Settlement:</w:t>
      </w:r>
      <w:r>
        <w:rPr>
          <w:rFonts w:ascii="Calibri" w:hAnsi="Calibri"/>
        </w:rPr>
        <w:t xml:space="preserve"> All securities held in dematerialized or immobilized form; transfers through book entries</w:t>
      </w:r>
    </w:p>
    <w:p>
      <w:pPr>
        <w:pStyle w:val="ListBullet"/>
      </w:pPr>
      <w:r>
        <w:rPr>
          <w:rFonts w:ascii="Calibri" w:hAnsi="Calibri"/>
          <w:b/>
        </w:rPr>
        <w:t>Multi-Currency Settlement:</w:t>
      </w:r>
      <w:r>
        <w:rPr>
          <w:rFonts w:ascii="Calibri" w:hAnsi="Calibri"/>
        </w:rPr>
        <w:t xml:space="preserve"> Settles in multiple currencies with commercial bank money (CMB) via correspondent banking relationships</w:t>
      </w:r>
    </w:p>
    <w:p>
      <w:pPr>
        <w:pStyle w:val="ListBullet"/>
      </w:pPr>
      <w:r>
        <w:rPr>
          <w:rFonts w:ascii="Calibri" w:hAnsi="Calibri"/>
          <w:b/>
        </w:rPr>
        <w:t>Internal Settlement:</w:t>
      </w:r>
      <w:r>
        <w:rPr>
          <w:rFonts w:ascii="Calibri" w:hAnsi="Calibri"/>
        </w:rPr>
        <w:t xml:space="preserve"> Transactions between two CBL participants settle internally on CBL's books</w:t>
      </w:r>
    </w:p>
    <w:p>
      <w:pPr>
        <w:pStyle w:val="ListBullet"/>
      </w:pPr>
      <w:r>
        <w:rPr>
          <w:rFonts w:ascii="Calibri" w:hAnsi="Calibri"/>
          <w:b/>
        </w:rPr>
        <w:t>Bridge Settlement:</w:t>
      </w:r>
      <w:r>
        <w:rPr>
          <w:rFonts w:ascii="Calibri" w:hAnsi="Calibri"/>
        </w:rPr>
        <w:t xml:space="preserve"> Transactions between CBL and Euroclear Bank participants settle via the Bridge (see Section 7)</w:t>
      </w:r>
    </w:p>
    <w:p>
      <w:pPr>
        <w:pStyle w:val="ListBullet"/>
      </w:pPr>
      <w:r>
        <w:rPr>
          <w:rFonts w:ascii="Calibri" w:hAnsi="Calibri"/>
          <w:b/>
        </w:rPr>
        <w:t>External Settlement:</w:t>
      </w:r>
      <w:r>
        <w:rPr>
          <w:rFonts w:ascii="Calibri" w:hAnsi="Calibri"/>
        </w:rPr>
        <w:t xml:space="preserve"> Transactions involving securities held at other CSDs settle through CBL's network of links</w:t>
      </w:r>
    </w:p>
    <w:p>
      <w:pPr>
        <w:pStyle w:val="Heading3"/>
      </w:pPr>
      <w:r>
        <w:rPr>
          <w:rFonts w:ascii="Calibri" w:hAnsi="Calibri"/>
        </w:rPr>
        <w:t>2.2 Clearstream Europe AG (CSD -- Germany + Pan-European)</w:t>
      </w:r>
    </w:p>
    <w:p>
      <w:r>
        <w:rPr>
          <w:rFonts w:ascii="Calibri" w:hAnsi="Calibri"/>
        </w:rPr>
        <w:t>Clearstream Europe (formerly CBF) serves as:</w:t>
      </w:r>
    </w:p>
    <w:p>
      <w:pPr>
        <w:pStyle w:val="ListBullet"/>
      </w:pPr>
      <w:r>
        <w:rPr>
          <w:rFonts w:ascii="Calibri" w:hAnsi="Calibri"/>
          <w:b/>
        </w:rPr>
        <w:t>German Domestic CSD:</w:t>
      </w:r>
      <w:r>
        <w:rPr>
          <w:rFonts w:ascii="Calibri" w:hAnsi="Calibri"/>
        </w:rPr>
        <w:t xml:space="preserve"> Settlement and custody for all German domestic securities</w:t>
      </w:r>
    </w:p>
    <w:p>
      <w:pPr>
        <w:pStyle w:val="ListBullet"/>
      </w:pPr>
      <w:r>
        <w:rPr>
          <w:rFonts w:ascii="Calibri" w:hAnsi="Calibri"/>
          <w:b/>
        </w:rPr>
        <w:t>Pan-European CSD:</w:t>
      </w:r>
      <w:r>
        <w:rPr>
          <w:rFonts w:ascii="Calibri" w:hAnsi="Calibri"/>
        </w:rPr>
        <w:t xml:space="preserve"> Via T2S, provides access to 19 European markets through a single point of entry</w:t>
      </w:r>
    </w:p>
    <w:p>
      <w:pPr>
        <w:pStyle w:val="ListBullet"/>
      </w:pPr>
      <w:r>
        <w:rPr>
          <w:rFonts w:ascii="Calibri" w:hAnsi="Calibri"/>
          <w:b/>
        </w:rPr>
        <w:t>T2S Settlement:</w:t>
      </w:r>
      <w:r>
        <w:rPr>
          <w:rFonts w:ascii="Calibri" w:hAnsi="Calibri"/>
        </w:rPr>
        <w:t xml:space="preserve"> Uses central bank money (EUR) via TARGET2 for the cash leg; real-time gross settlement (RTGS)</w:t>
      </w:r>
    </w:p>
    <w:p>
      <w:pPr>
        <w:pStyle w:val="ListBullet"/>
      </w:pPr>
      <w:r>
        <w:rPr>
          <w:rFonts w:ascii="Calibri" w:hAnsi="Calibri"/>
          <w:b/>
        </w:rPr>
        <w:t>Over 50% of T2S Volume:</w:t>
      </w:r>
      <w:r>
        <w:rPr>
          <w:rFonts w:ascii="Calibri" w:hAnsi="Calibri"/>
        </w:rPr>
        <w:t xml:space="preserve"> Clearstream Europe consistently handles more than half of all T2S settlement traffic</w:t>
      </w:r>
    </w:p>
    <w:p>
      <w:pPr>
        <w:pStyle w:val="Heading3"/>
      </w:pPr>
      <w:r>
        <w:rPr>
          <w:rFonts w:ascii="Calibri" w:hAnsi="Calibri"/>
        </w:rPr>
        <w:t>2.3 Settlement Processing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Feature</w:t>
            </w:r>
          </w:p>
        </w:tc>
        <w:tc>
          <w:tcPr>
            <w:tcW w:type="dxa" w:w="288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CBL (ICSD)</w:t>
            </w:r>
          </w:p>
        </w:tc>
        <w:tc>
          <w:tcPr>
            <w:tcW w:type="dxa" w:w="288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Clearstream Europe (CSD)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Settlement Basis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Gross (trade-by-trade)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Gross (trade-by-trade) via T2S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Cash Settlement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Commercial bank money (CMB)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Central bank money (CeBM) via TARGET2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Processing Windows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Overnight batch + real-time daytime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Real-time on T2S platform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DVP Model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Model 1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Model 1 (via T2S)</w:t>
            </w:r>
          </w:p>
        </w:tc>
      </w:tr>
    </w:tbl>
    <w:p/>
    <w:p>
      <w:r>
        <w:rPr>
          <w:rFonts w:ascii="Calibri" w:hAnsi="Calibri"/>
        </w:rPr>
        <w:t>[Source: Clearstream -- Settlement, https://www.clearstream.com/clearstream-en/securities-services/settlement]</w:t>
      </w:r>
    </w:p>
    <w:p>
      <w:r>
        <w:rPr>
          <w:rFonts w:ascii="Calibri" w:hAnsi="Calibri"/>
        </w:rPr>
        <w:t>[Source: Clearstream -- Pan-European CSD Solution, https://www.clearstream.com/clearstream-en/securities-services/custody-and-investor-solutions/pan-european-csd-solution]</w:t>
      </w:r>
    </w:p>
    <w:p>
      <w:pPr>
        <w:pBdr>
          <w:bottom w:val="single" w:sz="4" w:space="1" w:color="auto"/>
        </w:pBdr>
      </w:pPr>
    </w:p>
    <w:p>
      <w:pPr>
        <w:pStyle w:val="Heading2"/>
      </w:pPr>
      <w:r>
        <w:rPr>
          <w:rFonts w:ascii="Calibri" w:hAnsi="Calibri"/>
        </w:rPr>
        <w:t>3. Risk Management</w:t>
      </w:r>
    </w:p>
    <w:p>
      <w:pPr>
        <w:pStyle w:val="Heading3"/>
      </w:pPr>
      <w:r>
        <w:rPr>
          <w:rFonts w:ascii="Calibri" w:hAnsi="Calibri"/>
        </w:rPr>
        <w:t>3.1 Margin Framework</w:t>
      </w:r>
    </w:p>
    <w:p>
      <w:r>
        <w:rPr>
          <w:rFonts w:ascii="Calibri" w:hAnsi="Calibri"/>
        </w:rPr>
        <w:t>Clearstream (as a CSD/ICSD) does not operate as a CCP and does not collect traditional margins. Risk management focuses on:</w:t>
      </w:r>
    </w:p>
    <w:p>
      <w:pPr>
        <w:pStyle w:val="ListBullet"/>
      </w:pPr>
      <w:r>
        <w:rPr>
          <w:rFonts w:ascii="Calibri" w:hAnsi="Calibri"/>
          <w:b/>
        </w:rPr>
        <w:t>DVP Settlement:</w:t>
      </w:r>
      <w:r>
        <w:rPr>
          <w:rFonts w:ascii="Calibri" w:hAnsi="Calibri"/>
        </w:rPr>
        <w:t xml:space="preserve"> Simultaneous exchange of securities and cash eliminates principal risk</w:t>
      </w:r>
    </w:p>
    <w:p>
      <w:pPr>
        <w:pStyle w:val="ListBullet"/>
      </w:pPr>
      <w:r>
        <w:rPr>
          <w:rFonts w:ascii="Calibri" w:hAnsi="Calibri"/>
          <w:b/>
        </w:rPr>
        <w:t>Credit Facilities:</w:t>
      </w:r>
      <w:r>
        <w:rPr>
          <w:rFonts w:ascii="Calibri" w:hAnsi="Calibri"/>
        </w:rPr>
        <w:t xml:space="preserve"> CBL provides credit extensions to participants secured by pledged collateral</w:t>
      </w:r>
    </w:p>
    <w:p>
      <w:pPr>
        <w:pStyle w:val="ListBullet"/>
      </w:pPr>
      <w:r>
        <w:rPr>
          <w:rFonts w:ascii="Calibri" w:hAnsi="Calibri"/>
          <w:b/>
        </w:rPr>
        <w:t>Collateral Valuation:</w:t>
      </w:r>
      <w:r>
        <w:rPr>
          <w:rFonts w:ascii="Calibri" w:hAnsi="Calibri"/>
        </w:rPr>
        <w:t xml:space="preserve"> Securities used as collateral are marked-to-market daily with conservative haircuts</w:t>
      </w:r>
    </w:p>
    <w:p>
      <w:pPr>
        <w:pStyle w:val="ListBullet"/>
      </w:pPr>
      <w:r>
        <w:rPr>
          <w:rFonts w:ascii="Calibri" w:hAnsi="Calibri"/>
          <w:b/>
        </w:rPr>
        <w:t>Exposure Limits:</w:t>
      </w:r>
      <w:r>
        <w:rPr>
          <w:rFonts w:ascii="Calibri" w:hAnsi="Calibri"/>
        </w:rPr>
        <w:t xml:space="preserve"> Participant-specific credit and exposure limits monitored in real time</w:t>
      </w:r>
    </w:p>
    <w:p>
      <w:pPr>
        <w:pStyle w:val="ListBullet"/>
      </w:pPr>
      <w:r>
        <w:rPr>
          <w:rFonts w:ascii="Calibri" w:hAnsi="Calibri"/>
          <w:b/>
        </w:rPr>
        <w:t>Liquidity Risk Management:</w:t>
      </w:r>
      <w:r>
        <w:rPr>
          <w:rFonts w:ascii="Calibri" w:hAnsi="Calibri"/>
        </w:rPr>
        <w:t xml:space="preserve"> Cash forecasting and management of settlement liquidity across currencies</w:t>
      </w:r>
    </w:p>
    <w:p>
      <w:pPr>
        <w:pStyle w:val="Heading3"/>
      </w:pPr>
      <w:r>
        <w:rPr>
          <w:rFonts w:ascii="Calibri" w:hAnsi="Calibri"/>
        </w:rPr>
        <w:t>3.3 Default Waterfall</w:t>
      </w:r>
    </w:p>
    <w:p>
      <w:r>
        <w:rPr>
          <w:rFonts w:ascii="Calibri" w:hAnsi="Calibri"/>
        </w:rPr>
        <w:t>As a CSD/ICSD (not CCP), Clearstream does not maintain a mutualized default fund. Risk absorption follows:</w:t>
      </w:r>
    </w:p>
    <w:p>
      <w:pPr>
        <w:pStyle w:val="ListBullet"/>
      </w:pPr>
      <w:r>
        <w:rPr>
          <w:rFonts w:ascii="Calibri" w:hAnsi="Calibri"/>
          <w:b/>
        </w:rPr>
        <w:t>Defaulter's pledged collateral</w:t>
      </w:r>
      <w:r>
        <w:rPr>
          <w:rFonts w:ascii="Calibri" w:hAnsi="Calibri"/>
        </w:rPr>
        <w:t xml:space="preserve"> -- CBL has the right to liquidate securities pledged by the defaulting participant</w:t>
      </w:r>
    </w:p>
    <w:p>
      <w:pPr>
        <w:pStyle w:val="ListBullet"/>
      </w:pPr>
      <w:r>
        <w:rPr>
          <w:rFonts w:ascii="Calibri" w:hAnsi="Calibri"/>
          <w:b/>
        </w:rPr>
        <w:t>Clearstream's own capital</w:t>
      </w:r>
      <w:r>
        <w:rPr>
          <w:rFonts w:ascii="Calibri" w:hAnsi="Calibri"/>
        </w:rPr>
        <w:t xml:space="preserve"> -- capital buffers maintained under CRR/CRD requirements</w:t>
      </w:r>
    </w:p>
    <w:p>
      <w:pPr>
        <w:pStyle w:val="ListBullet"/>
      </w:pPr>
      <w:r>
        <w:rPr>
          <w:rFonts w:ascii="Calibri" w:hAnsi="Calibri"/>
          <w:b/>
        </w:rPr>
        <w:t>No loss mutualization</w:t>
      </w:r>
      <w:r>
        <w:rPr>
          <w:rFonts w:ascii="Calibri" w:hAnsi="Calibri"/>
        </w:rPr>
        <w:t xml:space="preserve"> -- non-defaulting participants are not called upon to absorb losses</w:t>
      </w:r>
    </w:p>
    <w:p>
      <w:pPr>
        <w:pStyle w:val="Heading3"/>
      </w:pPr>
      <w:r>
        <w:rPr>
          <w:rFonts w:ascii="Calibri" w:hAnsi="Calibri"/>
        </w:rPr>
        <w:t>3.6 Recovery &amp; Resolution</w:t>
      </w:r>
    </w:p>
    <w:p>
      <w:pPr>
        <w:pStyle w:val="ListBullet"/>
      </w:pPr>
      <w:r>
        <w:rPr>
          <w:rFonts w:ascii="Calibri" w:hAnsi="Calibri"/>
          <w:b/>
        </w:rPr>
        <w:t>CSDR Framework:</w:t>
      </w:r>
      <w:r>
        <w:rPr>
          <w:rFonts w:ascii="Calibri" w:hAnsi="Calibri"/>
        </w:rPr>
        <w:t xml:space="preserve"> Subject to EU CSD Recovery and Resolution requirements</w:t>
      </w:r>
    </w:p>
    <w:p>
      <w:pPr>
        <w:pStyle w:val="ListBullet"/>
      </w:pPr>
      <w:r>
        <w:rPr>
          <w:rFonts w:ascii="Calibri" w:hAnsi="Calibri"/>
          <w:b/>
        </w:rPr>
        <w:t>Banking Resolution:</w:t>
      </w:r>
      <w:r>
        <w:rPr>
          <w:rFonts w:ascii="Calibri" w:hAnsi="Calibri"/>
        </w:rPr>
        <w:t xml:space="preserve"> CBL, as a licensed credit institution, is subject to the Bank Recovery and Resolution Directive (BRRD)</w:t>
      </w:r>
    </w:p>
    <w:p>
      <w:pPr>
        <w:pStyle w:val="ListBullet"/>
      </w:pPr>
      <w:r>
        <w:rPr>
          <w:rFonts w:ascii="Calibri" w:hAnsi="Calibri"/>
          <w:b/>
        </w:rPr>
        <w:t>Resolution Authority:</w:t>
      </w:r>
      <w:r>
        <w:rPr>
          <w:rFonts w:ascii="Calibri" w:hAnsi="Calibri"/>
        </w:rPr>
        <w:t xml:space="preserve"> CSSF (Luxembourg) for CBL; BaFin/SRB for Clearstream Europe AG</w:t>
      </w:r>
    </w:p>
    <w:p>
      <w:pPr>
        <w:pStyle w:val="ListBullet"/>
      </w:pPr>
      <w:r>
        <w:rPr>
          <w:rFonts w:ascii="Calibri" w:hAnsi="Calibri"/>
          <w:b/>
        </w:rPr>
        <w:t>Systemic Importance:</w:t>
      </w:r>
      <w:r>
        <w:rPr>
          <w:rFonts w:ascii="Calibri" w:hAnsi="Calibri"/>
        </w:rPr>
        <w:t xml:space="preserve"> Designated as systemically important financial market infrastructure</w:t>
      </w:r>
    </w:p>
    <w:p>
      <w:pPr>
        <w:pStyle w:val="ListBullet"/>
      </w:pPr>
      <w:r>
        <w:rPr>
          <w:rFonts w:ascii="Calibri" w:hAnsi="Calibri"/>
          <w:b/>
        </w:rPr>
        <w:t>Banking License Review (2025):</w:t>
      </w:r>
      <w:r>
        <w:rPr>
          <w:rFonts w:ascii="Calibri" w:hAnsi="Calibri"/>
        </w:rPr>
        <w:t xml:space="preserve"> Deutsche Borse Group is reviewing whether Clearstream Europe AG needs to retain its banking license under the amended CSDR; CBL will continue to leverage its CRR license as the Service CSD of the group</w:t>
      </w:r>
    </w:p>
    <w:p>
      <w:r>
        <w:rPr>
          <w:rFonts w:ascii="Calibri" w:hAnsi="Calibri"/>
        </w:rPr>
        <w:t>[Source: Clearstream -- CPMI-IOSCO Principles Report 2024, https://www.clearstream.com/resource/blob/4416516/da6226a03ecca1a4d943b9081098f2f7/cpmi-iosco-cbl-2024-data.pdf]</w:t>
      </w:r>
    </w:p>
    <w:p>
      <w:r>
        <w:rPr>
          <w:rFonts w:ascii="Calibri" w:hAnsi="Calibri"/>
        </w:rPr>
        <w:t>[Source: Clearstream -- Regulatory Oversight, https://www.clearstream.com/clearstream-en/about-clearstream/regulation/regulatory-oversight-1278060]</w:t>
      </w:r>
    </w:p>
    <w:p>
      <w:pPr>
        <w:pBdr>
          <w:bottom w:val="single" w:sz="4" w:space="1" w:color="auto"/>
        </w:pBdr>
      </w:pPr>
    </w:p>
    <w:p>
      <w:pPr>
        <w:pStyle w:val="Heading2"/>
      </w:pPr>
      <w:r>
        <w:rPr>
          <w:rFonts w:ascii="Calibri" w:hAnsi="Calibri"/>
        </w:rPr>
        <w:t>4. Settlement</w:t>
      </w:r>
    </w:p>
    <w:p>
      <w:pPr>
        <w:pStyle w:val="Heading3"/>
      </w:pPr>
      <w:r>
        <w:rPr>
          <w:rFonts w:ascii="Calibri" w:hAnsi="Calibri"/>
        </w:rPr>
        <w:t>4.1 Settlement Cycle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Market / Entity</w:t>
            </w:r>
          </w:p>
        </w:tc>
        <w:tc>
          <w:tcPr>
            <w:tcW w:type="dxa" w:w="288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Standard Cycle</w:t>
            </w:r>
          </w:p>
        </w:tc>
        <w:tc>
          <w:tcPr>
            <w:tcW w:type="dxa" w:w="288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Notes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CBL (ICSD) -- Eurobonds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T+2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Standard for secondary market; primary issuance varies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Clearstream Europe -- German securities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T+2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Aligned with EU CSDR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Clearstream Europe -- T2S markets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T+2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19 European markets via T2S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LuxCSD -- Luxembourg securities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T+2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Aligned with EU CSDR</w:t>
            </w:r>
          </w:p>
        </w:tc>
      </w:tr>
    </w:tbl>
    <w:p/>
    <w:p>
      <w:r>
        <w:rPr>
          <w:rFonts w:ascii="Calibri" w:hAnsi="Calibri"/>
          <w:b/>
        </w:rPr>
        <w:t>T+1 Transition:</w:t>
      </w:r>
      <w:r>
        <w:rPr>
          <w:rFonts w:ascii="Calibri" w:hAnsi="Calibri"/>
        </w:rPr>
        <w:t xml:space="preserve"> The EU is working toward T+1 settlement. Clearstream will need to adapt its ICSD and CSD operations for the new cycle. Specific implementation timelines were under discussion as of early 2026. [unverified]</w:t>
      </w:r>
    </w:p>
    <w:p>
      <w:pPr>
        <w:pStyle w:val="Heading3"/>
      </w:pPr>
      <w:r>
        <w:rPr>
          <w:rFonts w:ascii="Calibri" w:hAnsi="Calibri"/>
        </w:rPr>
        <w:t>4.2 DVP Model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Entity</w:t>
            </w:r>
          </w:p>
        </w:tc>
        <w:tc>
          <w:tcPr>
            <w:tcW w:type="dxa" w:w="216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DVP Model</w:t>
            </w:r>
          </w:p>
        </w:tc>
        <w:tc>
          <w:tcPr>
            <w:tcW w:type="dxa" w:w="216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Cash Leg</w:t>
            </w:r>
          </w:p>
        </w:tc>
        <w:tc>
          <w:tcPr>
            <w:tcW w:type="dxa" w:w="216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Description</w:t>
            </w:r>
          </w:p>
        </w:tc>
      </w:tr>
      <w:tr>
        <w:tc>
          <w:tcPr>
            <w:tcW w:type="dxa" w:w="2160"/>
          </w:tcPr>
          <w:p>
            <w:pPr/>
            <w:r/>
            <w:r>
              <w:rPr>
                <w:rFonts w:ascii="Calibri" w:hAnsi="Calibri"/>
              </w:rPr>
              <w:t>CBL (ICSD)</w:t>
            </w:r>
          </w:p>
        </w:tc>
        <w:tc>
          <w:tcPr>
            <w:tcW w:type="dxa" w:w="2160"/>
          </w:tcPr>
          <w:p>
            <w:pPr/>
            <w:r/>
            <w:r>
              <w:rPr>
                <w:rFonts w:ascii="Calibri" w:hAnsi="Calibri"/>
              </w:rPr>
              <w:t>Model 1</w:t>
            </w:r>
          </w:p>
        </w:tc>
        <w:tc>
          <w:tcPr>
            <w:tcW w:type="dxa" w:w="2160"/>
          </w:tcPr>
          <w:p>
            <w:pPr/>
            <w:r/>
            <w:r>
              <w:rPr>
                <w:rFonts w:ascii="Calibri" w:hAnsi="Calibri"/>
              </w:rPr>
              <w:t>Commercial bank money (CMB)</w:t>
            </w:r>
          </w:p>
        </w:tc>
        <w:tc>
          <w:tcPr>
            <w:tcW w:type="dxa" w:w="2160"/>
          </w:tcPr>
          <w:p>
            <w:pPr/>
            <w:r/>
            <w:r>
              <w:rPr>
                <w:rFonts w:ascii="Calibri" w:hAnsi="Calibri"/>
              </w:rPr>
              <w:t>Gross, simultaneous, final transfer of securities and cash</w:t>
            </w:r>
          </w:p>
        </w:tc>
      </w:tr>
      <w:tr>
        <w:tc>
          <w:tcPr>
            <w:tcW w:type="dxa" w:w="2160"/>
          </w:tcPr>
          <w:p>
            <w:pPr/>
            <w:r/>
            <w:r>
              <w:rPr>
                <w:rFonts w:ascii="Calibri" w:hAnsi="Calibri"/>
              </w:rPr>
              <w:t>Clearstream Europe (CSD via T2S)</w:t>
            </w:r>
          </w:p>
        </w:tc>
        <w:tc>
          <w:tcPr>
            <w:tcW w:type="dxa" w:w="2160"/>
          </w:tcPr>
          <w:p>
            <w:pPr/>
            <w:r/>
            <w:r>
              <w:rPr>
                <w:rFonts w:ascii="Calibri" w:hAnsi="Calibri"/>
              </w:rPr>
              <w:t>Model 1</w:t>
            </w:r>
          </w:p>
        </w:tc>
        <w:tc>
          <w:tcPr>
            <w:tcW w:type="dxa" w:w="2160"/>
          </w:tcPr>
          <w:p>
            <w:pPr/>
            <w:r/>
            <w:r>
              <w:rPr>
                <w:rFonts w:ascii="Calibri" w:hAnsi="Calibri"/>
              </w:rPr>
              <w:t>Central bank money (CeBM) via TARGET2</w:t>
            </w:r>
          </w:p>
        </w:tc>
        <w:tc>
          <w:tcPr>
            <w:tcW w:type="dxa" w:w="2160"/>
          </w:tcPr>
          <w:p>
            <w:pPr/>
            <w:r/>
            <w:r>
              <w:rPr>
                <w:rFonts w:ascii="Calibri" w:hAnsi="Calibri"/>
              </w:rPr>
              <w:t>Real-time DVP on T2S with EUR central bank money</w:t>
            </w:r>
          </w:p>
        </w:tc>
      </w:tr>
      <w:tr>
        <w:tc>
          <w:tcPr>
            <w:tcW w:type="dxa" w:w="2160"/>
          </w:tcPr>
          <w:p>
            <w:pPr/>
            <w:r/>
            <w:r>
              <w:rPr>
                <w:rFonts w:ascii="Calibri" w:hAnsi="Calibri"/>
              </w:rPr>
              <w:t>Bridge (CBL-Euroclear Bank)</w:t>
            </w:r>
          </w:p>
        </w:tc>
        <w:tc>
          <w:tcPr>
            <w:tcW w:type="dxa" w:w="2160"/>
          </w:tcPr>
          <w:p>
            <w:pPr/>
            <w:r/>
            <w:r>
              <w:rPr>
                <w:rFonts w:ascii="Calibri" w:hAnsi="Calibri"/>
              </w:rPr>
              <w:t>Model 1</w:t>
            </w:r>
          </w:p>
        </w:tc>
        <w:tc>
          <w:tcPr>
            <w:tcW w:type="dxa" w:w="2160"/>
          </w:tcPr>
          <w:p>
            <w:pPr/>
            <w:r/>
            <w:r>
              <w:rPr>
                <w:rFonts w:ascii="Calibri" w:hAnsi="Calibri"/>
              </w:rPr>
              <w:t>CMB</w:t>
            </w:r>
          </w:p>
        </w:tc>
        <w:tc>
          <w:tcPr>
            <w:tcW w:type="dxa" w:w="2160"/>
          </w:tcPr>
          <w:p>
            <w:pPr/>
            <w:r/>
            <w:r>
              <w:rPr>
                <w:rFonts w:ascii="Calibri" w:hAnsi="Calibri"/>
              </w:rPr>
              <w:t>Simultaneous final transfer between the two ICSDs</w:t>
            </w:r>
          </w:p>
        </w:tc>
      </w:tr>
      <w:tr>
        <w:tc>
          <w:tcPr>
            <w:tcW w:type="dxa" w:w="2160"/>
          </w:tcPr>
          <w:p>
            <w:pPr/>
            <w:r/>
            <w:r>
              <w:rPr>
                <w:rFonts w:ascii="Calibri" w:hAnsi="Calibri"/>
              </w:rPr>
              <w:t>LuxCSD</w:t>
            </w:r>
          </w:p>
        </w:tc>
        <w:tc>
          <w:tcPr>
            <w:tcW w:type="dxa" w:w="2160"/>
          </w:tcPr>
          <w:p>
            <w:pPr/>
            <w:r/>
            <w:r>
              <w:rPr>
                <w:rFonts w:ascii="Calibri" w:hAnsi="Calibri"/>
              </w:rPr>
              <w:t>Model 1</w:t>
            </w:r>
          </w:p>
        </w:tc>
        <w:tc>
          <w:tcPr>
            <w:tcW w:type="dxa" w:w="2160"/>
          </w:tcPr>
          <w:p>
            <w:pPr/>
            <w:r/>
            <w:r>
              <w:rPr>
                <w:rFonts w:ascii="Calibri" w:hAnsi="Calibri"/>
              </w:rPr>
              <w:t>CeBM via TARGET2</w:t>
            </w:r>
          </w:p>
        </w:tc>
        <w:tc>
          <w:tcPr>
            <w:tcW w:type="dxa" w:w="2160"/>
          </w:tcPr>
          <w:p>
            <w:pPr/>
            <w:r/>
            <w:r>
              <w:rPr>
                <w:rFonts w:ascii="Calibri" w:hAnsi="Calibri"/>
              </w:rPr>
              <w:t>Connected to T2S</w:t>
            </w:r>
          </w:p>
        </w:tc>
      </w:tr>
    </w:tbl>
    <w:p/>
    <w:p>
      <w:r>
        <w:rPr>
          <w:rFonts w:ascii="Calibri" w:hAnsi="Calibri"/>
          <w:b/>
        </w:rPr>
        <w:t>DVP Cut-Off Extensions:</w:t>
      </w:r>
      <w:r>
        <w:rPr>
          <w:rFonts w:ascii="Calibri" w:hAnsi="Calibri"/>
        </w:rPr>
        <w:t xml:space="preserve"> Clearstream has periodically extended EUR DVP cut-off times on T2S to improve settlement efficiency and reduce fails.</w:t>
      </w:r>
    </w:p>
    <w:p>
      <w:r>
        <w:rPr>
          <w:rFonts w:ascii="Calibri" w:hAnsi="Calibri"/>
        </w:rPr>
        <w:t>[Source: Clearstream -- Settlement]</w:t>
      </w:r>
    </w:p>
    <w:p>
      <w:r>
        <w:rPr>
          <w:rFonts w:ascii="Calibri" w:hAnsi="Calibri"/>
        </w:rPr>
        <w:t>[Source: Clearstream -- T2S DVP Cut-Off Extension, https://www.clearstream.com/clearstream-en/newsroom/ops250314-3-4331014]</w:t>
      </w:r>
    </w:p>
    <w:p>
      <w:pPr>
        <w:pBdr>
          <w:bottom w:val="single" w:sz="4" w:space="1" w:color="auto"/>
        </w:pBdr>
      </w:pPr>
    </w:p>
    <w:p>
      <w:pPr>
        <w:pStyle w:val="Heading2"/>
      </w:pPr>
      <w:r>
        <w:rPr>
          <w:rFonts w:ascii="Calibri" w:hAnsi="Calibri"/>
        </w:rPr>
        <w:t>5. Technology &amp; Infrastructure</w:t>
      </w:r>
    </w:p>
    <w:p>
      <w:pPr>
        <w:pStyle w:val="ListBullet"/>
      </w:pPr>
      <w:r>
        <w:rPr>
          <w:rFonts w:ascii="Calibri" w:hAnsi="Calibri"/>
          <w:b/>
        </w:rPr>
        <w:t>CASCADE / Creation:</w:t>
      </w:r>
      <w:r>
        <w:rPr>
          <w:rFonts w:ascii="Calibri" w:hAnsi="Calibri"/>
        </w:rPr>
        <w:t xml:space="preserve"> Core settlement and custody systems for German domestic and international securities</w:t>
      </w:r>
    </w:p>
    <w:p>
      <w:pPr>
        <w:pStyle w:val="ListBullet"/>
      </w:pPr>
      <w:r>
        <w:rPr>
          <w:rFonts w:ascii="Calibri" w:hAnsi="Calibri"/>
          <w:b/>
        </w:rPr>
        <w:t>T2S Integration:</w:t>
      </w:r>
      <w:r>
        <w:rPr>
          <w:rFonts w:ascii="Calibri" w:hAnsi="Calibri"/>
        </w:rPr>
        <w:t xml:space="preserve"> Full integration with the Eurosystem's T2S platform since 2017 for pan-European settlement</w:t>
      </w:r>
    </w:p>
    <w:p>
      <w:pPr>
        <w:pStyle w:val="ListBullet"/>
      </w:pPr>
      <w:r>
        <w:rPr>
          <w:rFonts w:ascii="Calibri" w:hAnsi="Calibri"/>
          <w:b/>
        </w:rPr>
        <w:t>Collateral Management System (OneCMS):</w:t>
      </w:r>
      <w:r>
        <w:rPr>
          <w:rFonts w:ascii="Calibri" w:hAnsi="Calibri"/>
        </w:rPr>
        <w:t xml:space="preserve"> Unified collateral management across ICSD and CSD locations, enabling optimized collateral allocation</w:t>
      </w:r>
    </w:p>
    <w:p>
      <w:pPr>
        <w:pStyle w:val="ListBullet"/>
      </w:pPr>
      <w:r>
        <w:rPr>
          <w:rFonts w:ascii="Calibri" w:hAnsi="Calibri"/>
          <w:b/>
        </w:rPr>
        <w:t>D7 Platform:</w:t>
      </w:r>
      <w:r>
        <w:rPr>
          <w:rFonts w:ascii="Calibri" w:hAnsi="Calibri"/>
        </w:rPr>
        <w:t xml:space="preserve"> Deutsche Borse Group's digital post-trade platform for DLT-based securities issuance and custody [unverified -- in development]</w:t>
      </w:r>
    </w:p>
    <w:p>
      <w:pPr>
        <w:pStyle w:val="ListBullet"/>
      </w:pPr>
      <w:r>
        <w:rPr>
          <w:rFonts w:ascii="Calibri" w:hAnsi="Calibri"/>
          <w:b/>
        </w:rPr>
        <w:t>Crypto-Asset Custody:</w:t>
      </w:r>
      <w:r>
        <w:rPr>
          <w:rFonts w:ascii="Calibri" w:hAnsi="Calibri"/>
        </w:rPr>
        <w:t xml:space="preserve"> CBL authorized by CSSF as crypto-asset service provider (2025), extending regulated custody to digital assets</w:t>
      </w:r>
    </w:p>
    <w:p>
      <w:pPr>
        <w:pStyle w:val="ListBullet"/>
      </w:pPr>
      <w:r>
        <w:rPr>
          <w:rFonts w:ascii="Calibri" w:hAnsi="Calibri"/>
          <w:b/>
        </w:rPr>
        <w:t>Eurobond Digitization:</w:t>
      </w:r>
      <w:r>
        <w:rPr>
          <w:rFonts w:ascii="Calibri" w:hAnsi="Calibri"/>
        </w:rPr>
        <w:t xml:space="preserve"> Joint initiative with Euroclear to support dematerialized Eurobond issuance from Q1 2026</w:t>
      </w:r>
    </w:p>
    <w:p>
      <w:pPr>
        <w:pBdr>
          <w:bottom w:val="single" w:sz="4" w:space="1" w:color="auto"/>
        </w:pBdr>
      </w:pPr>
    </w:p>
    <w:p>
      <w:pPr>
        <w:pStyle w:val="Heading2"/>
      </w:pPr>
      <w:r>
        <w:rPr>
          <w:rFonts w:ascii="Calibri" w:hAnsi="Calibri"/>
        </w:rPr>
        <w:t>6. Regulatory Framework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Aspect</w:t>
            </w:r>
          </w:p>
        </w:tc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Details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  <w:b/>
              </w:rPr>
              <w:t>CBL (Luxembourg ICSD)</w:t>
            </w:r>
          </w:p>
        </w:tc>
        <w:tc>
          <w:tcPr>
            <w:tcW w:type="dxa" w:w="4320"/>
          </w:tcPr>
          <w:p>
            <w:pPr/>
            <w:r/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Primary Legislation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EU CSDR (Regulation 909/2014); Luxembourg law on financial sector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Supervisor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CSSF (Commission de Surveillance du Secteur Financier)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CSDR Authorization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12 April 2021 (core CSD services, banking ancillary services, Bridge link)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Banking License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Licensed credit institution under Luxembourg law; CRR/CRD compliant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Settlement Finality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Luxembourg law implements EU Settlement Finality Directive (98/26/EC)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  <w:b/>
              </w:rPr>
              <w:t>Clearstream Europe AG (German CSD)</w:t>
            </w:r>
          </w:p>
        </w:tc>
        <w:tc>
          <w:tcPr>
            <w:tcW w:type="dxa" w:w="4320"/>
          </w:tcPr>
          <w:p>
            <w:pPr/>
            <w:r/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Primary Legislation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EU CSDR; German Banking Act (KWG); German Securities Deposit Act (DepotG)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Supervisor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BaFin / Deutsche Bundesbank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CSDR Authorization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Authorized under CSDR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Banking License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Currently holds banking license; under review for potential return under CSDR refit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  <w:b/>
              </w:rPr>
              <w:t>LuxCSD</w:t>
            </w:r>
          </w:p>
        </w:tc>
        <w:tc>
          <w:tcPr>
            <w:tcW w:type="dxa" w:w="4320"/>
          </w:tcPr>
          <w:p>
            <w:pPr/>
            <w:r/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Supervisor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CSSF / Banque Centrale du Luxembourg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CSDR Authorization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Authorized under CSDR</w:t>
            </w:r>
          </w:p>
        </w:tc>
      </w:tr>
    </w:tbl>
    <w:p/>
    <w:p>
      <w:pPr>
        <w:pStyle w:val="Heading3"/>
      </w:pPr>
      <w:r>
        <w:rPr>
          <w:rFonts w:ascii="Calibri" w:hAnsi="Calibri"/>
        </w:rPr>
        <w:t>International Recognition</w:t>
      </w:r>
    </w:p>
    <w:p>
      <w:r>
        <w:rPr>
          <w:rFonts w:ascii="Calibri" w:hAnsi="Calibri"/>
        </w:rPr>
        <w:t>CBL is recognized in multiple jurisdictions globally, including:</w:t>
      </w:r>
    </w:p>
    <w:p>
      <w:pPr>
        <w:pStyle w:val="ListBullet"/>
      </w:pPr>
      <w:r>
        <w:rPr>
          <w:rFonts w:ascii="Calibri" w:hAnsi="Calibri"/>
        </w:rPr>
        <w:t>Australia (recognized by Reserve Bank of Australia; latest assessment June 2025)</w:t>
      </w:r>
    </w:p>
    <w:p>
      <w:pPr>
        <w:pStyle w:val="ListBullet"/>
      </w:pPr>
      <w:r>
        <w:rPr>
          <w:rFonts w:ascii="Calibri" w:hAnsi="Calibri"/>
        </w:rPr>
        <w:t>Various other jurisdictions through bilateral recognition agreements [unverified -- specific list not confirmed]</w:t>
      </w:r>
    </w:p>
    <w:p>
      <w:r>
        <w:rPr>
          <w:rFonts w:ascii="Calibri" w:hAnsi="Calibri"/>
        </w:rPr>
        <w:t>[Source: Clearstream -- Licences, https://www.clearstream.com/clearstream-en/about-clearstream/regulation-1-/licences]</w:t>
      </w:r>
    </w:p>
    <w:p>
      <w:r>
        <w:rPr>
          <w:rFonts w:ascii="Calibri" w:hAnsi="Calibri"/>
        </w:rPr>
        <w:t>[Source: Clearstream -- Regulatory Oversight]</w:t>
      </w:r>
    </w:p>
    <w:p>
      <w:r>
        <w:rPr>
          <w:rFonts w:ascii="Calibri" w:hAnsi="Calibri"/>
        </w:rPr>
        <w:t>[Source: RBA -- Assessment of Clearstream Banking S.A. 2025, https://www.rba.gov.au/payments-and-infrastructure/financial-market-infrastructure/clearing-and-settlement-facilities/assessments/clearstream/2025/pdf/clearstream-assessment-2025-06.pdf]</w:t>
      </w:r>
    </w:p>
    <w:p>
      <w:pPr>
        <w:pBdr>
          <w:bottom w:val="single" w:sz="4" w:space="1" w:color="auto"/>
        </w:pBdr>
      </w:pPr>
    </w:p>
    <w:p>
      <w:pPr>
        <w:pStyle w:val="Heading2"/>
      </w:pPr>
      <w:r>
        <w:rPr>
          <w:rFonts w:ascii="Calibri" w:hAnsi="Calibri"/>
        </w:rPr>
        <w:t>7. Interoperability</w:t>
      </w:r>
    </w:p>
    <w:p>
      <w:pPr>
        <w:pStyle w:val="Heading3"/>
      </w:pPr>
      <w:r>
        <w:rPr>
          <w:rFonts w:ascii="Calibri" w:hAnsi="Calibri"/>
        </w:rPr>
        <w:t>7.1 The Bridge (Clearstream-Euroclear)</w:t>
      </w:r>
    </w:p>
    <w:p>
      <w:r>
        <w:rPr>
          <w:rFonts w:ascii="Calibri" w:hAnsi="Calibri"/>
        </w:rPr>
        <w:t>The Bridge is the critical interoperability link between the two global ICSDs:</w:t>
      </w:r>
    </w:p>
    <w:p>
      <w:pPr>
        <w:pStyle w:val="ListBullet"/>
      </w:pPr>
      <w:r>
        <w:rPr>
          <w:rFonts w:ascii="Calibri" w:hAnsi="Calibri"/>
          <w:b/>
        </w:rPr>
        <w:t>Purpose:</w:t>
      </w:r>
      <w:r>
        <w:rPr>
          <w:rFonts w:ascii="Calibri" w:hAnsi="Calibri"/>
        </w:rPr>
        <w:t xml:space="preserve"> Enables settlement of securities transactions between Clearstream Banking Luxembourg and Euroclear Bank participants</w:t>
      </w:r>
    </w:p>
    <w:p>
      <w:pPr>
        <w:pStyle w:val="ListBullet"/>
      </w:pPr>
      <w:r>
        <w:rPr>
          <w:rFonts w:ascii="Calibri" w:hAnsi="Calibri"/>
          <w:b/>
        </w:rPr>
        <w:t>Settlement:</w:t>
      </w:r>
      <w:r>
        <w:rPr>
          <w:rFonts w:ascii="Calibri" w:hAnsi="Calibri"/>
        </w:rPr>
        <w:t xml:space="preserve"> Both free-of-payment and delivery-versus-payment transactions</w:t>
      </w:r>
    </w:p>
    <w:p>
      <w:pPr>
        <w:pStyle w:val="ListBullet"/>
      </w:pPr>
      <w:r>
        <w:rPr>
          <w:rFonts w:ascii="Calibri" w:hAnsi="Calibri"/>
          <w:b/>
        </w:rPr>
        <w:t>Processing:</w:t>
      </w:r>
      <w:r>
        <w:rPr>
          <w:rFonts w:ascii="Calibri" w:hAnsi="Calibri"/>
        </w:rPr>
        <w:t xml:space="preserve"> Multiple overnight batch exchanges plus Automated Daytime Bridge for real-time settlement during business hours</w:t>
      </w:r>
    </w:p>
    <w:p>
      <w:pPr>
        <w:pStyle w:val="ListBullet"/>
      </w:pPr>
      <w:r>
        <w:rPr>
          <w:rFonts w:ascii="Calibri" w:hAnsi="Calibri"/>
          <w:b/>
        </w:rPr>
        <w:t>DVP Model:</w:t>
      </w:r>
      <w:r>
        <w:rPr>
          <w:rFonts w:ascii="Calibri" w:hAnsi="Calibri"/>
        </w:rPr>
        <w:t xml:space="preserve"> Model 1 (simultaneous, final transfer)</w:t>
      </w:r>
    </w:p>
    <w:p>
      <w:pPr>
        <w:pStyle w:val="ListBullet"/>
      </w:pPr>
      <w:r>
        <w:rPr>
          <w:rFonts w:ascii="Calibri" w:hAnsi="Calibri"/>
          <w:b/>
        </w:rPr>
        <w:t>CSDR Status:</w:t>
      </w:r>
      <w:r>
        <w:rPr>
          <w:rFonts w:ascii="Calibri" w:hAnsi="Calibri"/>
        </w:rPr>
        <w:t xml:space="preserve"> The Bridge link is explicitly covered under CBL's CSDR authorization</w:t>
      </w:r>
    </w:p>
    <w:p>
      <w:pPr>
        <w:pStyle w:val="ListBullet"/>
      </w:pPr>
      <w:r>
        <w:rPr>
          <w:rFonts w:ascii="Calibri" w:hAnsi="Calibri"/>
          <w:b/>
        </w:rPr>
        <w:t>History:</w:t>
      </w:r>
      <w:r>
        <w:rPr>
          <w:rFonts w:ascii="Calibri" w:hAnsi="Calibri"/>
        </w:rPr>
        <w:t xml:space="preserve"> Operational since the 1970s; continuously modernized</w:t>
      </w:r>
    </w:p>
    <w:p>
      <w:pPr>
        <w:pStyle w:val="Heading3"/>
      </w:pPr>
      <w:r>
        <w:rPr>
          <w:rFonts w:ascii="Calibri" w:hAnsi="Calibri"/>
        </w:rPr>
        <w:t>7.2 CSD Links Network</w:t>
      </w:r>
    </w:p>
    <w:p>
      <w:r>
        <w:rPr>
          <w:rFonts w:ascii="Calibri" w:hAnsi="Calibri"/>
        </w:rPr>
        <w:t>Clearstream maintains an extensive global network of CSD links:</w:t>
      </w:r>
    </w:p>
    <w:p>
      <w:pPr>
        <w:pStyle w:val="ListBullet"/>
      </w:pPr>
      <w:r>
        <w:rPr>
          <w:rFonts w:ascii="Calibri" w:hAnsi="Calibri"/>
          <w:b/>
        </w:rPr>
        <w:t>Clearstream Europe:</w:t>
      </w:r>
      <w:r>
        <w:rPr>
          <w:rFonts w:ascii="Calibri" w:hAnsi="Calibri"/>
        </w:rPr>
        <w:t xml:space="preserve"> Direct T2S links to 19 European markets; additional links to non-T2S markets</w:t>
      </w:r>
    </w:p>
    <w:p>
      <w:pPr>
        <w:pStyle w:val="ListBullet"/>
      </w:pPr>
      <w:r>
        <w:rPr>
          <w:rFonts w:ascii="Calibri" w:hAnsi="Calibri"/>
          <w:b/>
        </w:rPr>
        <w:t>CBL (ICSD):</w:t>
      </w:r>
      <w:r>
        <w:rPr>
          <w:rFonts w:ascii="Calibri" w:hAnsi="Calibri"/>
        </w:rPr>
        <w:t xml:space="preserve"> Links to CSDs and agent banks providing access to 60+ markets globally</w:t>
      </w:r>
    </w:p>
    <w:p>
      <w:pPr>
        <w:pStyle w:val="ListBullet"/>
      </w:pPr>
      <w:r>
        <w:rPr>
          <w:rFonts w:ascii="Calibri" w:hAnsi="Calibri"/>
          <w:b/>
        </w:rPr>
        <w:t>Cross-CSD Settlement:</w:t>
      </w:r>
      <w:r>
        <w:rPr>
          <w:rFonts w:ascii="Calibri" w:hAnsi="Calibri"/>
        </w:rPr>
        <w:t xml:space="preserve"> T2S enables harmonized cross-CSD settlement between Clearstream Europe and other T2S-connected CSDs (including Euroclear group CSDs)</w:t>
      </w:r>
    </w:p>
    <w:p>
      <w:pPr>
        <w:pStyle w:val="Heading3"/>
      </w:pPr>
      <w:r>
        <w:rPr>
          <w:rFonts w:ascii="Calibri" w:hAnsi="Calibri"/>
        </w:rPr>
        <w:t>7.3 T2S Participation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Entity</w:t>
            </w:r>
          </w:p>
        </w:tc>
        <w:tc>
          <w:tcPr>
            <w:tcW w:type="dxa" w:w="288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T2S Connected</w:t>
            </w:r>
          </w:p>
        </w:tc>
        <w:tc>
          <w:tcPr>
            <w:tcW w:type="dxa" w:w="288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Connection Date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Clearstream Europe AG (CBF)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Yes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June 2015 (Wave 1 -- one of first CSDs on T2S)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LuxCSD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Yes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September 2016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CBL (ICSD)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Partial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CBL is not directly a T2S participant but accesses T2S markets via Clearstream Europe</w:t>
            </w:r>
          </w:p>
        </w:tc>
      </w:tr>
    </w:tbl>
    <w:p/>
    <w:p>
      <w:pPr>
        <w:pStyle w:val="Heading3"/>
      </w:pPr>
      <w:r>
        <w:rPr>
          <w:rFonts w:ascii="Calibri" w:hAnsi="Calibri"/>
        </w:rPr>
        <w:t>7.4 Global Securities Financing (GSF) Integration</w:t>
      </w:r>
    </w:p>
    <w:p>
      <w:r>
        <w:rPr>
          <w:rFonts w:ascii="Calibri" w:hAnsi="Calibri"/>
        </w:rPr>
        <w:t>Clearstream's interoperability extends to collateral and lending services:</w:t>
      </w:r>
    </w:p>
    <w:p>
      <w:pPr>
        <w:pStyle w:val="ListBullet"/>
      </w:pPr>
      <w:r>
        <w:rPr>
          <w:rFonts w:ascii="Calibri" w:hAnsi="Calibri"/>
          <w:b/>
        </w:rPr>
        <w:t>Harmonized GSF across locations:</w:t>
      </w:r>
      <w:r>
        <w:rPr>
          <w:rFonts w:ascii="Calibri" w:hAnsi="Calibri"/>
        </w:rPr>
        <w:t xml:space="preserve"> Since T2S migration in 2017, GSF services (securities lending, collateral management) are available across both ICSD and CSD positions</w:t>
      </w:r>
    </w:p>
    <w:p>
      <w:pPr>
        <w:pStyle w:val="ListBullet"/>
      </w:pPr>
      <w:r>
        <w:rPr>
          <w:rFonts w:ascii="Calibri" w:hAnsi="Calibri"/>
          <w:b/>
        </w:rPr>
        <w:t>Single Pool:</w:t>
      </w:r>
      <w:r>
        <w:rPr>
          <w:rFonts w:ascii="Calibri" w:hAnsi="Calibri"/>
        </w:rPr>
        <w:t xml:space="preserve"> Clients can pool assets from ICSD and CSD (T2S) accounts for lending and collateral purposes</w:t>
      </w:r>
    </w:p>
    <w:p>
      <w:pPr>
        <w:pStyle w:val="ListBullet"/>
      </w:pPr>
      <w:r>
        <w:rPr>
          <w:rFonts w:ascii="Calibri" w:hAnsi="Calibri"/>
          <w:b/>
        </w:rPr>
        <w:t>Fails Lending on T2S:</w:t>
      </w:r>
      <w:r>
        <w:rPr>
          <w:rFonts w:ascii="Calibri" w:hAnsi="Calibri"/>
        </w:rPr>
        <w:t xml:space="preserve"> Automated Securities Lending (ASL) service covers T2S settlement, providing the same service level as the ICSD</w:t>
      </w:r>
    </w:p>
    <w:p>
      <w:r>
        <w:rPr>
          <w:rFonts w:ascii="Calibri" w:hAnsi="Calibri"/>
        </w:rPr>
        <w:t>[Source: Clearstream -- Bridge Settlement, https://www.clearstream.com/clearstream-en/res-library/res-library/bridge-settlement-1276276]</w:t>
      </w:r>
    </w:p>
    <w:p>
      <w:r>
        <w:rPr>
          <w:rFonts w:ascii="Calibri" w:hAnsi="Calibri"/>
        </w:rPr>
        <w:t>[Source: Clearstream -- Global Liquidity Hub with T2S, https://www.clearstream.com/clearstream-en/securities-services/collateral-lending-liquidity/global-liquidity-hub-with-t2s-1275354]</w:t>
      </w:r>
    </w:p>
    <w:p>
      <w:r>
        <w:rPr>
          <w:rFonts w:ascii="Calibri" w:hAnsi="Calibri"/>
        </w:rPr>
        <w:t>[Source: Clearstream -- GSF ASL for T2S, https://www.clearstream.com/clearstream-en/products-and-services/global-securities-financing/a17094-1299950]</w:t>
      </w:r>
    </w:p>
    <w:p>
      <w:pPr>
        <w:pBdr>
          <w:bottom w:val="single" w:sz="4" w:space="1" w:color="auto"/>
        </w:pBdr>
      </w:pPr>
    </w:p>
    <w:p>
      <w:pPr>
        <w:pStyle w:val="Heading2"/>
      </w:pPr>
      <w:r>
        <w:rPr>
          <w:rFonts w:ascii="Calibri" w:hAnsi="Calibri"/>
        </w:rPr>
        <w:t>9. Recent Developments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Date</w:t>
            </w:r>
          </w:p>
        </w:tc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Development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Sep 2025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Clearstream Banking AG rebranded to "Clearstream Europe AG" to reflect pan-European CSD role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Jul 2025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Deutsche Borse Group announces plans to simplify regulatory structure; reviews banking licenses for Eurex Clearing and Clearstream Europe under amended CSDR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2025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CBL authorized by CSSF as crypto-asset service provider (CASP) for regulated digital asset custody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2025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Joint initiative with Euroclear to digitize Eurobond market (dematerialized issuance from Q1 2026)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2025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Clearstream and Euronext deepen interoperability for pan-European post-trade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Jul 2025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Eurex Clearing launches DLT-enabled collateral mobilization service with HQLAx and Clearstream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2024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CBL publishes updated CPMI-IOSCO Principles Report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Jun 2025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Reserve Bank of Australia publishes assessment of Clearstream Banking S.A.</w:t>
            </w:r>
          </w:p>
        </w:tc>
      </w:tr>
    </w:tbl>
    <w:p/>
    <w:p>
      <w:pPr>
        <w:pStyle w:val="Heading3"/>
      </w:pPr>
      <w:r>
        <w:rPr>
          <w:rFonts w:ascii="Calibri" w:hAnsi="Calibri"/>
        </w:rPr>
        <w:t>Key Strategic Themes</w:t>
      </w:r>
    </w:p>
    <w:p>
      <w:pPr>
        <w:pStyle w:val="ListBullet"/>
      </w:pPr>
      <w:r>
        <w:rPr>
          <w:rFonts w:ascii="Calibri" w:hAnsi="Calibri"/>
          <w:b/>
        </w:rPr>
        <w:t>Pan-European CSD Consolidation:</w:t>
      </w:r>
      <w:r>
        <w:rPr>
          <w:rFonts w:ascii="Calibri" w:hAnsi="Calibri"/>
        </w:rPr>
        <w:t xml:space="preserve"> Clearstream Europe serves as a gateway to 19 European markets via T2S, aiming to become the pan-European CSD of choice</w:t>
      </w:r>
    </w:p>
    <w:p>
      <w:pPr>
        <w:pStyle w:val="ListBullet"/>
      </w:pPr>
      <w:r>
        <w:rPr>
          <w:rFonts w:ascii="Calibri" w:hAnsi="Calibri"/>
          <w:b/>
        </w:rPr>
        <w:t>Regulatory Simplification:</w:t>
      </w:r>
      <w:r>
        <w:rPr>
          <w:rFonts w:ascii="Calibri" w:hAnsi="Calibri"/>
        </w:rPr>
        <w:t xml:space="preserve"> Potential return of Clearstream Europe's banking license under CSDR refit, reducing regulatory overlap while CBL retains its CRR license for the group</w:t>
      </w:r>
    </w:p>
    <w:p>
      <w:pPr>
        <w:pStyle w:val="ListBullet"/>
      </w:pPr>
      <w:r>
        <w:rPr>
          <w:rFonts w:ascii="Calibri" w:hAnsi="Calibri"/>
          <w:b/>
        </w:rPr>
        <w:t>Digital Assets:</w:t>
      </w:r>
      <w:r>
        <w:rPr>
          <w:rFonts w:ascii="Calibri" w:hAnsi="Calibri"/>
        </w:rPr>
        <w:t xml:space="preserve"> Expansion into crypto-asset custody (CASP license) and DLT-based collateral services</w:t>
      </w:r>
    </w:p>
    <w:p>
      <w:pPr>
        <w:pStyle w:val="ListBullet"/>
      </w:pPr>
      <w:r>
        <w:rPr>
          <w:rFonts w:ascii="Calibri" w:hAnsi="Calibri"/>
          <w:b/>
        </w:rPr>
        <w:t>Eurobond Modernization:</w:t>
      </w:r>
      <w:r>
        <w:rPr>
          <w:rFonts w:ascii="Calibri" w:hAnsi="Calibri"/>
        </w:rPr>
        <w:t xml:space="preserve"> Joint digitization initiative with Euroclear to eliminate paper certificates</w:t>
      </w:r>
    </w:p>
    <w:p>
      <w:pPr>
        <w:pStyle w:val="ListBullet"/>
      </w:pPr>
      <w:r>
        <w:rPr>
          <w:rFonts w:ascii="Calibri" w:hAnsi="Calibri"/>
          <w:b/>
        </w:rPr>
        <w:t>Global Liquidity Hub:</w:t>
      </w:r>
      <w:r>
        <w:rPr>
          <w:rFonts w:ascii="Calibri" w:hAnsi="Calibri"/>
        </w:rPr>
        <w:t xml:space="preserve"> Deepening integration of collateral management, securities lending, and financing services across ICSD and CSD locations</w:t>
      </w:r>
    </w:p>
    <w:p>
      <w:pPr>
        <w:pStyle w:val="ListBullet"/>
      </w:pPr>
      <w:r>
        <w:rPr>
          <w:rFonts w:ascii="Calibri" w:hAnsi="Calibri"/>
          <w:b/>
        </w:rPr>
        <w:t>T+1 Readiness:</w:t>
      </w:r>
      <w:r>
        <w:rPr>
          <w:rFonts w:ascii="Calibri" w:hAnsi="Calibri"/>
        </w:rPr>
        <w:t xml:space="preserve"> Preparing for EU transition to T+1 settlement cycle</w:t>
      </w:r>
    </w:p>
    <w:p>
      <w:r>
        <w:rPr>
          <w:rFonts w:ascii="Calibri" w:hAnsi="Calibri"/>
        </w:rPr>
        <w:t>[Source: Deutsche Borse -- Clearstream Europe Rebranding]</w:t>
      </w:r>
    </w:p>
    <w:p>
      <w:r>
        <w:rPr>
          <w:rFonts w:ascii="Calibri" w:hAnsi="Calibri"/>
        </w:rPr>
        <w:t>[Source: Deutsche Borse -- Regulatory Complexity Reduction]</w:t>
      </w:r>
    </w:p>
    <w:p>
      <w:r>
        <w:rPr>
          <w:rFonts w:ascii="Calibri" w:hAnsi="Calibri"/>
        </w:rPr>
        <w:t>[Source: Clearstream -- CSSF Crypto Authorization, https://en.paperjam.lu/article/cssf-certifies-clearstream-as-crypto-asset-service-provider]</w:t>
      </w:r>
    </w:p>
    <w:p>
      <w:pPr>
        <w:pBdr>
          <w:bottom w:val="single" w:sz="4" w:space="1" w:color="auto"/>
        </w:pBdr>
      </w:pPr>
    </w:p>
    <w:p>
      <w:pPr>
        <w:pStyle w:val="Heading2"/>
      </w:pPr>
      <w:r>
        <w:rPr>
          <w:rFonts w:ascii="Calibri" w:hAnsi="Calibri"/>
        </w:rPr>
        <w:t>Sources</w:t>
      </w:r>
    </w:p>
    <w:p>
      <w:pPr>
        <w:pStyle w:val="ListBullet"/>
      </w:pPr>
      <w:r>
        <w:rPr>
          <w:rFonts w:ascii="Calibri" w:hAnsi="Calibri"/>
          <w:color w:val="0563C1"/>
          <w:u w:val="single"/>
        </w:rPr>
        <w:t>Clearstream -- About Clearstream</w:t>
      </w:r>
    </w:p>
    <w:p>
      <w:pPr>
        <w:pStyle w:val="ListBullet"/>
      </w:pPr>
      <w:r>
        <w:rPr>
          <w:rFonts w:ascii="Calibri" w:hAnsi="Calibri"/>
          <w:color w:val="0563C1"/>
          <w:u w:val="single"/>
        </w:rPr>
        <w:t>Clearstream -- Settlement</w:t>
      </w:r>
    </w:p>
    <w:p>
      <w:pPr>
        <w:pStyle w:val="ListBullet"/>
      </w:pPr>
      <w:r>
        <w:rPr>
          <w:rFonts w:ascii="Calibri" w:hAnsi="Calibri"/>
          <w:color w:val="0563C1"/>
          <w:u w:val="single"/>
        </w:rPr>
        <w:t>Clearstream -- Bridge Settlement</w:t>
      </w:r>
    </w:p>
    <w:p>
      <w:pPr>
        <w:pStyle w:val="ListBullet"/>
      </w:pPr>
      <w:r>
        <w:rPr>
          <w:rFonts w:ascii="Calibri" w:hAnsi="Calibri"/>
          <w:color w:val="0563C1"/>
          <w:u w:val="single"/>
        </w:rPr>
        <w:t>Clearstream -- Pan-European CSD Solution</w:t>
      </w:r>
    </w:p>
    <w:p>
      <w:pPr>
        <w:pStyle w:val="ListBullet"/>
      </w:pPr>
      <w:r>
        <w:rPr>
          <w:rFonts w:ascii="Calibri" w:hAnsi="Calibri"/>
          <w:color w:val="0563C1"/>
          <w:u w:val="single"/>
        </w:rPr>
        <w:t>Clearstream -- Global Liquidity Hub with T2S</w:t>
      </w:r>
    </w:p>
    <w:p>
      <w:pPr>
        <w:pStyle w:val="ListBullet"/>
      </w:pPr>
      <w:r>
        <w:rPr>
          <w:rFonts w:ascii="Calibri" w:hAnsi="Calibri"/>
          <w:color w:val="0563C1"/>
          <w:u w:val="single"/>
        </w:rPr>
        <w:t>Clearstream -- GSF ASL for T2S</w:t>
      </w:r>
    </w:p>
    <w:p>
      <w:pPr>
        <w:pStyle w:val="ListBullet"/>
      </w:pPr>
      <w:r>
        <w:rPr>
          <w:rFonts w:ascii="Calibri" w:hAnsi="Calibri"/>
          <w:color w:val="0563C1"/>
          <w:u w:val="single"/>
        </w:rPr>
        <w:t>Clearstream -- Regulatory Oversight</w:t>
      </w:r>
    </w:p>
    <w:p>
      <w:pPr>
        <w:pStyle w:val="ListBullet"/>
      </w:pPr>
      <w:r>
        <w:rPr>
          <w:rFonts w:ascii="Calibri" w:hAnsi="Calibri"/>
          <w:color w:val="0563C1"/>
          <w:u w:val="single"/>
        </w:rPr>
        <w:t>Clearstream -- Licences</w:t>
      </w:r>
    </w:p>
    <w:p>
      <w:pPr>
        <w:pStyle w:val="ListBullet"/>
      </w:pPr>
      <w:r>
        <w:rPr>
          <w:rFonts w:ascii="Calibri" w:hAnsi="Calibri"/>
          <w:color w:val="0563C1"/>
          <w:u w:val="single"/>
        </w:rPr>
        <w:t>Clearstream -- CPMI-IOSCO Disclosure Framework</w:t>
      </w:r>
    </w:p>
    <w:p>
      <w:pPr>
        <w:pStyle w:val="ListBullet"/>
      </w:pPr>
      <w:r>
        <w:rPr>
          <w:rFonts w:ascii="Calibri" w:hAnsi="Calibri"/>
          <w:color w:val="0563C1"/>
          <w:u w:val="single"/>
        </w:rPr>
        <w:t>Clearstream -- CPMI-IOSCO Principles Report 2024</w:t>
      </w:r>
    </w:p>
    <w:p>
      <w:pPr>
        <w:pStyle w:val="ListBullet"/>
      </w:pPr>
      <w:r>
        <w:rPr>
          <w:rFonts w:ascii="Calibri" w:hAnsi="Calibri"/>
          <w:color w:val="0563C1"/>
          <w:u w:val="single"/>
        </w:rPr>
        <w:t>Clearstream -- 50 Years History</w:t>
      </w:r>
    </w:p>
    <w:p>
      <w:pPr>
        <w:pStyle w:val="ListBullet"/>
      </w:pPr>
      <w:r>
        <w:rPr>
          <w:rFonts w:ascii="Calibri" w:hAnsi="Calibri"/>
          <w:color w:val="0563C1"/>
          <w:u w:val="single"/>
        </w:rPr>
        <w:t>Deutsche Borse -- Clearstream Europe Rebranding (Sep 2025)</w:t>
      </w:r>
    </w:p>
    <w:p>
      <w:pPr>
        <w:pStyle w:val="ListBullet"/>
      </w:pPr>
      <w:r>
        <w:rPr>
          <w:rFonts w:ascii="Calibri" w:hAnsi="Calibri"/>
          <w:color w:val="0563C1"/>
          <w:u w:val="single"/>
        </w:rPr>
        <w:t>Deutsche Borse -- Regulatory Complexity Reduction (Jul 2025)</w:t>
      </w:r>
    </w:p>
    <w:p>
      <w:pPr>
        <w:pStyle w:val="ListBullet"/>
      </w:pPr>
      <w:r>
        <w:rPr>
          <w:rFonts w:ascii="Calibri" w:hAnsi="Calibri"/>
          <w:color w:val="0563C1"/>
          <w:u w:val="single"/>
        </w:rPr>
        <w:t>RBA -- Assessment of Clearstream Banking S.A. (Jun 2025)</w:t>
      </w:r>
    </w:p>
    <w:p>
      <w:pPr>
        <w:pStyle w:val="ListBullet"/>
      </w:pPr>
      <w:r>
        <w:rPr>
          <w:rFonts w:ascii="Calibri" w:hAnsi="Calibri"/>
          <w:color w:val="0563C1"/>
          <w:u w:val="single"/>
        </w:rPr>
        <w:t>Wikipedia -- Clearstream</w:t>
      </w:r>
    </w:p>
    <w:p>
      <w:pPr>
        <w:pStyle w:val="ListBullet"/>
      </w:pPr>
      <w:r>
        <w:rPr>
          <w:rFonts w:ascii="Calibri" w:hAnsi="Calibri"/>
          <w:color w:val="0563C1"/>
          <w:u w:val="single"/>
        </w:rPr>
        <w:t>IMF -- Germany FSAP 2022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