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CME Clearing</w:t>
      </w:r>
    </w:p>
    <w:p>
      <w:pPr>
        <w:ind w:left="720"/>
        <w:shd w:fill="F0F0F0" w:val="clear"/>
      </w:pPr>
      <w:r>
        <w:rPr>
          <w:rFonts w:ascii="Calibri" w:hAnsi="Calibri"/>
          <w:i/>
        </w:rPr>
        <w:t>**Last Updated:** 2026-04-07</w:t>
      </w:r>
    </w:p>
    <w:p>
      <w:pPr>
        <w:ind w:left="720"/>
        <w:shd w:fill="F0F0F0" w:val="clear"/>
      </w:pPr>
      <w:r>
        <w:rPr>
          <w:rFonts w:ascii="Calibri" w:hAnsi="Calibri"/>
          <w:i/>
        </w:rPr>
        <w:t>**Research Tier:** Tier 1 (Deep Dive)</w:t>
      </w:r>
    </w:p>
    <w:p>
      <w:pPr>
        <w:ind w:left="720"/>
        <w:shd w:fill="F0F0F0" w:val="clear"/>
      </w:pPr>
      <w:r>
        <w:rPr>
          <w:rFonts w:ascii="Calibri" w:hAnsi="Calibri"/>
          <w:i/>
        </w:rPr>
        <w:t>**Type:** CCP (Central Counterparty)</w:t>
      </w:r>
    </w:p>
    <w:p>
      <w:pPr>
        <w:pBdr>
          <w:bottom w:val="single" w:sz="4" w:space="1" w:color="auto"/>
        </w:pBdr>
      </w:pPr>
    </w:p>
    <w:p>
      <w:pPr>
        <w:pStyle w:val="Heading2"/>
      </w:pPr>
      <w:r>
        <w:rPr>
          <w:rFonts w:ascii="Calibri" w:hAnsi="Calibri"/>
        </w:rPr>
        <w:t>1. Overview &amp; Profile</w:t>
      </w:r>
    </w:p>
    <w:p>
      <w:pPr>
        <w:pStyle w:val="Heading3"/>
      </w:pPr>
      <w:r>
        <w:rPr>
          <w:rFonts w:ascii="Calibri" w:hAnsi="Calibri"/>
        </w:rPr>
        <w:t>1.1 Organization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Official Name</w:t>
            </w:r>
          </w:p>
        </w:tc>
        <w:tc>
          <w:tcPr>
            <w:tcW w:type="dxa" w:w="4320"/>
          </w:tcPr>
          <w:p>
            <w:pPr/>
            <w:r/>
            <w:r>
              <w:rPr>
                <w:rFonts w:ascii="Calibri" w:hAnsi="Calibri"/>
              </w:rPr>
              <w:t>Chicago Mercantile Exchange Inc. (operating CME Clearing)</w:t>
            </w:r>
          </w:p>
        </w:tc>
      </w:tr>
      <w:tr>
        <w:tc>
          <w:tcPr>
            <w:tcW w:type="dxa" w:w="4320"/>
          </w:tcPr>
          <w:p>
            <w:pPr/>
            <w:r/>
            <w:r>
              <w:rPr>
                <w:rFonts w:ascii="Calibri" w:hAnsi="Calibri"/>
              </w:rPr>
              <w:t>Abbreviation</w:t>
            </w:r>
          </w:p>
        </w:tc>
        <w:tc>
          <w:tcPr>
            <w:tcW w:type="dxa" w:w="4320"/>
          </w:tcPr>
          <w:p>
            <w:pPr/>
            <w:r/>
            <w:r>
              <w:rPr>
                <w:rFonts w:ascii="Calibri" w:hAnsi="Calibri"/>
              </w:rPr>
              <w:t>CME Clearing</w:t>
            </w:r>
          </w:p>
        </w:tc>
      </w:tr>
      <w:tr>
        <w:tc>
          <w:tcPr>
            <w:tcW w:type="dxa" w:w="4320"/>
          </w:tcPr>
          <w:p>
            <w:pPr/>
            <w:r/>
            <w:r>
              <w:rPr>
                <w:rFonts w:ascii="Calibri" w:hAnsi="Calibri"/>
              </w:rPr>
              <w:t>Website</w:t>
            </w:r>
          </w:p>
        </w:tc>
        <w:tc>
          <w:tcPr>
            <w:tcW w:type="dxa" w:w="4320"/>
          </w:tcPr>
          <w:p>
            <w:pPr/>
            <w:r/>
            <w:r>
              <w:rPr>
                <w:rFonts w:ascii="Calibri" w:hAnsi="Calibri"/>
                <w:color w:val="0563C1"/>
                <w:u w:val="single"/>
              </w:rPr>
              <w:t>https://www.cmegroup.com/clearing</w:t>
            </w:r>
          </w:p>
        </w:tc>
      </w:tr>
      <w:tr>
        <w:tc>
          <w:tcPr>
            <w:tcW w:type="dxa" w:w="4320"/>
          </w:tcPr>
          <w:p>
            <w:pPr/>
            <w:r/>
            <w:r>
              <w:rPr>
                <w:rFonts w:ascii="Calibri" w:hAnsi="Calibri"/>
              </w:rPr>
              <w:t>Year Established</w:t>
            </w:r>
          </w:p>
        </w:tc>
        <w:tc>
          <w:tcPr>
            <w:tcW w:type="dxa" w:w="4320"/>
          </w:tcPr>
          <w:p>
            <w:pPr/>
            <w:r/>
            <w:r>
              <w:rPr>
                <w:rFonts w:ascii="Calibri" w:hAnsi="Calibri"/>
              </w:rPr>
              <w:t>1898 (as Chicago Butter and Egg Board); clearing house established 1919; CME Group formed via CME-CBOT merger in 2007</w:t>
            </w:r>
          </w:p>
        </w:tc>
      </w:tr>
      <w:tr>
        <w:tc>
          <w:tcPr>
            <w:tcW w:type="dxa" w:w="4320"/>
          </w:tcPr>
          <w:p>
            <w:pPr/>
            <w:r/>
            <w:r>
              <w:rPr>
                <w:rFonts w:ascii="Calibri" w:hAnsi="Calibri"/>
              </w:rPr>
              <w:t>Country / City</w:t>
            </w:r>
          </w:p>
        </w:tc>
        <w:tc>
          <w:tcPr>
            <w:tcW w:type="dxa" w:w="4320"/>
          </w:tcPr>
          <w:p>
            <w:pPr/>
            <w:r/>
            <w:r>
              <w:rPr>
                <w:rFonts w:ascii="Calibri" w:hAnsi="Calibri"/>
              </w:rPr>
              <w:t>United States / Chicago, Illinois</w:t>
            </w:r>
          </w:p>
        </w:tc>
      </w:tr>
      <w:tr>
        <w:tc>
          <w:tcPr>
            <w:tcW w:type="dxa" w:w="4320"/>
          </w:tcPr>
          <w:p>
            <w:pPr/>
            <w:r/>
            <w:r>
              <w:rPr>
                <w:rFonts w:ascii="Calibri" w:hAnsi="Calibri"/>
              </w:rPr>
              <w:t>Ownership Structure</w:t>
            </w:r>
          </w:p>
        </w:tc>
        <w:tc>
          <w:tcPr>
            <w:tcW w:type="dxa" w:w="4320"/>
          </w:tcPr>
          <w:p>
            <w:pPr/>
            <w:r/>
            <w:r>
              <w:rPr>
                <w:rFonts w:ascii="Calibri" w:hAnsi="Calibri"/>
              </w:rPr>
              <w:t>Division of CME Group Inc. (NASDAQ: CME). CME Group also owns CBOT, NYMEX, and COMEX exchanges. CME Clearing is operated by Chicago Mercantile Exchange Inc., a wholly owned subsidiary of CME Group Inc.</w:t>
            </w:r>
          </w:p>
        </w:tc>
      </w:tr>
      <w:tr>
        <w:tc>
          <w:tcPr>
            <w:tcW w:type="dxa" w:w="4320"/>
          </w:tcPr>
          <w:p>
            <w:pPr/>
            <w:r/>
            <w:r>
              <w:rPr>
                <w:rFonts w:ascii="Calibri" w:hAnsi="Calibri"/>
              </w:rPr>
              <w:t>Regulatory Authority</w:t>
            </w:r>
          </w:p>
        </w:tc>
        <w:tc>
          <w:tcPr>
            <w:tcW w:type="dxa" w:w="4320"/>
          </w:tcPr>
          <w:p>
            <w:pPr/>
            <w:r/>
            <w:r>
              <w:rPr>
                <w:rFonts w:ascii="Calibri" w:hAnsi="Calibri"/>
              </w:rPr>
              <w:t>CFTC (primary, as registered Derivatives Clearing Organization under CEA Part 39); Board of Governors of the Federal Reserve System (under Dodd-Frank Title VIII SIFMU oversight); SEC (secondary, for security-based products via CME Securities Clearing Inc.)</w:t>
            </w:r>
          </w:p>
        </w:tc>
      </w:tr>
      <w:tr>
        <w:tc>
          <w:tcPr>
            <w:tcW w:type="dxa" w:w="4320"/>
          </w:tcPr>
          <w:p>
            <w:pPr/>
            <w:r/>
            <w:r>
              <w:rPr>
                <w:rFonts w:ascii="Calibri" w:hAnsi="Calibri"/>
              </w:rPr>
              <w:t>CPMI-IOSCO PFMI Compliance</w:t>
            </w:r>
          </w:p>
        </w:tc>
        <w:tc>
          <w:tcPr>
            <w:tcW w:type="dxa" w:w="4320"/>
          </w:tcPr>
          <w:p>
            <w:pPr/>
            <w:r/>
            <w:r>
              <w:rPr>
                <w:rFonts w:ascii="Calibri" w:hAnsi="Calibri"/>
              </w:rPr>
              <w:t>Yes -- publishes PFMI qualitative self-assessment disclosures and quarterly Public Quantitative Disclosures (PQD) (</w:t>
            </w:r>
            <w:r>
              <w:rPr>
                <w:rFonts w:ascii="Calibri" w:hAnsi="Calibri"/>
                <w:color w:val="0563C1"/>
                <w:u w:val="single"/>
              </w:rPr>
              <w:t>CME PFMI Disclosure, November 2023</w:t>
            </w:r>
            <w:r>
              <w:rPr>
                <w:rFonts w:ascii="Calibri" w:hAnsi="Calibri"/>
              </w:rPr>
              <w:t>)</w:t>
            </w:r>
          </w:p>
        </w:tc>
      </w:tr>
      <w:tr>
        <w:tc>
          <w:tcPr>
            <w:tcW w:type="dxa" w:w="4320"/>
          </w:tcPr>
          <w:p>
            <w:pPr/>
            <w:r/>
            <w:r>
              <w:rPr>
                <w:rFonts w:ascii="Calibri" w:hAnsi="Calibri"/>
              </w:rPr>
              <w:t>QCCP Status</w:t>
            </w:r>
          </w:p>
        </w:tc>
        <w:tc>
          <w:tcPr>
            <w:tcW w:type="dxa" w:w="4320"/>
          </w:tcPr>
          <w:p>
            <w:pPr/>
            <w:r/>
            <w:r>
              <w:rPr>
                <w:rFonts w:ascii="Calibri" w:hAnsi="Calibri"/>
              </w:rPr>
              <w:t>Yes -- recognised by ESMA as a third-country CCP under EU EMIR since June 2016, granting QCCP status for EU-regulated participants (</w:t>
            </w:r>
            <w:r>
              <w:rPr>
                <w:rFonts w:ascii="Calibri" w:hAnsi="Calibri"/>
                <w:color w:val="0563C1"/>
                <w:u w:val="single"/>
              </w:rPr>
              <w:t>CME QCCP FAQ</w:t>
            </w:r>
            <w:r>
              <w:rPr>
                <w:rFonts w:ascii="Calibri" w:hAnsi="Calibri"/>
              </w:rPr>
              <w:t xml:space="preserve">; </w:t>
            </w:r>
            <w:r>
              <w:rPr>
                <w:rFonts w:ascii="Calibri" w:hAnsi="Calibri"/>
                <w:color w:val="0563C1"/>
                <w:u w:val="single"/>
              </w:rPr>
              <w:t>European Commission Equivalence Decision, March 2016</w:t>
            </w:r>
            <w:r>
              <w:rPr>
                <w:rFonts w:ascii="Calibri" w:hAnsi="Calibri"/>
              </w:rPr>
              <w:t>)</w:t>
            </w:r>
          </w:p>
        </w:tc>
      </w:tr>
      <w:tr>
        <w:tc>
          <w:tcPr>
            <w:tcW w:type="dxa" w:w="4320"/>
          </w:tcPr>
          <w:p>
            <w:pPr/>
            <w:r/>
            <w:r>
              <w:rPr>
                <w:rFonts w:ascii="Calibri" w:hAnsi="Calibri"/>
              </w:rPr>
              <w:t>SIFMU Designation</w:t>
            </w:r>
          </w:p>
        </w:tc>
        <w:tc>
          <w:tcPr>
            <w:tcW w:type="dxa" w:w="4320"/>
          </w:tcPr>
          <w:p>
            <w:pPr/>
            <w:r/>
            <w:r>
              <w:rPr>
                <w:rFonts w:ascii="Calibri" w:hAnsi="Calibri"/>
              </w:rPr>
              <w:t>Designated as a Systemically Important Financial Market Utility (SIFMU) by the Financial Stability Oversight Council (FSOC) under Title VIII of the Dodd-Frank Act in July 2012</w:t>
            </w:r>
          </w:p>
        </w:tc>
      </w:tr>
    </w:tbl>
    <w:p/>
    <w:p>
      <w:pPr>
        <w:pStyle w:val="Heading3"/>
      </w:pPr>
      <w:r>
        <w:rPr>
          <w:rFonts w:ascii="Calibri" w:hAnsi="Calibri"/>
        </w:rPr>
        <w:t>1.2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Year</w:t>
            </w:r>
          </w:p>
        </w:tc>
        <w:tc>
          <w:tcPr>
            <w:tcW w:type="dxa" w:w="4320"/>
            <w:shd w:fill="4472C4" w:val="clear"/>
          </w:tcPr>
          <w:p>
            <w:pPr/>
            <w:r>
              <w:rPr>
                <w:b/>
                <w:color w:val="FFFFFF"/>
              </w:rPr>
            </w:r>
            <w:r>
              <w:rPr>
                <w:rFonts w:ascii="Calibri" w:hAnsi="Calibri"/>
                <w:b/>
                <w:color w:val="FFFFFF"/>
              </w:rPr>
              <w:t>Event</w:t>
            </w:r>
          </w:p>
        </w:tc>
      </w:tr>
      <w:tr>
        <w:tc>
          <w:tcPr>
            <w:tcW w:type="dxa" w:w="4320"/>
          </w:tcPr>
          <w:p>
            <w:pPr/>
            <w:r/>
            <w:r>
              <w:rPr>
                <w:rFonts w:ascii="Calibri" w:hAnsi="Calibri"/>
              </w:rPr>
              <w:t>1898</w:t>
            </w:r>
          </w:p>
        </w:tc>
        <w:tc>
          <w:tcPr>
            <w:tcW w:type="dxa" w:w="4320"/>
          </w:tcPr>
          <w:p>
            <w:pPr/>
            <w:r/>
            <w:r>
              <w:rPr>
                <w:rFonts w:ascii="Calibri" w:hAnsi="Calibri"/>
              </w:rPr>
              <w:t>Chicago Butter and Egg Board established as a commodity exchange</w:t>
            </w:r>
          </w:p>
        </w:tc>
      </w:tr>
      <w:tr>
        <w:tc>
          <w:tcPr>
            <w:tcW w:type="dxa" w:w="4320"/>
          </w:tcPr>
          <w:p>
            <w:pPr/>
            <w:r/>
            <w:r>
              <w:rPr>
                <w:rFonts w:ascii="Calibri" w:hAnsi="Calibri"/>
              </w:rPr>
              <w:t>1919</w:t>
            </w:r>
          </w:p>
        </w:tc>
        <w:tc>
          <w:tcPr>
            <w:tcW w:type="dxa" w:w="4320"/>
          </w:tcPr>
          <w:p>
            <w:pPr/>
            <w:r/>
            <w:r>
              <w:rPr>
                <w:rFonts w:ascii="Calibri" w:hAnsi="Calibri"/>
              </w:rPr>
              <w:t>Reorganised as the Chicago Mercantile Exchange; clearing house established</w:t>
            </w:r>
          </w:p>
        </w:tc>
      </w:tr>
      <w:tr>
        <w:tc>
          <w:tcPr>
            <w:tcW w:type="dxa" w:w="4320"/>
          </w:tcPr>
          <w:p>
            <w:pPr/>
            <w:r/>
            <w:r>
              <w:rPr>
                <w:rFonts w:ascii="Calibri" w:hAnsi="Calibri"/>
              </w:rPr>
              <w:t>1972</w:t>
            </w:r>
          </w:p>
        </w:tc>
        <w:tc>
          <w:tcPr>
            <w:tcW w:type="dxa" w:w="4320"/>
          </w:tcPr>
          <w:p>
            <w:pPr/>
            <w:r/>
            <w:r>
              <w:rPr>
                <w:rFonts w:ascii="Calibri" w:hAnsi="Calibri"/>
              </w:rPr>
              <w:t>CME launched the International Monetary Market (IMM), creating the first financial futures (currency futures)</w:t>
            </w:r>
          </w:p>
        </w:tc>
      </w:tr>
      <w:tr>
        <w:tc>
          <w:tcPr>
            <w:tcW w:type="dxa" w:w="4320"/>
          </w:tcPr>
          <w:p>
            <w:pPr/>
            <w:r/>
            <w:r>
              <w:rPr>
                <w:rFonts w:ascii="Calibri" w:hAnsi="Calibri"/>
              </w:rPr>
              <w:t>1981</w:t>
            </w:r>
          </w:p>
        </w:tc>
        <w:tc>
          <w:tcPr>
            <w:tcW w:type="dxa" w:w="4320"/>
          </w:tcPr>
          <w:p>
            <w:pPr/>
            <w:r/>
            <w:r>
              <w:rPr>
                <w:rFonts w:ascii="Calibri" w:hAnsi="Calibri"/>
              </w:rPr>
              <w:t>Eurodollar futures launched, becoming the world's most-traded futures contract</w:t>
            </w:r>
          </w:p>
        </w:tc>
      </w:tr>
      <w:tr>
        <w:tc>
          <w:tcPr>
            <w:tcW w:type="dxa" w:w="4320"/>
          </w:tcPr>
          <w:p>
            <w:pPr/>
            <w:r/>
            <w:r>
              <w:rPr>
                <w:rFonts w:ascii="Calibri" w:hAnsi="Calibri"/>
              </w:rPr>
              <w:t>1992</w:t>
            </w:r>
          </w:p>
        </w:tc>
        <w:tc>
          <w:tcPr>
            <w:tcW w:type="dxa" w:w="4320"/>
          </w:tcPr>
          <w:p>
            <w:pPr/>
            <w:r/>
            <w:r>
              <w:rPr>
                <w:rFonts w:ascii="Calibri" w:hAnsi="Calibri"/>
              </w:rPr>
              <w:t>CME Globex electronic trading platform launched -- the first global electronic trading system for futures and options</w:t>
            </w:r>
          </w:p>
        </w:tc>
      </w:tr>
      <w:tr>
        <w:tc>
          <w:tcPr>
            <w:tcW w:type="dxa" w:w="4320"/>
          </w:tcPr>
          <w:p>
            <w:pPr/>
            <w:r/>
            <w:r>
              <w:rPr>
                <w:rFonts w:ascii="Calibri" w:hAnsi="Calibri"/>
              </w:rPr>
              <w:t>2000</w:t>
            </w:r>
          </w:p>
        </w:tc>
        <w:tc>
          <w:tcPr>
            <w:tcW w:type="dxa" w:w="4320"/>
          </w:tcPr>
          <w:p>
            <w:pPr/>
            <w:r/>
            <w:r>
              <w:rPr>
                <w:rFonts w:ascii="Calibri" w:hAnsi="Calibri"/>
              </w:rPr>
              <w:t>CME demutualized</w:t>
            </w:r>
          </w:p>
        </w:tc>
      </w:tr>
      <w:tr>
        <w:tc>
          <w:tcPr>
            <w:tcW w:type="dxa" w:w="4320"/>
          </w:tcPr>
          <w:p>
            <w:pPr/>
            <w:r/>
            <w:r>
              <w:rPr>
                <w:rFonts w:ascii="Calibri" w:hAnsi="Calibri"/>
              </w:rPr>
              <w:t>2002</w:t>
            </w:r>
          </w:p>
        </w:tc>
        <w:tc>
          <w:tcPr>
            <w:tcW w:type="dxa" w:w="4320"/>
          </w:tcPr>
          <w:p>
            <w:pPr/>
            <w:r/>
            <w:r>
              <w:rPr>
                <w:rFonts w:ascii="Calibri" w:hAnsi="Calibri"/>
              </w:rPr>
              <w:t>CME Holdings Inc. became the first U.S. exchange to IPO on the NYSE</w:t>
            </w:r>
          </w:p>
        </w:tc>
      </w:tr>
      <w:tr>
        <w:tc>
          <w:tcPr>
            <w:tcW w:type="dxa" w:w="4320"/>
          </w:tcPr>
          <w:p>
            <w:pPr/>
            <w:r/>
            <w:r>
              <w:rPr>
                <w:rFonts w:ascii="Calibri" w:hAnsi="Calibri"/>
              </w:rPr>
              <w:t>2003</w:t>
            </w:r>
          </w:p>
        </w:tc>
        <w:tc>
          <w:tcPr>
            <w:tcW w:type="dxa" w:w="4320"/>
          </w:tcPr>
          <w:p>
            <w:pPr/>
            <w:r/>
            <w:r>
              <w:rPr>
                <w:rFonts w:ascii="Calibri" w:hAnsi="Calibri"/>
              </w:rPr>
              <w:t>CBOT transferred all clearing from independent Board of Trade Clearing Corp. to CME Clearing, creating capital efficiencies (</w:t>
            </w:r>
            <w:r>
              <w:rPr>
                <w:rFonts w:ascii="Calibri" w:hAnsi="Calibri"/>
                <w:color w:val="0563C1"/>
                <w:u w:val="single"/>
              </w:rPr>
              <w:t>MarketsWiki</w:t>
            </w:r>
            <w:r>
              <w:rPr>
                <w:rFonts w:ascii="Calibri" w:hAnsi="Calibri"/>
              </w:rPr>
              <w:t>)</w:t>
            </w:r>
          </w:p>
        </w:tc>
      </w:tr>
      <w:tr>
        <w:tc>
          <w:tcPr>
            <w:tcW w:type="dxa" w:w="4320"/>
          </w:tcPr>
          <w:p>
            <w:pPr/>
            <w:r/>
            <w:r>
              <w:rPr>
                <w:rFonts w:ascii="Calibri" w:hAnsi="Calibri"/>
              </w:rPr>
              <w:t>2007</w:t>
            </w:r>
          </w:p>
        </w:tc>
        <w:tc>
          <w:tcPr>
            <w:tcW w:type="dxa" w:w="4320"/>
          </w:tcPr>
          <w:p>
            <w:pPr/>
            <w:r/>
            <w:r>
              <w:rPr>
                <w:rFonts w:ascii="Calibri" w:hAnsi="Calibri"/>
              </w:rPr>
              <w:t>CME and CBOT officially merged to form CME Group Inc. (July)</w:t>
            </w:r>
          </w:p>
        </w:tc>
      </w:tr>
      <w:tr>
        <w:tc>
          <w:tcPr>
            <w:tcW w:type="dxa" w:w="4320"/>
          </w:tcPr>
          <w:p>
            <w:pPr/>
            <w:r/>
            <w:r>
              <w:rPr>
                <w:rFonts w:ascii="Calibri" w:hAnsi="Calibri"/>
              </w:rPr>
              <w:t>2008</w:t>
            </w:r>
          </w:p>
        </w:tc>
        <w:tc>
          <w:tcPr>
            <w:tcW w:type="dxa" w:w="4320"/>
          </w:tcPr>
          <w:p>
            <w:pPr/>
            <w:r/>
            <w:r>
              <w:rPr>
                <w:rFonts w:ascii="Calibri" w:hAnsi="Calibri"/>
              </w:rPr>
              <w:t>CME Group acquired NYMEX Holdings Inc. (including NYMEX and COMEX)</w:t>
            </w:r>
          </w:p>
        </w:tc>
      </w:tr>
      <w:tr>
        <w:tc>
          <w:tcPr>
            <w:tcW w:type="dxa" w:w="4320"/>
          </w:tcPr>
          <w:p>
            <w:pPr/>
            <w:r/>
            <w:r>
              <w:rPr>
                <w:rFonts w:ascii="Calibri" w:hAnsi="Calibri"/>
              </w:rPr>
              <w:t>2010</w:t>
            </w:r>
          </w:p>
        </w:tc>
        <w:tc>
          <w:tcPr>
            <w:tcW w:type="dxa" w:w="4320"/>
          </w:tcPr>
          <w:p>
            <w:pPr/>
            <w:r/>
            <w:r>
              <w:rPr>
                <w:rFonts w:ascii="Calibri" w:hAnsi="Calibri"/>
              </w:rPr>
              <w:t>CME Clearing began clearing OTC interest rate swaps</w:t>
            </w:r>
          </w:p>
        </w:tc>
      </w:tr>
      <w:tr>
        <w:tc>
          <w:tcPr>
            <w:tcW w:type="dxa" w:w="4320"/>
          </w:tcPr>
          <w:p>
            <w:pPr/>
            <w:r/>
            <w:r>
              <w:rPr>
                <w:rFonts w:ascii="Calibri" w:hAnsi="Calibri"/>
              </w:rPr>
              <w:t>2011</w:t>
            </w:r>
          </w:p>
        </w:tc>
        <w:tc>
          <w:tcPr>
            <w:tcW w:type="dxa" w:w="4320"/>
          </w:tcPr>
          <w:p>
            <w:pPr/>
            <w:r/>
            <w:r>
              <w:rPr>
                <w:rFonts w:ascii="Calibri" w:hAnsi="Calibri"/>
              </w:rPr>
              <w:t>CME Clearing Europe launched in London for European OTC clearing</w:t>
            </w:r>
          </w:p>
        </w:tc>
      </w:tr>
      <w:tr>
        <w:tc>
          <w:tcPr>
            <w:tcW w:type="dxa" w:w="4320"/>
          </w:tcPr>
          <w:p>
            <w:pPr/>
            <w:r/>
            <w:r>
              <w:rPr>
                <w:rFonts w:ascii="Calibri" w:hAnsi="Calibri"/>
              </w:rPr>
              <w:t>2012</w:t>
            </w:r>
          </w:p>
        </w:tc>
        <w:tc>
          <w:tcPr>
            <w:tcW w:type="dxa" w:w="4320"/>
          </w:tcPr>
          <w:p>
            <w:pPr/>
            <w:r/>
            <w:r>
              <w:rPr>
                <w:rFonts w:ascii="Calibri" w:hAnsi="Calibri"/>
              </w:rPr>
              <w:t>CME designated as SIFMU by FSOC under Dodd-Frank Title VIII</w:t>
            </w:r>
          </w:p>
        </w:tc>
      </w:tr>
      <w:tr>
        <w:tc>
          <w:tcPr>
            <w:tcW w:type="dxa" w:w="4320"/>
          </w:tcPr>
          <w:p>
            <w:pPr/>
            <w:r/>
            <w:r>
              <w:rPr>
                <w:rFonts w:ascii="Calibri" w:hAnsi="Calibri"/>
              </w:rPr>
              <w:t>2016</w:t>
            </w:r>
          </w:p>
        </w:tc>
        <w:tc>
          <w:tcPr>
            <w:tcW w:type="dxa" w:w="4320"/>
          </w:tcPr>
          <w:p>
            <w:pPr/>
            <w:r/>
            <w:r>
              <w:rPr>
                <w:rFonts w:ascii="Calibri" w:hAnsi="Calibri"/>
              </w:rPr>
              <w:t>ESMA recognised CME as third-country CCP (QCCP) under EU EMIR</w:t>
            </w:r>
          </w:p>
        </w:tc>
      </w:tr>
      <w:tr>
        <w:tc>
          <w:tcPr>
            <w:tcW w:type="dxa" w:w="4320"/>
          </w:tcPr>
          <w:p>
            <w:pPr/>
            <w:r/>
            <w:r>
              <w:rPr>
                <w:rFonts w:ascii="Calibri" w:hAnsi="Calibri"/>
              </w:rPr>
              <w:t>2017</w:t>
            </w:r>
          </w:p>
        </w:tc>
        <w:tc>
          <w:tcPr>
            <w:tcW w:type="dxa" w:w="4320"/>
          </w:tcPr>
          <w:p>
            <w:pPr/>
            <w:r/>
            <w:r>
              <w:rPr>
                <w:rFonts w:ascii="Calibri" w:hAnsi="Calibri"/>
              </w:rPr>
              <w:t>CME Clearing Europe wound down and closed (October 12, 2017); all clearing consolidated to CME Clearing in the U.S. (</w:t>
            </w:r>
            <w:r>
              <w:rPr>
                <w:rFonts w:ascii="Calibri" w:hAnsi="Calibri"/>
                <w:color w:val="0563C1"/>
                <w:u w:val="single"/>
              </w:rPr>
              <w:t>CME Press Release, April 2017</w:t>
            </w:r>
            <w:r>
              <w:rPr>
                <w:rFonts w:ascii="Calibri" w:hAnsi="Calibri"/>
              </w:rPr>
              <w:t>)</w:t>
            </w:r>
          </w:p>
        </w:tc>
      </w:tr>
      <w:tr>
        <w:tc>
          <w:tcPr>
            <w:tcW w:type="dxa" w:w="4320"/>
          </w:tcPr>
          <w:p>
            <w:pPr/>
            <w:r/>
            <w:r>
              <w:rPr>
                <w:rFonts w:ascii="Calibri" w:hAnsi="Calibri"/>
              </w:rPr>
              <w:t>2022</w:t>
            </w:r>
          </w:p>
        </w:tc>
        <w:tc>
          <w:tcPr>
            <w:tcW w:type="dxa" w:w="4320"/>
          </w:tcPr>
          <w:p>
            <w:pPr/>
            <w:r/>
            <w:r>
              <w:rPr>
                <w:rFonts w:ascii="Calibri" w:hAnsi="Calibri"/>
              </w:rPr>
              <w:t>CME Group announced 10-year strategic partnership with Google Cloud</w:t>
            </w:r>
          </w:p>
        </w:tc>
      </w:tr>
      <w:tr>
        <w:tc>
          <w:tcPr>
            <w:tcW w:type="dxa" w:w="4320"/>
          </w:tcPr>
          <w:p>
            <w:pPr/>
            <w:r/>
            <w:r>
              <w:rPr>
                <w:rFonts w:ascii="Calibri" w:hAnsi="Calibri"/>
              </w:rPr>
              <w:t>2023</w:t>
            </w:r>
          </w:p>
        </w:tc>
        <w:tc>
          <w:tcPr>
            <w:tcW w:type="dxa" w:w="4320"/>
          </w:tcPr>
          <w:p>
            <w:pPr/>
            <w:r/>
            <w:r>
              <w:rPr>
                <w:rFonts w:ascii="Calibri" w:hAnsi="Calibri"/>
              </w:rPr>
              <w:t>SPAN 2 margin framework went live for energy products (September 2023)</w:t>
            </w:r>
          </w:p>
        </w:tc>
      </w:tr>
      <w:tr>
        <w:tc>
          <w:tcPr>
            <w:tcW w:type="dxa" w:w="4320"/>
          </w:tcPr>
          <w:p>
            <w:pPr/>
            <w:r/>
            <w:r>
              <w:rPr>
                <w:rFonts w:ascii="Calibri" w:hAnsi="Calibri"/>
              </w:rPr>
              <w:t>2024</w:t>
            </w:r>
          </w:p>
        </w:tc>
        <w:tc>
          <w:tcPr>
            <w:tcW w:type="dxa" w:w="4320"/>
          </w:tcPr>
          <w:p>
            <w:pPr/>
            <w:r/>
            <w:r>
              <w:rPr>
                <w:rFonts w:ascii="Calibri" w:hAnsi="Calibri"/>
              </w:rPr>
              <w:t>CME-FICC cross-margining arrangement launched for proprietary accounts (January 2024); record ADV of 26.5 million contracts</w:t>
            </w:r>
          </w:p>
        </w:tc>
      </w:tr>
      <w:tr>
        <w:tc>
          <w:tcPr>
            <w:tcW w:type="dxa" w:w="4320"/>
          </w:tcPr>
          <w:p>
            <w:pPr/>
            <w:r/>
            <w:r>
              <w:rPr>
                <w:rFonts w:ascii="Calibri" w:hAnsi="Calibri"/>
              </w:rPr>
              <w:t>2025</w:t>
            </w:r>
          </w:p>
        </w:tc>
        <w:tc>
          <w:tcPr>
            <w:tcW w:type="dxa" w:w="4320"/>
          </w:tcPr>
          <w:p>
            <w:pPr/>
            <w:r/>
            <w:r>
              <w:rPr>
                <w:rFonts w:ascii="Calibri" w:hAnsi="Calibri"/>
              </w:rPr>
              <w:t>Record annual ADV of 28.1 million contracts; CME Securities Clearing Inc. received SEC approval (December 2025) for U.S. Treasury and repo clearing (</w:t>
            </w:r>
            <w:r>
              <w:rPr>
                <w:rFonts w:ascii="Calibri" w:hAnsi="Calibri"/>
                <w:color w:val="0563C1"/>
                <w:u w:val="single"/>
              </w:rPr>
              <w:t>CME Press Release, December 2025</w:t>
            </w:r>
            <w:r>
              <w:rPr>
                <w:rFonts w:ascii="Calibri" w:hAnsi="Calibri"/>
              </w:rPr>
              <w:t>)</w:t>
            </w:r>
          </w:p>
        </w:tc>
      </w:tr>
    </w:tbl>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w:t>
      </w:r>
    </w:p>
    <w:p>
      <w:r>
        <w:rPr>
          <w:rFonts w:ascii="Calibri" w:hAnsi="Calibri"/>
        </w:rPr>
        <w:t>CME Clearing acts as the central counterparty (CCP) for all trades executed on or submitted through CME Group's four exchanges and OTC platforms. It clears the following product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Category</w:t>
            </w:r>
          </w:p>
        </w:tc>
        <w:tc>
          <w:tcPr>
            <w:tcW w:type="dxa" w:w="2880"/>
            <w:shd w:fill="4472C4" w:val="clear"/>
          </w:tcPr>
          <w:p>
            <w:pPr/>
            <w:r>
              <w:rPr>
                <w:b/>
                <w:color w:val="FFFFFF"/>
              </w:rPr>
            </w:r>
            <w:r>
              <w:rPr>
                <w:rFonts w:ascii="Calibri" w:hAnsi="Calibri"/>
                <w:b/>
                <w:color w:val="FFFFFF"/>
              </w:rPr>
              <w:t>Exchange / Platform</w:t>
            </w:r>
          </w:p>
        </w:tc>
        <w:tc>
          <w:tcPr>
            <w:tcW w:type="dxa" w:w="2880"/>
            <w:shd w:fill="4472C4" w:val="clear"/>
          </w:tcPr>
          <w:p>
            <w:pPr/>
            <w:r>
              <w:rPr>
                <w:b/>
                <w:color w:val="FFFFFF"/>
              </w:rPr>
            </w:r>
            <w:r>
              <w:rPr>
                <w:rFonts w:ascii="Calibri" w:hAnsi="Calibri"/>
                <w:b/>
                <w:color w:val="FFFFFF"/>
              </w:rPr>
              <w:t>Examples</w:t>
            </w:r>
          </w:p>
        </w:tc>
      </w:tr>
      <w:tr>
        <w:tc>
          <w:tcPr>
            <w:tcW w:type="dxa" w:w="2880"/>
          </w:tcPr>
          <w:p>
            <w:pPr/>
            <w:r/>
            <w:r>
              <w:rPr>
                <w:rFonts w:ascii="Calibri" w:hAnsi="Calibri"/>
              </w:rPr>
              <w:t>Interest Rate Derivatives</w:t>
            </w:r>
          </w:p>
        </w:tc>
        <w:tc>
          <w:tcPr>
            <w:tcW w:type="dxa" w:w="2880"/>
          </w:tcPr>
          <w:p>
            <w:pPr/>
            <w:r/>
            <w:r>
              <w:rPr>
                <w:rFonts w:ascii="Calibri" w:hAnsi="Calibri"/>
              </w:rPr>
              <w:t>CME, CBOT</w:t>
            </w:r>
          </w:p>
        </w:tc>
        <w:tc>
          <w:tcPr>
            <w:tcW w:type="dxa" w:w="2880"/>
          </w:tcPr>
          <w:p>
            <w:pPr/>
            <w:r/>
            <w:r>
              <w:rPr>
                <w:rFonts w:ascii="Calibri" w:hAnsi="Calibri"/>
              </w:rPr>
              <w:t>SOFR futures, U.S. Treasury futures &amp; options, Eurodollar futures (legacy)</w:t>
            </w:r>
          </w:p>
        </w:tc>
      </w:tr>
      <w:tr>
        <w:tc>
          <w:tcPr>
            <w:tcW w:type="dxa" w:w="2880"/>
          </w:tcPr>
          <w:p>
            <w:pPr/>
            <w:r/>
            <w:r>
              <w:rPr>
                <w:rFonts w:ascii="Calibri" w:hAnsi="Calibri"/>
              </w:rPr>
              <w:t>Equity Index Derivatives</w:t>
            </w:r>
          </w:p>
        </w:tc>
        <w:tc>
          <w:tcPr>
            <w:tcW w:type="dxa" w:w="2880"/>
          </w:tcPr>
          <w:p>
            <w:pPr/>
            <w:r/>
            <w:r>
              <w:rPr>
                <w:rFonts w:ascii="Calibri" w:hAnsi="Calibri"/>
              </w:rPr>
              <w:t>CME</w:t>
            </w:r>
          </w:p>
        </w:tc>
        <w:tc>
          <w:tcPr>
            <w:tcW w:type="dxa" w:w="2880"/>
          </w:tcPr>
          <w:p>
            <w:pPr/>
            <w:r/>
            <w:r>
              <w:rPr>
                <w:rFonts w:ascii="Calibri" w:hAnsi="Calibri"/>
              </w:rPr>
              <w:t>E-mini S&amp;P 500, E-mini Nasdaq-100, Micro E-mini, Nikkei 225 futures</w:t>
            </w:r>
          </w:p>
        </w:tc>
      </w:tr>
      <w:tr>
        <w:tc>
          <w:tcPr>
            <w:tcW w:type="dxa" w:w="2880"/>
          </w:tcPr>
          <w:p>
            <w:pPr/>
            <w:r/>
            <w:r>
              <w:rPr>
                <w:rFonts w:ascii="Calibri" w:hAnsi="Calibri"/>
              </w:rPr>
              <w:t>Foreign Exchange</w:t>
            </w:r>
          </w:p>
        </w:tc>
        <w:tc>
          <w:tcPr>
            <w:tcW w:type="dxa" w:w="2880"/>
          </w:tcPr>
          <w:p>
            <w:pPr/>
            <w:r/>
            <w:r>
              <w:rPr>
                <w:rFonts w:ascii="Calibri" w:hAnsi="Calibri"/>
              </w:rPr>
              <w:t>CME</w:t>
            </w:r>
          </w:p>
        </w:tc>
        <w:tc>
          <w:tcPr>
            <w:tcW w:type="dxa" w:w="2880"/>
          </w:tcPr>
          <w:p>
            <w:pPr/>
            <w:r/>
            <w:r>
              <w:rPr>
                <w:rFonts w:ascii="Calibri" w:hAnsi="Calibri"/>
              </w:rPr>
              <w:t>EUR/USD, JPY/USD, and 40+ FX pairs in futures &amp; options</w:t>
            </w:r>
          </w:p>
        </w:tc>
      </w:tr>
      <w:tr>
        <w:tc>
          <w:tcPr>
            <w:tcW w:type="dxa" w:w="2880"/>
          </w:tcPr>
          <w:p>
            <w:pPr/>
            <w:r/>
            <w:r>
              <w:rPr>
                <w:rFonts w:ascii="Calibri" w:hAnsi="Calibri"/>
              </w:rPr>
              <w:t>Agricultural Commodities</w:t>
            </w:r>
          </w:p>
        </w:tc>
        <w:tc>
          <w:tcPr>
            <w:tcW w:type="dxa" w:w="2880"/>
          </w:tcPr>
          <w:p>
            <w:pPr/>
            <w:r/>
            <w:r>
              <w:rPr>
                <w:rFonts w:ascii="Calibri" w:hAnsi="Calibri"/>
              </w:rPr>
              <w:t>CBOT, CME</w:t>
            </w:r>
          </w:p>
        </w:tc>
        <w:tc>
          <w:tcPr>
            <w:tcW w:type="dxa" w:w="2880"/>
          </w:tcPr>
          <w:p>
            <w:pPr/>
            <w:r/>
            <w:r>
              <w:rPr>
                <w:rFonts w:ascii="Calibri" w:hAnsi="Calibri"/>
              </w:rPr>
              <w:t>Corn, Soybeans, Wheat, Live Cattle, Lean Hogs, Dairy</w:t>
            </w:r>
          </w:p>
        </w:tc>
      </w:tr>
      <w:tr>
        <w:tc>
          <w:tcPr>
            <w:tcW w:type="dxa" w:w="2880"/>
          </w:tcPr>
          <w:p>
            <w:pPr/>
            <w:r/>
            <w:r>
              <w:rPr>
                <w:rFonts w:ascii="Calibri" w:hAnsi="Calibri"/>
              </w:rPr>
              <w:t>Energy Products</w:t>
            </w:r>
          </w:p>
        </w:tc>
        <w:tc>
          <w:tcPr>
            <w:tcW w:type="dxa" w:w="2880"/>
          </w:tcPr>
          <w:p>
            <w:pPr/>
            <w:r/>
            <w:r>
              <w:rPr>
                <w:rFonts w:ascii="Calibri" w:hAnsi="Calibri"/>
              </w:rPr>
              <w:t>NYMEX</w:t>
            </w:r>
          </w:p>
        </w:tc>
        <w:tc>
          <w:tcPr>
            <w:tcW w:type="dxa" w:w="2880"/>
          </w:tcPr>
          <w:p>
            <w:pPr/>
            <w:r/>
            <w:r>
              <w:rPr>
                <w:rFonts w:ascii="Calibri" w:hAnsi="Calibri"/>
              </w:rPr>
              <w:t>WTI Crude Oil, Henry Hub Natural Gas, Refined Products</w:t>
            </w:r>
          </w:p>
        </w:tc>
      </w:tr>
      <w:tr>
        <w:tc>
          <w:tcPr>
            <w:tcW w:type="dxa" w:w="2880"/>
          </w:tcPr>
          <w:p>
            <w:pPr/>
            <w:r/>
            <w:r>
              <w:rPr>
                <w:rFonts w:ascii="Calibri" w:hAnsi="Calibri"/>
              </w:rPr>
              <w:t>Metals</w:t>
            </w:r>
          </w:p>
        </w:tc>
        <w:tc>
          <w:tcPr>
            <w:tcW w:type="dxa" w:w="2880"/>
          </w:tcPr>
          <w:p>
            <w:pPr/>
            <w:r/>
            <w:r>
              <w:rPr>
                <w:rFonts w:ascii="Calibri" w:hAnsi="Calibri"/>
              </w:rPr>
              <w:t>COMEX, NYMEX</w:t>
            </w:r>
          </w:p>
        </w:tc>
        <w:tc>
          <w:tcPr>
            <w:tcW w:type="dxa" w:w="2880"/>
          </w:tcPr>
          <w:p>
            <w:pPr/>
            <w:r/>
            <w:r>
              <w:rPr>
                <w:rFonts w:ascii="Calibri" w:hAnsi="Calibri"/>
              </w:rPr>
              <w:t>Gold, Silver, Copper, Platinum, Palladium, Aluminum</w:t>
            </w:r>
          </w:p>
        </w:tc>
      </w:tr>
      <w:tr>
        <w:tc>
          <w:tcPr>
            <w:tcW w:type="dxa" w:w="2880"/>
          </w:tcPr>
          <w:p>
            <w:pPr/>
            <w:r/>
            <w:r>
              <w:rPr>
                <w:rFonts w:ascii="Calibri" w:hAnsi="Calibri"/>
              </w:rPr>
              <w:t>OTC Interest Rate Swaps</w:t>
            </w:r>
          </w:p>
        </w:tc>
        <w:tc>
          <w:tcPr>
            <w:tcW w:type="dxa" w:w="2880"/>
          </w:tcPr>
          <w:p>
            <w:pPr/>
            <w:r/>
            <w:r>
              <w:rPr>
                <w:rFonts w:ascii="Calibri" w:hAnsi="Calibri"/>
              </w:rPr>
              <w:t>CME ClearPort</w:t>
            </w:r>
          </w:p>
        </w:tc>
        <w:tc>
          <w:tcPr>
            <w:tcW w:type="dxa" w:w="2880"/>
          </w:tcPr>
          <w:p>
            <w:pPr/>
            <w:r/>
            <w:r>
              <w:rPr>
                <w:rFonts w:ascii="Calibri" w:hAnsi="Calibri"/>
              </w:rPr>
              <w:t>SOFR swaps, USD IRS, cross-currency swaps, swaptions</w:t>
            </w:r>
          </w:p>
        </w:tc>
      </w:tr>
      <w:tr>
        <w:tc>
          <w:tcPr>
            <w:tcW w:type="dxa" w:w="2880"/>
          </w:tcPr>
          <w:p>
            <w:pPr/>
            <w:r/>
            <w:r>
              <w:rPr>
                <w:rFonts w:ascii="Calibri" w:hAnsi="Calibri"/>
              </w:rPr>
              <w:t>OTC FX</w:t>
            </w:r>
          </w:p>
        </w:tc>
        <w:tc>
          <w:tcPr>
            <w:tcW w:type="dxa" w:w="2880"/>
          </w:tcPr>
          <w:p>
            <w:pPr/>
            <w:r/>
            <w:r>
              <w:rPr>
                <w:rFonts w:ascii="Calibri" w:hAnsi="Calibri"/>
              </w:rPr>
              <w:t>CME ClearPort</w:t>
            </w:r>
          </w:p>
        </w:tc>
        <w:tc>
          <w:tcPr>
            <w:tcW w:type="dxa" w:w="2880"/>
          </w:tcPr>
          <w:p>
            <w:pPr/>
            <w:r/>
            <w:r>
              <w:rPr>
                <w:rFonts w:ascii="Calibri" w:hAnsi="Calibri"/>
              </w:rPr>
              <w:t>OTC FX forwards and swaps (select currency pairs)</w:t>
            </w:r>
          </w:p>
        </w:tc>
      </w:tr>
      <w:tr>
        <w:tc>
          <w:tcPr>
            <w:tcW w:type="dxa" w:w="2880"/>
          </w:tcPr>
          <w:p>
            <w:pPr/>
            <w:r/>
            <w:r>
              <w:rPr>
                <w:rFonts w:ascii="Calibri" w:hAnsi="Calibri"/>
              </w:rPr>
              <w:t>Cryptocurrency</w:t>
            </w:r>
          </w:p>
        </w:tc>
        <w:tc>
          <w:tcPr>
            <w:tcW w:type="dxa" w:w="2880"/>
          </w:tcPr>
          <w:p>
            <w:pPr/>
            <w:r/>
            <w:r>
              <w:rPr>
                <w:rFonts w:ascii="Calibri" w:hAnsi="Calibri"/>
              </w:rPr>
              <w:t>CME</w:t>
            </w:r>
          </w:p>
        </w:tc>
        <w:tc>
          <w:tcPr>
            <w:tcW w:type="dxa" w:w="2880"/>
          </w:tcPr>
          <w:p>
            <w:pPr/>
            <w:r/>
            <w:r>
              <w:rPr>
                <w:rFonts w:ascii="Calibri" w:hAnsi="Calibri"/>
              </w:rPr>
              <w:t>Bitcoin futures &amp; options, Ether futures &amp; options</w:t>
            </w:r>
          </w:p>
        </w:tc>
      </w:tr>
    </w:tbl>
    <w:p/>
    <w:p>
      <w:pPr>
        <w:pStyle w:val="Heading3"/>
      </w:pPr>
      <w:r>
        <w:rPr>
          <w:rFonts w:ascii="Calibri" w:hAnsi="Calibri"/>
        </w:rPr>
        <w:t>2.2 Novation Process</w:t>
      </w:r>
    </w:p>
    <w:p>
      <w:r>
        <w:rPr>
          <w:rFonts w:ascii="Calibri" w:hAnsi="Calibri"/>
        </w:rPr>
        <w:t>Upon acceptance of a trade for clearing, CME Clearing interposes itself as the legal counterparty to both sides of every transaction through the process of novation. The original bilateral contract between buyer and seller is extinguished and replaced by two new contracts: one between CME Clearing and the buyer, and one between CME Clearing and the seller. This ensures that each clearing member only faces CME Clearing as its counterparty, eliminating bilateral counterparty credit risk.</w:t>
      </w:r>
    </w:p>
    <w:p>
      <w:pPr>
        <w:pStyle w:val="Heading3"/>
      </w:pPr>
      <w:r>
        <w:rPr>
          <w:rFonts w:ascii="Calibri" w:hAnsi="Calibri"/>
        </w:rPr>
        <w:t>2.3 Netting</w:t>
      </w:r>
    </w:p>
    <w:p>
      <w:r>
        <w:rPr>
          <w:rFonts w:ascii="Calibri" w:hAnsi="Calibri"/>
        </w:rPr>
        <w:t>CME Clearing provides multilateral netting across all products within each clearing member's account. Variation margin (settlement variation) is netted across all positions within a given account, resulting in a single net pay or collect amount per settlement cycle. For performance bonds (initial margin), CME applies portfolio-based margining via SPAN / SPAN 2 that recognises offsets between correlated positions.</w:t>
      </w:r>
    </w:p>
    <w:p>
      <w:pPr>
        <w:pStyle w:val="Heading3"/>
      </w:pPr>
      <w:r>
        <w:rPr>
          <w:rFonts w:ascii="Calibri" w:hAnsi="Calibri"/>
        </w:rPr>
        <w:t>2.4 Clearing Membership Tiers &amp; Requirements</w:t>
      </w:r>
    </w:p>
    <w:p>
      <w:r>
        <w:rPr>
          <w:rFonts w:ascii="Calibri" w:hAnsi="Calibri"/>
        </w:rPr>
        <w:t>CME, CBOT, NYMEX, and COMEX clearing memberships are entirely separate from one another. A firm must hold the appropriate division-specific clearing membership to clear products traded on that exchange.</w:t>
      </w:r>
    </w:p>
    <w:p>
      <w:r>
        <w:rPr>
          <w:rFonts w:ascii="Calibri" w:hAnsi="Calibri"/>
          <w:b/>
        </w:rPr>
        <w:t>Membership Categories:</w:t>
      </w:r>
    </w:p>
    <w:p>
      <w:r>
        <w:rPr>
          <w:rFonts w:ascii="Calibri" w:hAnsi="Calibri"/>
        </w:rPr>
        <w:t>Each exchange division recognises multiple categories of clearing members (</w:t>
      </w:r>
      <w:r>
        <w:rPr>
          <w:rFonts w:ascii="Calibri" w:hAnsi="Calibri"/>
          <w:color w:val="0563C1"/>
          <w:u w:val="single"/>
        </w:rPr>
        <w:t>CME Rulebook Chapter 9</w:t>
      </w:r>
      <w:r>
        <w:rPr>
          <w:rFonts w:ascii="Calibri" w:hAnsi="Calibri"/>
        </w:rPr>
        <w:t xml:space="preserve">; </w:t>
      </w:r>
      <w:r>
        <w:rPr>
          <w:rFonts w:ascii="Calibri" w:hAnsi="Calibri"/>
          <w:color w:val="0563C1"/>
          <w:u w:val="single"/>
        </w:rPr>
        <w:t>NYMEX Rulebook Chapter 9</w:t>
      </w:r>
      <w:r>
        <w:rPr>
          <w:rFonts w:ascii="Calibri" w:hAnsi="Calibri"/>
        </w:rPr>
        <w: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Category</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rPr>
              <w:t>CME Clearing Member</w:t>
            </w:r>
          </w:p>
        </w:tc>
        <w:tc>
          <w:tcPr>
            <w:tcW w:type="dxa" w:w="4320"/>
          </w:tcPr>
          <w:p>
            <w:pPr/>
            <w:r/>
            <w:r>
              <w:rPr>
                <w:rFonts w:ascii="Calibri" w:hAnsi="Calibri"/>
              </w:rPr>
              <w:t>Authorised to clear all CME-listed products</w:t>
            </w:r>
          </w:p>
        </w:tc>
      </w:tr>
      <w:tr>
        <w:tc>
          <w:tcPr>
            <w:tcW w:type="dxa" w:w="4320"/>
          </w:tcPr>
          <w:p>
            <w:pPr/>
            <w:r/>
            <w:r>
              <w:rPr>
                <w:rFonts w:ascii="Calibri" w:hAnsi="Calibri"/>
              </w:rPr>
              <w:t>CBOT Clearing Member</w:t>
            </w:r>
          </w:p>
        </w:tc>
        <w:tc>
          <w:tcPr>
            <w:tcW w:type="dxa" w:w="4320"/>
          </w:tcPr>
          <w:p>
            <w:pPr/>
            <w:r/>
            <w:r>
              <w:rPr>
                <w:rFonts w:ascii="Calibri" w:hAnsi="Calibri"/>
              </w:rPr>
              <w:t>Authorised to clear all CBOT-listed products</w:t>
            </w:r>
          </w:p>
        </w:tc>
      </w:tr>
      <w:tr>
        <w:tc>
          <w:tcPr>
            <w:tcW w:type="dxa" w:w="4320"/>
          </w:tcPr>
          <w:p>
            <w:pPr/>
            <w:r/>
            <w:r>
              <w:rPr>
                <w:rFonts w:ascii="Calibri" w:hAnsi="Calibri"/>
              </w:rPr>
              <w:t>NYMEX Clearing Member</w:t>
            </w:r>
          </w:p>
        </w:tc>
        <w:tc>
          <w:tcPr>
            <w:tcW w:type="dxa" w:w="4320"/>
          </w:tcPr>
          <w:p>
            <w:pPr/>
            <w:r/>
            <w:r>
              <w:rPr>
                <w:rFonts w:ascii="Calibri" w:hAnsi="Calibri"/>
              </w:rPr>
              <w:t>Authorised to clear all NYMEX-listed products</w:t>
            </w:r>
          </w:p>
        </w:tc>
      </w:tr>
      <w:tr>
        <w:tc>
          <w:tcPr>
            <w:tcW w:type="dxa" w:w="4320"/>
          </w:tcPr>
          <w:p>
            <w:pPr/>
            <w:r/>
            <w:r>
              <w:rPr>
                <w:rFonts w:ascii="Calibri" w:hAnsi="Calibri"/>
              </w:rPr>
              <w:t>COMEX Clearing Member</w:t>
            </w:r>
          </w:p>
        </w:tc>
        <w:tc>
          <w:tcPr>
            <w:tcW w:type="dxa" w:w="4320"/>
          </w:tcPr>
          <w:p>
            <w:pPr/>
            <w:r/>
            <w:r>
              <w:rPr>
                <w:rFonts w:ascii="Calibri" w:hAnsi="Calibri"/>
              </w:rPr>
              <w:t>Authorised to clear all COMEX-listed products</w:t>
            </w:r>
          </w:p>
        </w:tc>
      </w:tr>
      <w:tr>
        <w:tc>
          <w:tcPr>
            <w:tcW w:type="dxa" w:w="4320"/>
          </w:tcPr>
          <w:p>
            <w:pPr/>
            <w:r/>
            <w:r>
              <w:rPr>
                <w:rFonts w:ascii="Calibri" w:hAnsi="Calibri"/>
              </w:rPr>
              <w:t>IRS Clearing Member</w:t>
            </w:r>
          </w:p>
        </w:tc>
        <w:tc>
          <w:tcPr>
            <w:tcW w:type="dxa" w:w="4320"/>
          </w:tcPr>
          <w:p>
            <w:pPr/>
            <w:r/>
            <w:r>
              <w:rPr>
                <w:rFonts w:ascii="Calibri" w:hAnsi="Calibri"/>
              </w:rPr>
              <w:t>Separate membership for OTC interest rate swap clearing (distinct guaranty fund)</w:t>
            </w:r>
          </w:p>
        </w:tc>
      </w:tr>
    </w:tbl>
    <w:p/>
    <w:p>
      <w:r>
        <w:rPr>
          <w:rFonts w:ascii="Calibri" w:hAnsi="Calibri"/>
          <w:b/>
        </w:rPr>
        <w:t>Minimum Capital Requirements: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Member Type</w:t>
            </w:r>
          </w:p>
        </w:tc>
        <w:tc>
          <w:tcPr>
            <w:tcW w:type="dxa" w:w="2880"/>
            <w:shd w:fill="4472C4" w:val="clear"/>
          </w:tcPr>
          <w:p>
            <w:pPr/>
            <w:r>
              <w:rPr>
                <w:b/>
                <w:color w:val="FFFFFF"/>
              </w:rPr>
            </w:r>
            <w:r>
              <w:rPr>
                <w:rFonts w:ascii="Calibri" w:hAnsi="Calibri"/>
                <w:b/>
                <w:color w:val="FFFFFF"/>
              </w:rPr>
              <w:t>Exchange-Traded Products</w:t>
            </w:r>
          </w:p>
        </w:tc>
        <w:tc>
          <w:tcPr>
            <w:tcW w:type="dxa" w:w="2880"/>
            <w:shd w:fill="4472C4" w:val="clear"/>
          </w:tcPr>
          <w:p>
            <w:pPr/>
            <w:r>
              <w:rPr>
                <w:b/>
                <w:color w:val="FFFFFF"/>
              </w:rPr>
            </w:r>
            <w:r>
              <w:rPr>
                <w:rFonts w:ascii="Calibri" w:hAnsi="Calibri"/>
                <w:b/>
                <w:color w:val="FFFFFF"/>
              </w:rPr>
              <w:t>OTC-Traded Products</w:t>
            </w:r>
          </w:p>
        </w:tc>
      </w:tr>
      <w:tr>
        <w:tc>
          <w:tcPr>
            <w:tcW w:type="dxa" w:w="2880"/>
          </w:tcPr>
          <w:p>
            <w:pPr/>
            <w:r/>
            <w:r>
              <w:rPr>
                <w:rFonts w:ascii="Calibri" w:hAnsi="Calibri"/>
              </w:rPr>
              <w:t>Non-bank FCM</w:t>
            </w:r>
          </w:p>
        </w:tc>
        <w:tc>
          <w:tcPr>
            <w:tcW w:type="dxa" w:w="2880"/>
          </w:tcPr>
          <w:p>
            <w:pPr/>
            <w:r/>
            <w:r>
              <w:rPr>
                <w:rFonts w:ascii="Calibri" w:hAnsi="Calibri"/>
              </w:rPr>
              <w:t>$5 million Adjusted Net Capital (per CFTC Reg. 1.17)</w:t>
            </w:r>
          </w:p>
        </w:tc>
        <w:tc>
          <w:tcPr>
            <w:tcW w:type="dxa" w:w="2880"/>
          </w:tcPr>
          <w:p>
            <w:pPr/>
            <w:r/>
            <w:r>
              <w:rPr>
                <w:rFonts w:ascii="Calibri" w:hAnsi="Calibri"/>
              </w:rPr>
              <w:t>$50 million Adjusted Net Capital</w:t>
            </w:r>
          </w:p>
        </w:tc>
      </w:tr>
      <w:tr>
        <w:tc>
          <w:tcPr>
            <w:tcW w:type="dxa" w:w="2880"/>
          </w:tcPr>
          <w:p>
            <w:pPr/>
            <w:r/>
            <w:r>
              <w:rPr>
                <w:rFonts w:ascii="Calibri" w:hAnsi="Calibri"/>
              </w:rPr>
              <w:t>Bank</w:t>
            </w:r>
          </w:p>
        </w:tc>
        <w:tc>
          <w:tcPr>
            <w:tcW w:type="dxa" w:w="2880"/>
          </w:tcPr>
          <w:p>
            <w:pPr/>
            <w:r/>
            <w:r>
              <w:rPr>
                <w:rFonts w:ascii="Calibri" w:hAnsi="Calibri"/>
              </w:rPr>
              <w:t>$5 billion Tier I Capital</w:t>
            </w:r>
          </w:p>
        </w:tc>
        <w:tc>
          <w:tcPr>
            <w:tcW w:type="dxa" w:w="2880"/>
          </w:tcPr>
          <w:p>
            <w:pPr/>
            <w:r/>
            <w:r>
              <w:rPr>
                <w:rFonts w:ascii="Calibri" w:hAnsi="Calibri"/>
              </w:rPr>
              <w:t>$50 million Tier I Capital</w:t>
            </w:r>
          </w:p>
        </w:tc>
      </w:tr>
      <w:tr>
        <w:tc>
          <w:tcPr>
            <w:tcW w:type="dxa" w:w="2880"/>
          </w:tcPr>
          <w:p>
            <w:pPr/>
            <w:r/>
            <w:r>
              <w:rPr>
                <w:rFonts w:ascii="Calibri" w:hAnsi="Calibri"/>
              </w:rPr>
              <w:t>IRS Clearing Member</w:t>
            </w:r>
          </w:p>
        </w:tc>
        <w:tc>
          <w:tcPr>
            <w:tcW w:type="dxa" w:w="2880"/>
          </w:tcPr>
          <w:p>
            <w:pPr/>
            <w:r/>
            <w:r>
              <w:rPr>
                <w:rFonts w:ascii="Calibri" w:hAnsi="Calibri"/>
              </w:rPr>
              <w:t>N/A</w:t>
            </w:r>
          </w:p>
        </w:tc>
        <w:tc>
          <w:tcPr>
            <w:tcW w:type="dxa" w:w="2880"/>
          </w:tcPr>
          <w:p>
            <w:pPr/>
            <w:r/>
            <w:r>
              <w:rPr>
                <w:rFonts w:ascii="Calibri" w:hAnsi="Calibri"/>
              </w:rPr>
              <w:t>Capital &gt;= 20% of aggregate IRS performance bond requirement</w:t>
            </w:r>
          </w:p>
        </w:tc>
      </w:tr>
    </w:tbl>
    <w:p/>
    <w:p>
      <w:r>
        <w:rPr>
          <w:rFonts w:ascii="Calibri" w:hAnsi="Calibri"/>
        </w:rPr>
        <w:t xml:space="preserve">Source: </w:t>
      </w:r>
      <w:r>
        <w:rPr>
          <w:rFonts w:ascii="Calibri" w:hAnsi="Calibri"/>
          <w:color w:val="0563C1"/>
          <w:u w:val="single"/>
        </w:rPr>
        <w:t>CME Group Clearing Membership Requirements Summary</w:t>
      </w:r>
    </w:p>
    <w:p>
      <w:r>
        <w:rPr>
          <w:rFonts w:ascii="Calibri" w:hAnsi="Calibri"/>
          <w:b/>
        </w:rPr>
        <w:t>Number of Clearing Members:</w:t>
      </w:r>
      <w:r>
        <w:rPr>
          <w:rFonts w:ascii="Calibri" w:hAnsi="Calibri"/>
        </w:rPr>
        <w:t xml:space="preserve"> Approximately 50-55 clearing firms across all divisions </w:t>
      </w:r>
      <w:r>
        <w:rPr>
          <w:rFonts w:ascii="Calibri" w:hAnsi="Calibri"/>
          <w:color w:val="0563C1"/>
          <w:u w:val="single"/>
        </w:rPr>
        <w:t>unverified -- exact current count not publicly disclosed in aggregate; the CME Group clearing firms directory lists individual members ([Clearing Firms</w:t>
      </w:r>
      <w:r>
        <w:rPr>
          <w:rFonts w:ascii="Calibri" w:hAnsi="Calibri"/>
        </w:rPr>
        <w:t>)].</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 SPAN</w:t>
      </w:r>
    </w:p>
    <w:p>
      <w:r>
        <w:rPr>
          <w:rFonts w:ascii="Calibri" w:hAnsi="Calibri"/>
        </w:rPr>
        <w:t xml:space="preserve">CME Clearing developed the </w:t>
      </w:r>
      <w:r>
        <w:rPr>
          <w:rFonts w:ascii="Calibri" w:hAnsi="Calibri"/>
          <w:b/>
        </w:rPr>
        <w:t>SPAN (Standard Portfolio Analysis of Risk)</w:t>
      </w:r>
      <w:r>
        <w:rPr>
          <w:rFonts w:ascii="Calibri" w:hAnsi="Calibri"/>
        </w:rPr>
        <w:t xml:space="preserve"> methodology, which has become the global standard for portfolio-based margin calculation, adopted by over 50 exchanges and clearing organisations worldwide (</w:t>
      </w:r>
      <w:r>
        <w:rPr>
          <w:rFonts w:ascii="Calibri" w:hAnsi="Calibri"/>
          <w:color w:val="0563C1"/>
          <w:u w:val="single"/>
        </w:rPr>
        <w:t>SPAN Methodology Overview</w:t>
      </w:r>
      <w:r>
        <w:rPr>
          <w:rFonts w:ascii="Calibri" w:hAnsi="Calibri"/>
        </w:rPr>
        <w:t>).</w:t>
      </w:r>
    </w:p>
    <w:p>
      <w:r>
        <w:rPr>
          <w:rFonts w:ascii="Calibri" w:hAnsi="Calibri"/>
          <w:b/>
        </w:rPr>
        <w:t>How SPAN Works:</w:t>
      </w:r>
    </w:p>
    <w:p>
      <w:r>
        <w:rPr>
          <w:rFonts w:ascii="Calibri" w:hAnsi="Calibri"/>
        </w:rPr>
        <w:t>SPAN evaluates overall portfolio risk by calculating the worst reasonable loss that a portfolio of derivative and physical instruments might incur over a specified time period (typically one trading day for exchange-traded products, five days for OTC).</w:t>
      </w:r>
    </w:p>
    <w:p>
      <w:r>
        <w:rPr>
          <w:rFonts w:ascii="Calibri" w:hAnsi="Calibri"/>
          <w:b/>
        </w:rPr>
        <w:t>16 Risk Scenarios:</w:t>
      </w:r>
    </w:p>
    <w:p>
      <w:r>
        <w:rPr>
          <w:rFonts w:ascii="Calibri" w:hAnsi="Calibri"/>
        </w:rPr>
        <w:t>SPAN constructs 16 hypothetical risk scenarios based on two key parameters:</w:t>
      </w:r>
    </w:p>
    <w:p>
      <w:pPr>
        <w:pStyle w:val="ListBullet"/>
      </w:pPr>
      <w:r>
        <w:rPr>
          <w:rFonts w:ascii="Calibri" w:hAnsi="Calibri"/>
          <w:b/>
        </w:rPr>
        <w:t>Price Scanning Range</w:t>
      </w:r>
      <w:r>
        <w:rPr>
          <w:rFonts w:ascii="Calibri" w:hAnsi="Calibri"/>
        </w:rPr>
        <w:t xml:space="preserve"> -- calibrated to the distribution of price movements under normal market conditions (typically a 1-day, 99% confidence interval)</w:t>
      </w:r>
    </w:p>
    <w:p>
      <w:pPr>
        <w:pStyle w:val="ListBullet"/>
      </w:pPr>
      <w:r>
        <w:rPr>
          <w:rFonts w:ascii="Calibri" w:hAnsi="Calibri"/>
          <w:b/>
        </w:rPr>
        <w:t>Volatility Scanning Range</w:t>
      </w:r>
      <w:r>
        <w:rPr>
          <w:rFonts w:ascii="Calibri" w:hAnsi="Calibri"/>
        </w:rPr>
        <w:t xml:space="preserve"> -- calibrated to the distribution of implied volatility movements</w:t>
      </w:r>
    </w:p>
    <w:p>
      <w:r>
        <w:rPr>
          <w:rFonts w:ascii="Calibri" w:hAnsi="Calibri"/>
        </w:rPr>
        <w:t>The 16 scenarios represent combinations of:</w:t>
      </w:r>
    </w:p>
    <w:p>
      <w:pPr>
        <w:pStyle w:val="ListBullet"/>
      </w:pPr>
      <w:r>
        <w:rPr>
          <w:rFonts w:ascii="Calibri" w:hAnsi="Calibri"/>
        </w:rPr>
        <w:t>Price changes at fractions of the price scanning range (0, 1/3, 2/3, 1x, 2x, and 3x -- with 3x given reduced weight)</w:t>
      </w:r>
    </w:p>
    <w:p>
      <w:pPr>
        <w:pStyle w:val="ListBullet"/>
      </w:pPr>
      <w:r>
        <w:rPr>
          <w:rFonts w:ascii="Calibri" w:hAnsi="Calibri"/>
        </w:rPr>
        <w:t>Volatility changes (up and down by the volatility scanning range)</w:t>
      </w:r>
    </w:p>
    <w:p>
      <w:r>
        <w:rPr>
          <w:rFonts w:ascii="Calibri" w:hAnsi="Calibri"/>
          <w:b/>
        </w:rPr>
        <w:t>Five Components of SPAN Risk:</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Component</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Scanning Risk</w:t>
            </w:r>
          </w:p>
        </w:tc>
        <w:tc>
          <w:tcPr>
            <w:tcW w:type="dxa" w:w="4320"/>
          </w:tcPr>
          <w:p>
            <w:pPr/>
            <w:r/>
            <w:r>
              <w:rPr>
                <w:rFonts w:ascii="Calibri" w:hAnsi="Calibri"/>
              </w:rPr>
              <w:t>The largest loss from the 16 risk scenarios for a given combined commodity group</w:t>
            </w:r>
          </w:p>
        </w:tc>
      </w:tr>
      <w:tr>
        <w:tc>
          <w:tcPr>
            <w:tcW w:type="dxa" w:w="4320"/>
          </w:tcPr>
          <w:p>
            <w:pPr/>
            <w:r/>
            <w:r>
              <w:rPr>
                <w:rFonts w:ascii="Calibri" w:hAnsi="Calibri"/>
                <w:b/>
              </w:rPr>
              <w:t>Intra-Commodity Spread Charge</w:t>
            </w:r>
          </w:p>
        </w:tc>
        <w:tc>
          <w:tcPr>
            <w:tcW w:type="dxa" w:w="4320"/>
          </w:tcPr>
          <w:p>
            <w:pPr/>
            <w:r/>
            <w:r>
              <w:rPr>
                <w:rFonts w:ascii="Calibri" w:hAnsi="Calibri"/>
              </w:rPr>
              <w:t>Captures basis risk between different expiration months within the same commodity (calendar spread risk)</w:t>
            </w:r>
          </w:p>
        </w:tc>
      </w:tr>
      <w:tr>
        <w:tc>
          <w:tcPr>
            <w:tcW w:type="dxa" w:w="4320"/>
          </w:tcPr>
          <w:p>
            <w:pPr/>
            <w:r/>
            <w:r>
              <w:rPr>
                <w:rFonts w:ascii="Calibri" w:hAnsi="Calibri"/>
                <w:b/>
              </w:rPr>
              <w:t>Inter-Commodity Spread Credit</w:t>
            </w:r>
          </w:p>
        </w:tc>
        <w:tc>
          <w:tcPr>
            <w:tcW w:type="dxa" w:w="4320"/>
          </w:tcPr>
          <w:p>
            <w:pPr/>
            <w:r/>
            <w:r>
              <w:rPr>
                <w:rFonts w:ascii="Calibri" w:hAnsi="Calibri"/>
              </w:rPr>
              <w:t>Recognises risk-reducing offsets between correlated commodity groups (e.g., WTI vs. Brent crude)</w:t>
            </w:r>
          </w:p>
        </w:tc>
      </w:tr>
      <w:tr>
        <w:tc>
          <w:tcPr>
            <w:tcW w:type="dxa" w:w="4320"/>
          </w:tcPr>
          <w:p>
            <w:pPr/>
            <w:r/>
            <w:r>
              <w:rPr>
                <w:rFonts w:ascii="Calibri" w:hAnsi="Calibri"/>
                <w:b/>
              </w:rPr>
              <w:t>Delivery Month Charge</w:t>
            </w:r>
          </w:p>
        </w:tc>
        <w:tc>
          <w:tcPr>
            <w:tcW w:type="dxa" w:w="4320"/>
          </w:tcPr>
          <w:p>
            <w:pPr/>
            <w:r/>
            <w:r>
              <w:rPr>
                <w:rFonts w:ascii="Calibri" w:hAnsi="Calibri"/>
              </w:rPr>
              <w:t>Additional charge for positions approaching physical delivery</w:t>
            </w:r>
          </w:p>
        </w:tc>
      </w:tr>
      <w:tr>
        <w:tc>
          <w:tcPr>
            <w:tcW w:type="dxa" w:w="4320"/>
          </w:tcPr>
          <w:p>
            <w:pPr/>
            <w:r/>
            <w:r>
              <w:rPr>
                <w:rFonts w:ascii="Calibri" w:hAnsi="Calibri"/>
                <w:b/>
              </w:rPr>
              <w:t>Short Option Minimum</w:t>
            </w:r>
          </w:p>
        </w:tc>
        <w:tc>
          <w:tcPr>
            <w:tcW w:type="dxa" w:w="4320"/>
          </w:tcPr>
          <w:p>
            <w:pPr/>
            <w:r/>
            <w:r>
              <w:rPr>
                <w:rFonts w:ascii="Calibri" w:hAnsi="Calibri"/>
              </w:rPr>
              <w:t>Floor margin requirement for deep out-of-the-money short options to capture tail risk</w:t>
            </w:r>
          </w:p>
        </w:tc>
      </w:tr>
    </w:tbl>
    <w:p/>
    <w:p>
      <w:r>
        <w:rPr>
          <w:rFonts w:ascii="Calibri" w:hAnsi="Calibri"/>
          <w:b/>
        </w:rPr>
        <w:t>SPAN Margin Calculation:</w:t>
      </w:r>
    </w:p>
    <w:p>
      <w:pPr>
        <w:shd w:fill="F2F2F2" w:val="clear"/>
      </w:pPr>
      <w:r>
        <w:rPr>
          <w:rFonts w:ascii="Consolas" w:hAnsi="Consolas"/>
          <w:sz w:val="18"/>
        </w:rPr>
        <w:t>Performance Bond = MAX(Scanning Risk + Intra-Commodity Spread Charge + Delivery Month Charge</w:t>
        <w:br/>
        <w:t xml:space="preserve">                       - Inter-Commodity Spread Credit,</w:t>
        <w:br/>
        <w:t xml:space="preserve">                       Short Option Minimum)</w:t>
      </w:r>
    </w:p>
    <w:p>
      <w:r>
        <w:rPr>
          <w:rFonts w:ascii="Calibri" w:hAnsi="Calibri"/>
        </w:rPr>
        <w:t xml:space="preserve">Source: </w:t>
      </w:r>
      <w:r>
        <w:rPr>
          <w:rFonts w:ascii="Calibri" w:hAnsi="Calibri"/>
          <w:color w:val="0563C1"/>
          <w:u w:val="single"/>
        </w:rPr>
        <w:t>CME SPAN Methodology</w:t>
      </w:r>
    </w:p>
    <w:p>
      <w:pPr>
        <w:pStyle w:val="Heading3"/>
      </w:pPr>
      <w:r>
        <w:rPr>
          <w:rFonts w:ascii="Calibri" w:hAnsi="Calibri"/>
        </w:rPr>
        <w:t>3.2 SPAN 2 Transition</w:t>
      </w:r>
    </w:p>
    <w:p>
      <w:r>
        <w:rPr>
          <w:rFonts w:ascii="Calibri" w:hAnsi="Calibri"/>
        </w:rPr>
        <w:t xml:space="preserve">CME is transitioning to </w:t>
      </w:r>
      <w:r>
        <w:rPr>
          <w:rFonts w:ascii="Calibri" w:hAnsi="Calibri"/>
          <w:b/>
        </w:rPr>
        <w:t>SPAN 2</w:t>
      </w:r>
      <w:r>
        <w:rPr>
          <w:rFonts w:ascii="Calibri" w:hAnsi="Calibri"/>
        </w:rPr>
        <w:t>, a next-generation VaR-based (Historical Value-at-Risk) margin framework. Key differences from legacy SPAN: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Feature</w:t>
            </w:r>
          </w:p>
        </w:tc>
        <w:tc>
          <w:tcPr>
            <w:tcW w:type="dxa" w:w="2880"/>
            <w:shd w:fill="4472C4" w:val="clear"/>
          </w:tcPr>
          <w:p>
            <w:pPr/>
            <w:r>
              <w:rPr>
                <w:b/>
                <w:color w:val="FFFFFF"/>
              </w:rPr>
            </w:r>
            <w:r>
              <w:rPr>
                <w:rFonts w:ascii="Calibri" w:hAnsi="Calibri"/>
                <w:b/>
                <w:color w:val="FFFFFF"/>
              </w:rPr>
              <w:t>SPAN (Legacy)</w:t>
            </w:r>
          </w:p>
        </w:tc>
        <w:tc>
          <w:tcPr>
            <w:tcW w:type="dxa" w:w="2880"/>
            <w:shd w:fill="4472C4" w:val="clear"/>
          </w:tcPr>
          <w:p>
            <w:pPr/>
            <w:r>
              <w:rPr>
                <w:b/>
                <w:color w:val="FFFFFF"/>
              </w:rPr>
            </w:r>
            <w:r>
              <w:rPr>
                <w:rFonts w:ascii="Calibri" w:hAnsi="Calibri"/>
                <w:b/>
                <w:color w:val="FFFFFF"/>
              </w:rPr>
              <w:t>SPAN 2</w:t>
            </w:r>
          </w:p>
        </w:tc>
      </w:tr>
      <w:tr>
        <w:tc>
          <w:tcPr>
            <w:tcW w:type="dxa" w:w="2880"/>
          </w:tcPr>
          <w:p>
            <w:pPr/>
            <w:r/>
            <w:r>
              <w:rPr>
                <w:rFonts w:ascii="Calibri" w:hAnsi="Calibri"/>
              </w:rPr>
              <w:t>Methodology</w:t>
            </w:r>
          </w:p>
        </w:tc>
        <w:tc>
          <w:tcPr>
            <w:tcW w:type="dxa" w:w="2880"/>
          </w:tcPr>
          <w:p>
            <w:pPr/>
            <w:r/>
            <w:r>
              <w:rPr>
                <w:rFonts w:ascii="Calibri" w:hAnsi="Calibri"/>
              </w:rPr>
              <w:t>16 parametric scenarios</w:t>
            </w:r>
          </w:p>
        </w:tc>
        <w:tc>
          <w:tcPr>
            <w:tcW w:type="dxa" w:w="2880"/>
          </w:tcPr>
          <w:p>
            <w:pPr/>
            <w:r/>
            <w:r>
              <w:rPr>
                <w:rFonts w:ascii="Calibri" w:hAnsi="Calibri"/>
              </w:rPr>
              <w:t>Thousands of HVaR scenarios from historical data</w:t>
            </w:r>
          </w:p>
        </w:tc>
      </w:tr>
      <w:tr>
        <w:tc>
          <w:tcPr>
            <w:tcW w:type="dxa" w:w="2880"/>
          </w:tcPr>
          <w:p>
            <w:pPr/>
            <w:r/>
            <w:r>
              <w:rPr>
                <w:rFonts w:ascii="Calibri" w:hAnsi="Calibri"/>
              </w:rPr>
              <w:t>Risk Symmetry</w:t>
            </w:r>
          </w:p>
        </w:tc>
        <w:tc>
          <w:tcPr>
            <w:tcW w:type="dxa" w:w="2880"/>
          </w:tcPr>
          <w:p>
            <w:pPr/>
            <w:r/>
            <w:r>
              <w:rPr>
                <w:rFonts w:ascii="Calibri" w:hAnsi="Calibri"/>
              </w:rPr>
              <w:t>Same margin for long and short positions</w:t>
            </w:r>
          </w:p>
        </w:tc>
        <w:tc>
          <w:tcPr>
            <w:tcW w:type="dxa" w:w="2880"/>
          </w:tcPr>
          <w:p>
            <w:pPr/>
            <w:r/>
            <w:r>
              <w:rPr>
                <w:rFonts w:ascii="Calibri" w:hAnsi="Calibri"/>
                <w:b/>
              </w:rPr>
              <w:t>Asymmetric</w:t>
            </w:r>
            <w:r>
              <w:rPr>
                <w:rFonts w:ascii="Calibri" w:hAnsi="Calibri"/>
              </w:rPr>
              <w:t xml:space="preserve"> -- long and short margins differ based on historical risk profiles</w:t>
            </w:r>
          </w:p>
        </w:tc>
      </w:tr>
      <w:tr>
        <w:tc>
          <w:tcPr>
            <w:tcW w:type="dxa" w:w="2880"/>
          </w:tcPr>
          <w:p>
            <w:pPr/>
            <w:r/>
            <w:r>
              <w:rPr>
                <w:rFonts w:ascii="Calibri" w:hAnsi="Calibri"/>
              </w:rPr>
              <w:t>Offset Calculation</w:t>
            </w:r>
          </w:p>
        </w:tc>
        <w:tc>
          <w:tcPr>
            <w:tcW w:type="dxa" w:w="2880"/>
          </w:tcPr>
          <w:p>
            <w:pPr/>
            <w:r/>
            <w:r>
              <w:rPr>
                <w:rFonts w:ascii="Calibri" w:hAnsi="Calibri"/>
              </w:rPr>
              <w:t>Explicit inter-commodity spread credits</w:t>
            </w:r>
          </w:p>
        </w:tc>
        <w:tc>
          <w:tcPr>
            <w:tcW w:type="dxa" w:w="2880"/>
          </w:tcPr>
          <w:p>
            <w:pPr/>
            <w:r/>
            <w:r>
              <w:rPr>
                <w:rFonts w:ascii="Calibri" w:hAnsi="Calibri"/>
              </w:rPr>
              <w:t>Offsets inherent in VaR calculation via portfolio covariance</w:t>
            </w:r>
          </w:p>
        </w:tc>
      </w:tr>
      <w:tr>
        <w:tc>
          <w:tcPr>
            <w:tcW w:type="dxa" w:w="2880"/>
          </w:tcPr>
          <w:p>
            <w:pPr/>
            <w:r/>
            <w:r>
              <w:rPr>
                <w:rFonts w:ascii="Calibri" w:hAnsi="Calibri"/>
              </w:rPr>
              <w:t>Tail Risk</w:t>
            </w:r>
          </w:p>
        </w:tc>
        <w:tc>
          <w:tcPr>
            <w:tcW w:type="dxa" w:w="2880"/>
          </w:tcPr>
          <w:p>
            <w:pPr/>
            <w:r/>
            <w:r>
              <w:rPr>
                <w:rFonts w:ascii="Calibri" w:hAnsi="Calibri"/>
              </w:rPr>
              <w:t>Short option minimum</w:t>
            </w:r>
          </w:p>
        </w:tc>
        <w:tc>
          <w:tcPr>
            <w:tcW w:type="dxa" w:w="2880"/>
          </w:tcPr>
          <w:p>
            <w:pPr/>
            <w:r/>
            <w:r>
              <w:rPr>
                <w:rFonts w:ascii="Calibri" w:hAnsi="Calibri"/>
              </w:rPr>
              <w:t>Expected Shortfall (ES) component capturing tail losses beyond VaR threshold</w:t>
            </w:r>
          </w:p>
        </w:tc>
      </w:tr>
      <w:tr>
        <w:tc>
          <w:tcPr>
            <w:tcW w:type="dxa" w:w="2880"/>
          </w:tcPr>
          <w:p>
            <w:pPr/>
            <w:r/>
            <w:r>
              <w:rPr>
                <w:rFonts w:ascii="Calibri" w:hAnsi="Calibri"/>
              </w:rPr>
              <w:t>Additional Factors</w:t>
            </w:r>
          </w:p>
        </w:tc>
        <w:tc>
          <w:tcPr>
            <w:tcW w:type="dxa" w:w="2880"/>
          </w:tcPr>
          <w:p>
            <w:pPr/>
            <w:r/>
            <w:r>
              <w:rPr>
                <w:rFonts w:ascii="Calibri" w:hAnsi="Calibri"/>
              </w:rPr>
              <w:t>N/A</w:t>
            </w:r>
          </w:p>
        </w:tc>
        <w:tc>
          <w:tcPr>
            <w:tcW w:type="dxa" w:w="2880"/>
          </w:tcPr>
          <w:p>
            <w:pPr/>
            <w:r/>
            <w:r>
              <w:rPr>
                <w:rFonts w:ascii="Calibri" w:hAnsi="Calibri"/>
              </w:rPr>
              <w:t>Seasonality, options term structure, liquidity/concentration costs</w:t>
            </w:r>
          </w:p>
        </w:tc>
      </w:tr>
    </w:tbl>
    <w:p/>
    <w:p>
      <w:r>
        <w:rPr>
          <w:rFonts w:ascii="Calibri" w:hAnsi="Calibri"/>
          <w:b/>
        </w:rPr>
        <w:t>SPAN 2 Rollout Schedule (phased):</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Asset Class</w:t>
            </w:r>
          </w:p>
        </w:tc>
        <w:tc>
          <w:tcPr>
            <w:tcW w:type="dxa" w:w="4320"/>
            <w:shd w:fill="4472C4" w:val="clear"/>
          </w:tcPr>
          <w:p>
            <w:pPr/>
            <w:r>
              <w:rPr>
                <w:b/>
                <w:color w:val="FFFFFF"/>
              </w:rPr>
            </w:r>
            <w:r>
              <w:rPr>
                <w:rFonts w:ascii="Calibri" w:hAnsi="Calibri"/>
                <w:b/>
                <w:color w:val="FFFFFF"/>
              </w:rPr>
              <w:t>Go-Live Date</w:t>
            </w:r>
          </w:p>
        </w:tc>
      </w:tr>
      <w:tr>
        <w:tc>
          <w:tcPr>
            <w:tcW w:type="dxa" w:w="4320"/>
          </w:tcPr>
          <w:p>
            <w:pPr/>
            <w:r/>
            <w:r>
              <w:rPr>
                <w:rFonts w:ascii="Calibri" w:hAnsi="Calibri"/>
              </w:rPr>
              <w:t>Energy Products</w:t>
            </w:r>
          </w:p>
        </w:tc>
        <w:tc>
          <w:tcPr>
            <w:tcW w:type="dxa" w:w="4320"/>
          </w:tcPr>
          <w:p>
            <w:pPr/>
            <w:r/>
            <w:r>
              <w:rPr>
                <w:rFonts w:ascii="Calibri" w:hAnsi="Calibri"/>
              </w:rPr>
              <w:t>September 8, 2023 (completed)</w:t>
            </w:r>
          </w:p>
        </w:tc>
      </w:tr>
      <w:tr>
        <w:tc>
          <w:tcPr>
            <w:tcW w:type="dxa" w:w="4320"/>
          </w:tcPr>
          <w:p>
            <w:pPr/>
            <w:r/>
            <w:r>
              <w:rPr>
                <w:rFonts w:ascii="Calibri" w:hAnsi="Calibri"/>
              </w:rPr>
              <w:t>Equity Products</w:t>
            </w:r>
          </w:p>
        </w:tc>
        <w:tc>
          <w:tcPr>
            <w:tcW w:type="dxa" w:w="4320"/>
          </w:tcPr>
          <w:p>
            <w:pPr/>
            <w:r/>
            <w:r>
              <w:rPr>
                <w:rFonts w:ascii="Calibri" w:hAnsi="Calibri"/>
              </w:rPr>
              <w:t>October 18, 2024 (primary) / November 15, 2024 (backup)</w:t>
            </w:r>
          </w:p>
        </w:tc>
      </w:tr>
      <w:tr>
        <w:tc>
          <w:tcPr>
            <w:tcW w:type="dxa" w:w="4320"/>
          </w:tcPr>
          <w:p>
            <w:pPr/>
            <w:r/>
            <w:r>
              <w:rPr>
                <w:rFonts w:ascii="Calibri" w:hAnsi="Calibri"/>
              </w:rPr>
              <w:t>Interest Rate &amp; FX Products</w:t>
            </w:r>
          </w:p>
        </w:tc>
        <w:tc>
          <w:tcPr>
            <w:tcW w:type="dxa" w:w="4320"/>
          </w:tcPr>
          <w:p>
            <w:pPr/>
            <w:r/>
            <w:r>
              <w:rPr>
                <w:rFonts w:ascii="Calibri" w:hAnsi="Calibri"/>
              </w:rPr>
              <w:t>Second half of 2024</w:t>
            </w:r>
          </w:p>
        </w:tc>
      </w:tr>
      <w:tr>
        <w:tc>
          <w:tcPr>
            <w:tcW w:type="dxa" w:w="4320"/>
          </w:tcPr>
          <w:p>
            <w:pPr/>
            <w:r/>
            <w:r>
              <w:rPr>
                <w:rFonts w:ascii="Calibri" w:hAnsi="Calibri"/>
              </w:rPr>
              <w:t>Agricultural &amp; Remaining Products</w:t>
            </w:r>
          </w:p>
        </w:tc>
        <w:tc>
          <w:tcPr>
            <w:tcW w:type="dxa" w:w="4320"/>
          </w:tcPr>
          <w:p>
            <w:pPr/>
            <w:r/>
            <w:r>
              <w:rPr>
                <w:rFonts w:ascii="Calibri" w:hAnsi="Calibri"/>
              </w:rPr>
              <w:t>Second half of 2025</w:t>
            </w:r>
          </w:p>
        </w:tc>
      </w:tr>
    </w:tbl>
    <w:p/>
    <w:p>
      <w:r>
        <w:rPr>
          <w:rFonts w:ascii="Calibri" w:hAnsi="Calibri"/>
        </w:rPr>
        <w:t>During the multi-year transition, both SPAN and SPAN 2 run in parallel. Cross-model offsets between SPAN- and SPAN 2-margined products are supported via covariance. Legacy SPAN will continue to be supported for the foreseeable future.</w:t>
      </w:r>
    </w:p>
    <w:p>
      <w:r>
        <w:rPr>
          <w:rFonts w:ascii="Calibri" w:hAnsi="Calibri"/>
        </w:rPr>
        <w:t xml:space="preserve">Source: </w:t>
      </w:r>
      <w:r>
        <w:rPr>
          <w:rFonts w:ascii="Calibri" w:hAnsi="Calibri"/>
          <w:color w:val="0563C1"/>
          <w:u w:val="single"/>
        </w:rPr>
        <w:t>SPAN 2 Framework Rollout</w:t>
      </w:r>
      <w:r>
        <w:rPr>
          <w:rFonts w:ascii="Calibri" w:hAnsi="Calibri"/>
        </w:rPr>
        <w:t xml:space="preserve">; </w:t>
      </w:r>
      <w:r>
        <w:rPr>
          <w:rFonts w:ascii="Calibri" w:hAnsi="Calibri"/>
          <w:color w:val="0563C1"/>
          <w:u w:val="single"/>
        </w:rPr>
        <w:t>SPAN 2 Methodology</w:t>
      </w:r>
    </w:p>
    <w:p>
      <w:pPr>
        <w:pStyle w:val="Heading3"/>
      </w:pPr>
      <w:r>
        <w:rPr>
          <w:rFonts w:ascii="Calibri" w:hAnsi="Calibri"/>
        </w:rPr>
        <w:t>3.3 Comparison: SPAN vs. PRISMA vs. STANS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Feature</w:t>
            </w:r>
          </w:p>
        </w:tc>
        <w:tc>
          <w:tcPr>
            <w:tcW w:type="dxa" w:w="2160"/>
            <w:shd w:fill="4472C4" w:val="clear"/>
          </w:tcPr>
          <w:p>
            <w:pPr/>
            <w:r>
              <w:rPr>
                <w:b/>
                <w:color w:val="FFFFFF"/>
              </w:rPr>
            </w:r>
            <w:r>
              <w:rPr>
                <w:rFonts w:ascii="Calibri" w:hAnsi="Calibri"/>
                <w:b/>
                <w:color w:val="FFFFFF"/>
              </w:rPr>
              <w:t>CME SPAN / SPAN 2</w:t>
            </w:r>
          </w:p>
        </w:tc>
        <w:tc>
          <w:tcPr>
            <w:tcW w:type="dxa" w:w="2160"/>
            <w:shd w:fill="4472C4" w:val="clear"/>
          </w:tcPr>
          <w:p>
            <w:pPr/>
            <w:r>
              <w:rPr>
                <w:b/>
                <w:color w:val="FFFFFF"/>
              </w:rPr>
            </w:r>
            <w:r>
              <w:rPr>
                <w:rFonts w:ascii="Calibri" w:hAnsi="Calibri"/>
                <w:b/>
                <w:color w:val="FFFFFF"/>
              </w:rPr>
              <w:t>Eurex PRISMA</w:t>
            </w:r>
          </w:p>
        </w:tc>
        <w:tc>
          <w:tcPr>
            <w:tcW w:type="dxa" w:w="2160"/>
            <w:shd w:fill="4472C4" w:val="clear"/>
          </w:tcPr>
          <w:p>
            <w:pPr/>
            <w:r>
              <w:rPr>
                <w:b/>
                <w:color w:val="FFFFFF"/>
              </w:rPr>
            </w:r>
            <w:r>
              <w:rPr>
                <w:rFonts w:ascii="Calibri" w:hAnsi="Calibri"/>
                <w:b/>
                <w:color w:val="FFFFFF"/>
              </w:rPr>
              <w:t>OCC STANS</w:t>
            </w:r>
          </w:p>
        </w:tc>
      </w:tr>
      <w:tr>
        <w:tc>
          <w:tcPr>
            <w:tcW w:type="dxa" w:w="2160"/>
          </w:tcPr>
          <w:p>
            <w:pPr/>
            <w:r/>
            <w:r>
              <w:rPr>
                <w:rFonts w:ascii="Calibri" w:hAnsi="Calibri"/>
              </w:rPr>
              <w:t>Operator</w:t>
            </w:r>
          </w:p>
        </w:tc>
        <w:tc>
          <w:tcPr>
            <w:tcW w:type="dxa" w:w="2160"/>
          </w:tcPr>
          <w:p>
            <w:pPr/>
            <w:r/>
            <w:r>
              <w:rPr>
                <w:rFonts w:ascii="Calibri" w:hAnsi="Calibri"/>
              </w:rPr>
              <w:t>CME Clearing</w:t>
            </w:r>
          </w:p>
        </w:tc>
        <w:tc>
          <w:tcPr>
            <w:tcW w:type="dxa" w:w="2160"/>
          </w:tcPr>
          <w:p>
            <w:pPr/>
            <w:r/>
            <w:r>
              <w:rPr>
                <w:rFonts w:ascii="Calibri" w:hAnsi="Calibri"/>
              </w:rPr>
              <w:t>Eurex Clearing</w:t>
            </w:r>
          </w:p>
        </w:tc>
        <w:tc>
          <w:tcPr>
            <w:tcW w:type="dxa" w:w="2160"/>
          </w:tcPr>
          <w:p>
            <w:pPr/>
            <w:r/>
            <w:r>
              <w:rPr>
                <w:rFonts w:ascii="Calibri" w:hAnsi="Calibri"/>
              </w:rPr>
              <w:t>Options Clearing Corporation</w:t>
            </w:r>
          </w:p>
        </w:tc>
      </w:tr>
      <w:tr>
        <w:tc>
          <w:tcPr>
            <w:tcW w:type="dxa" w:w="2160"/>
          </w:tcPr>
          <w:p>
            <w:pPr/>
            <w:r/>
            <w:r>
              <w:rPr>
                <w:rFonts w:ascii="Calibri" w:hAnsi="Calibri"/>
              </w:rPr>
              <w:t>Methodology</w:t>
            </w:r>
          </w:p>
        </w:tc>
        <w:tc>
          <w:tcPr>
            <w:tcW w:type="dxa" w:w="2160"/>
          </w:tcPr>
          <w:p>
            <w:pPr/>
            <w:r/>
            <w:r>
              <w:rPr>
                <w:rFonts w:ascii="Calibri" w:hAnsi="Calibri"/>
              </w:rPr>
              <w:t>Parametric scenarios (SPAN) / HVaR + ES (SPAN 2)</w:t>
            </w:r>
          </w:p>
        </w:tc>
        <w:tc>
          <w:tcPr>
            <w:tcW w:type="dxa" w:w="2160"/>
          </w:tcPr>
          <w:p>
            <w:pPr/>
            <w:r/>
            <w:r>
              <w:rPr>
                <w:rFonts w:ascii="Calibri" w:hAnsi="Calibri"/>
              </w:rPr>
              <w:t>Filtered Historical Simulation VaR + stress add-ons</w:t>
            </w:r>
          </w:p>
        </w:tc>
        <w:tc>
          <w:tcPr>
            <w:tcW w:type="dxa" w:w="2160"/>
          </w:tcPr>
          <w:p>
            <w:pPr/>
            <w:r/>
            <w:r>
              <w:rPr>
                <w:rFonts w:ascii="Calibri" w:hAnsi="Calibri"/>
              </w:rPr>
              <w:t>Monte Carlo simulation</w:t>
            </w:r>
          </w:p>
        </w:tc>
      </w:tr>
      <w:tr>
        <w:tc>
          <w:tcPr>
            <w:tcW w:type="dxa" w:w="2160"/>
          </w:tcPr>
          <w:p>
            <w:pPr/>
            <w:r/>
            <w:r>
              <w:rPr>
                <w:rFonts w:ascii="Calibri" w:hAnsi="Calibri"/>
              </w:rPr>
              <w:t>Confidence Level</w:t>
            </w:r>
          </w:p>
        </w:tc>
        <w:tc>
          <w:tcPr>
            <w:tcW w:type="dxa" w:w="2160"/>
          </w:tcPr>
          <w:p>
            <w:pPr/>
            <w:r/>
            <w:r>
              <w:rPr>
                <w:rFonts w:ascii="Calibri" w:hAnsi="Calibri"/>
              </w:rPr>
              <w:t>99%+ (SPAN); 99.7%+ (SPAN 2) [unverified]</w:t>
            </w:r>
          </w:p>
        </w:tc>
        <w:tc>
          <w:tcPr>
            <w:tcW w:type="dxa" w:w="2160"/>
          </w:tcPr>
          <w:p>
            <w:pPr/>
            <w:r/>
            <w:r>
              <w:rPr>
                <w:rFonts w:ascii="Calibri" w:hAnsi="Calibri"/>
              </w:rPr>
              <w:t>99.7% (2-day MPOR)</w:t>
            </w:r>
          </w:p>
        </w:tc>
        <w:tc>
          <w:tcPr>
            <w:tcW w:type="dxa" w:w="2160"/>
          </w:tcPr>
          <w:p>
            <w:pPr/>
            <w:r/>
            <w:r>
              <w:rPr>
                <w:rFonts w:ascii="Calibri" w:hAnsi="Calibri"/>
              </w:rPr>
              <w:t>99% (2-day MPOR)</w:t>
            </w:r>
          </w:p>
        </w:tc>
      </w:tr>
      <w:tr>
        <w:tc>
          <w:tcPr>
            <w:tcW w:type="dxa" w:w="2160"/>
          </w:tcPr>
          <w:p>
            <w:pPr/>
            <w:r/>
            <w:r>
              <w:rPr>
                <w:rFonts w:ascii="Calibri" w:hAnsi="Calibri"/>
              </w:rPr>
              <w:t>Portfolio Scope</w:t>
            </w:r>
          </w:p>
        </w:tc>
        <w:tc>
          <w:tcPr>
            <w:tcW w:type="dxa" w:w="2160"/>
          </w:tcPr>
          <w:p>
            <w:pPr/>
            <w:r/>
            <w:r>
              <w:rPr>
                <w:rFonts w:ascii="Calibri" w:hAnsi="Calibri"/>
              </w:rPr>
              <w:t>Futures, options, OTC swaps</w:t>
            </w:r>
          </w:p>
        </w:tc>
        <w:tc>
          <w:tcPr>
            <w:tcW w:type="dxa" w:w="2160"/>
          </w:tcPr>
          <w:p>
            <w:pPr/>
            <w:r/>
            <w:r>
              <w:rPr>
                <w:rFonts w:ascii="Calibri" w:hAnsi="Calibri"/>
              </w:rPr>
              <w:t>Listed + OTC derivatives</w:t>
            </w:r>
          </w:p>
        </w:tc>
        <w:tc>
          <w:tcPr>
            <w:tcW w:type="dxa" w:w="2160"/>
          </w:tcPr>
          <w:p>
            <w:pPr/>
            <w:r/>
            <w:r>
              <w:rPr>
                <w:rFonts w:ascii="Calibri" w:hAnsi="Calibri"/>
              </w:rPr>
              <w:t>Equity options, futures</w:t>
            </w:r>
          </w:p>
        </w:tc>
      </w:tr>
      <w:tr>
        <w:tc>
          <w:tcPr>
            <w:tcW w:type="dxa" w:w="2160"/>
          </w:tcPr>
          <w:p>
            <w:pPr/>
            <w:r/>
            <w:r>
              <w:rPr>
                <w:rFonts w:ascii="Calibri" w:hAnsi="Calibri"/>
              </w:rPr>
              <w:t>Cross-Product Offsets</w:t>
            </w:r>
          </w:p>
        </w:tc>
        <w:tc>
          <w:tcPr>
            <w:tcW w:type="dxa" w:w="2160"/>
          </w:tcPr>
          <w:p>
            <w:pPr/>
            <w:r/>
            <w:r>
              <w:rPr>
                <w:rFonts w:ascii="Calibri" w:hAnsi="Calibri"/>
              </w:rPr>
              <w:t>SPAN credits / VaR covariance (SPAN 2)</w:t>
            </w:r>
          </w:p>
        </w:tc>
        <w:tc>
          <w:tcPr>
            <w:tcW w:type="dxa" w:w="2160"/>
          </w:tcPr>
          <w:p>
            <w:pPr/>
            <w:r/>
            <w:r>
              <w:rPr>
                <w:rFonts w:ascii="Calibri" w:hAnsi="Calibri"/>
              </w:rPr>
              <w:t>Full portfolio-based</w:t>
            </w:r>
          </w:p>
        </w:tc>
        <w:tc>
          <w:tcPr>
            <w:tcW w:type="dxa" w:w="2160"/>
          </w:tcPr>
          <w:p>
            <w:pPr/>
            <w:r/>
            <w:r>
              <w:rPr>
                <w:rFonts w:ascii="Calibri" w:hAnsi="Calibri"/>
              </w:rPr>
              <w:t>Full portfolio-based</w:t>
            </w:r>
          </w:p>
        </w:tc>
      </w:tr>
      <w:tr>
        <w:tc>
          <w:tcPr>
            <w:tcW w:type="dxa" w:w="2160"/>
          </w:tcPr>
          <w:p>
            <w:pPr/>
            <w:r/>
            <w:r>
              <w:rPr>
                <w:rFonts w:ascii="Calibri" w:hAnsi="Calibri"/>
              </w:rPr>
              <w:t>Liquidation Period</w:t>
            </w:r>
          </w:p>
        </w:tc>
        <w:tc>
          <w:tcPr>
            <w:tcW w:type="dxa" w:w="2160"/>
          </w:tcPr>
          <w:p>
            <w:pPr/>
            <w:r/>
            <w:r>
              <w:rPr>
                <w:rFonts w:ascii="Calibri" w:hAnsi="Calibri"/>
              </w:rPr>
              <w:t>1 day (ETD), 5 days (OTC IRS)</w:t>
            </w:r>
          </w:p>
        </w:tc>
        <w:tc>
          <w:tcPr>
            <w:tcW w:type="dxa" w:w="2160"/>
          </w:tcPr>
          <w:p>
            <w:pPr/>
            <w:r/>
            <w:r>
              <w:rPr>
                <w:rFonts w:ascii="Calibri" w:hAnsi="Calibri"/>
              </w:rPr>
              <w:t>2 days (listed), 5 days (OTC)</w:t>
            </w:r>
          </w:p>
        </w:tc>
        <w:tc>
          <w:tcPr>
            <w:tcW w:type="dxa" w:w="2160"/>
          </w:tcPr>
          <w:p>
            <w:pPr/>
            <w:r/>
            <w:r>
              <w:rPr>
                <w:rFonts w:ascii="Calibri" w:hAnsi="Calibri"/>
              </w:rPr>
              <w:t>2 days</w:t>
            </w:r>
          </w:p>
        </w:tc>
      </w:tr>
    </w:tbl>
    <w:p/>
    <w:p>
      <w:pPr>
        <w:pStyle w:val="Heading3"/>
      </w:pPr>
      <w:r>
        <w:rPr>
          <w:rFonts w:ascii="Calibri" w:hAnsi="Calibri"/>
        </w:rPr>
        <w:t>3.4 Margin Call Schedule</w:t>
      </w:r>
    </w:p>
    <w:p>
      <w:r>
        <w:rPr>
          <w:rFonts w:ascii="Calibri" w:hAnsi="Calibri"/>
        </w:rPr>
        <w:t>CME Clearing recalculates performance bond (margin) requirements at least once daily, but typically twice daily for exchange-traded derivatives: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Cycle</w:t>
            </w:r>
          </w:p>
        </w:tc>
        <w:tc>
          <w:tcPr>
            <w:tcW w:type="dxa" w:w="2880"/>
            <w:shd w:fill="4472C4" w:val="clear"/>
          </w:tcPr>
          <w:p>
            <w:pPr/>
            <w:r>
              <w:rPr>
                <w:b/>
                <w:color w:val="FFFFFF"/>
              </w:rPr>
            </w:r>
            <w:r>
              <w:rPr>
                <w:rFonts w:ascii="Calibri" w:hAnsi="Calibri"/>
                <w:b/>
                <w:color w:val="FFFFFF"/>
              </w:rPr>
              <w:t>Timing</w:t>
            </w:r>
          </w:p>
        </w:tc>
        <w:tc>
          <w:tcPr>
            <w:tcW w:type="dxa" w:w="2880"/>
            <w:shd w:fill="4472C4" w:val="clear"/>
          </w:tcPr>
          <w:p>
            <w:pPr/>
            <w:r>
              <w:rPr>
                <w:b/>
                <w:color w:val="FFFFFF"/>
              </w:rPr>
            </w:r>
            <w:r>
              <w:rPr>
                <w:rFonts w:ascii="Calibri" w:hAnsi="Calibri"/>
                <w:b/>
                <w:color w:val="FFFFFF"/>
              </w:rPr>
              <w:t>Description</w:t>
            </w:r>
          </w:p>
        </w:tc>
      </w:tr>
      <w:tr>
        <w:tc>
          <w:tcPr>
            <w:tcW w:type="dxa" w:w="2880"/>
          </w:tcPr>
          <w:p>
            <w:pPr/>
            <w:r/>
            <w:r>
              <w:rPr>
                <w:rFonts w:ascii="Calibri" w:hAnsi="Calibri"/>
                <w:b/>
              </w:rPr>
              <w:t>End-of-Day (EOD)</w:t>
            </w:r>
          </w:p>
        </w:tc>
        <w:tc>
          <w:tcPr>
            <w:tcW w:type="dxa" w:w="2880"/>
          </w:tcPr>
          <w:p>
            <w:pPr/>
            <w:r/>
            <w:r>
              <w:rPr>
                <w:rFonts w:ascii="Calibri" w:hAnsi="Calibri"/>
              </w:rPr>
              <w:t>After market close (~4:00 PM CT)</w:t>
            </w:r>
          </w:p>
        </w:tc>
        <w:tc>
          <w:tcPr>
            <w:tcW w:type="dxa" w:w="2880"/>
          </w:tcPr>
          <w:p>
            <w:pPr/>
            <w:r/>
            <w:r>
              <w:rPr>
                <w:rFonts w:ascii="Calibri" w:hAnsi="Calibri"/>
              </w:rPr>
              <w:t>Full recalculation of all positions against settlement prices; settlement variation pays/collects calculated</w:t>
            </w:r>
          </w:p>
        </w:tc>
      </w:tr>
      <w:tr>
        <w:tc>
          <w:tcPr>
            <w:tcW w:type="dxa" w:w="2880"/>
          </w:tcPr>
          <w:p>
            <w:pPr/>
            <w:r/>
            <w:r>
              <w:rPr>
                <w:rFonts w:ascii="Calibri" w:hAnsi="Calibri"/>
                <w:b/>
              </w:rPr>
              <w:t>Intraday</w:t>
            </w:r>
          </w:p>
        </w:tc>
        <w:tc>
          <w:tcPr>
            <w:tcW w:type="dxa" w:w="2880"/>
          </w:tcPr>
          <w:p>
            <w:pPr/>
            <w:r/>
            <w:r>
              <w:rPr>
                <w:rFonts w:ascii="Calibri" w:hAnsi="Calibri"/>
              </w:rPr>
              <w:t>Mid-morning (~10:00-11:00 AM CT)</w:t>
            </w:r>
          </w:p>
        </w:tc>
        <w:tc>
          <w:tcPr>
            <w:tcW w:type="dxa" w:w="2880"/>
          </w:tcPr>
          <w:p>
            <w:pPr/>
            <w:r/>
            <w:r>
              <w:rPr>
                <w:rFonts w:ascii="Calibri" w:hAnsi="Calibri"/>
              </w:rPr>
              <w:t>Intraday mark-to-market; additional performance bond calls issued if needed</w:t>
            </w:r>
          </w:p>
        </w:tc>
      </w:tr>
      <w:tr>
        <w:tc>
          <w:tcPr>
            <w:tcW w:type="dxa" w:w="2880"/>
          </w:tcPr>
          <w:p>
            <w:pPr/>
            <w:r/>
            <w:r>
              <w:rPr>
                <w:rFonts w:ascii="Calibri" w:hAnsi="Calibri"/>
                <w:b/>
              </w:rPr>
              <w:t>Ad-hoc / Extraordinary</w:t>
            </w:r>
          </w:p>
        </w:tc>
        <w:tc>
          <w:tcPr>
            <w:tcW w:type="dxa" w:w="2880"/>
          </w:tcPr>
          <w:p>
            <w:pPr/>
            <w:r/>
            <w:r>
              <w:rPr>
                <w:rFonts w:ascii="Calibri" w:hAnsi="Calibri"/>
              </w:rPr>
              <w:t>As needed</w:t>
            </w:r>
          </w:p>
        </w:tc>
        <w:tc>
          <w:tcPr>
            <w:tcW w:type="dxa" w:w="2880"/>
          </w:tcPr>
          <w:p>
            <w:pPr/>
            <w:r/>
            <w:r>
              <w:rPr>
                <w:rFonts w:ascii="Calibri" w:hAnsi="Calibri"/>
              </w:rPr>
              <w:t>CME Clearing has authority to issue additional margin calls at any time based on market conditions</w:t>
            </w:r>
          </w:p>
        </w:tc>
      </w:tr>
    </w:tbl>
    <w:p/>
    <w:p>
      <w:r>
        <w:rPr>
          <w:rFonts w:ascii="Calibri" w:hAnsi="Calibri"/>
        </w:rPr>
        <w:t>For OTC IRS and FX swaps, settlement variation is calculated at least once daily at end-of-day.</w:t>
      </w:r>
    </w:p>
    <w:p>
      <w:r>
        <w:rPr>
          <w:rFonts w:ascii="Calibri" w:hAnsi="Calibri"/>
        </w:rPr>
        <w:t>USD settlement cycles run twice daily (EOD and intraday) through CME's settlement banks. CME has authority to run additional cycles if market conditions warrant.</w:t>
      </w:r>
    </w:p>
    <w:p>
      <w:r>
        <w:rPr>
          <w:rFonts w:ascii="Calibri" w:hAnsi="Calibri"/>
        </w:rPr>
        <w:t xml:space="preserve">Source: </w:t>
      </w:r>
      <w:r>
        <w:rPr>
          <w:rFonts w:ascii="Calibri" w:hAnsi="Calibri"/>
          <w:color w:val="0563C1"/>
          <w:u w:val="single"/>
        </w:rPr>
        <w:t>CME PFMI Disclosure, November 2023</w:t>
      </w:r>
    </w:p>
    <w:p>
      <w:pPr>
        <w:pStyle w:val="Heading3"/>
      </w:pPr>
      <w:r>
        <w:rPr>
          <w:rFonts w:ascii="Calibri" w:hAnsi="Calibri"/>
        </w:rPr>
        <w:t>3.5 Default Waterfall</w:t>
      </w:r>
    </w:p>
    <w:p>
      <w:r>
        <w:rPr>
          <w:rFonts w:ascii="Calibri" w:hAnsi="Calibri"/>
        </w:rPr>
        <w:t xml:space="preserve">CME Clearing maintains </w:t>
      </w:r>
      <w:r>
        <w:rPr>
          <w:rFonts w:ascii="Calibri" w:hAnsi="Calibri"/>
          <w:b/>
        </w:rPr>
        <w:t>two distinct financial safeguards waterfalls</w:t>
      </w:r>
      <w:r>
        <w:rPr>
          <w:rFonts w:ascii="Calibri" w:hAnsi="Calibri"/>
        </w:rPr>
        <w:t>, each with its own guaranty fund:</w:t>
      </w:r>
    </w:p>
    <w:p>
      <w:pPr>
        <w:pStyle w:val="ListBullet"/>
      </w:pPr>
      <w:r>
        <w:rPr>
          <w:rFonts w:ascii="Calibri" w:hAnsi="Calibri"/>
          <w:b/>
        </w:rPr>
        <w:t>Base Products Waterfall</w:t>
      </w:r>
      <w:r>
        <w:rPr>
          <w:rFonts w:ascii="Calibri" w:hAnsi="Calibri"/>
        </w:rPr>
        <w:t xml:space="preserve"> -- covering futures, options, and OTC FX across CME, CBOT, NYMEX, and COMEX</w:t>
      </w:r>
    </w:p>
    <w:p>
      <w:pPr>
        <w:pStyle w:val="ListBullet"/>
      </w:pPr>
      <w:r>
        <w:rPr>
          <w:rFonts w:ascii="Calibri" w:hAnsi="Calibri"/>
          <w:b/>
        </w:rPr>
        <w:t>IRS Products Waterfall</w:t>
      </w:r>
      <w:r>
        <w:rPr>
          <w:rFonts w:ascii="Calibri" w:hAnsi="Calibri"/>
        </w:rPr>
        <w:t xml:space="preserve"> -- covering OTC interest rate swaps and swaptions</w:t>
      </w:r>
    </w:p>
    <w:p>
      <w:r>
        <w:rPr>
          <w:rFonts w:ascii="Calibri" w:hAnsi="Calibri"/>
          <w:b/>
        </w:rPr>
        <w:t>Base Products Default Waterfall (sequential application):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Resource</w:t>
            </w:r>
          </w:p>
        </w:tc>
        <w:tc>
          <w:tcPr>
            <w:tcW w:type="dxa" w:w="2880"/>
            <w:shd w:fill="4472C4" w:val="clear"/>
          </w:tcPr>
          <w:p>
            <w:pPr/>
            <w:r>
              <w:rPr>
                <w:b/>
                <w:color w:val="FFFFFF"/>
              </w:rPr>
            </w:r>
            <w:r>
              <w:rPr>
                <w:rFonts w:ascii="Calibri" w:hAnsi="Calibri"/>
                <w:b/>
                <w:color w:val="FFFFFF"/>
              </w:rPr>
              <w:t>Approximate Size</w:t>
            </w:r>
          </w:p>
        </w:tc>
      </w:tr>
      <w:tr>
        <w:tc>
          <w:tcPr>
            <w:tcW w:type="dxa" w:w="2880"/>
          </w:tcPr>
          <w:p>
            <w:pPr/>
            <w:r/>
            <w:r>
              <w:rPr>
                <w:rFonts w:ascii="Calibri" w:hAnsi="Calibri"/>
              </w:rPr>
              <w:t>1</w:t>
            </w:r>
          </w:p>
        </w:tc>
        <w:tc>
          <w:tcPr>
            <w:tcW w:type="dxa" w:w="2880"/>
          </w:tcPr>
          <w:p>
            <w:pPr/>
            <w:r/>
            <w:r>
              <w:rPr>
                <w:rFonts w:ascii="Calibri" w:hAnsi="Calibri"/>
                <w:b/>
              </w:rPr>
              <w:t>Defaulting Clearing Member's Performance Bonds</w:t>
            </w:r>
            <w:r>
              <w:rPr>
                <w:rFonts w:ascii="Calibri" w:hAnsi="Calibri"/>
              </w:rPr>
              <w:t xml:space="preserve"> (initial margin)</w:t>
            </w:r>
          </w:p>
        </w:tc>
        <w:tc>
          <w:tcPr>
            <w:tcW w:type="dxa" w:w="2880"/>
          </w:tcPr>
          <w:p>
            <w:pPr/>
            <w:r/>
            <w:r>
              <w:rPr>
                <w:rFonts w:ascii="Calibri" w:hAnsi="Calibri"/>
              </w:rPr>
              <w:t>Varies by portfolio</w:t>
            </w:r>
          </w:p>
        </w:tc>
      </w:tr>
      <w:tr>
        <w:tc>
          <w:tcPr>
            <w:tcW w:type="dxa" w:w="2880"/>
          </w:tcPr>
          <w:p>
            <w:pPr/>
            <w:r/>
            <w:r>
              <w:rPr>
                <w:rFonts w:ascii="Calibri" w:hAnsi="Calibri"/>
              </w:rPr>
              <w:t>2</w:t>
            </w:r>
          </w:p>
        </w:tc>
        <w:tc>
          <w:tcPr>
            <w:tcW w:type="dxa" w:w="2880"/>
          </w:tcPr>
          <w:p>
            <w:pPr/>
            <w:r/>
            <w:r>
              <w:rPr>
                <w:rFonts w:ascii="Calibri" w:hAnsi="Calibri"/>
                <w:b/>
              </w:rPr>
              <w:t>Defaulting Clearing Member's Guaranty Fund Contribution</w:t>
            </w:r>
          </w:p>
        </w:tc>
        <w:tc>
          <w:tcPr>
            <w:tcW w:type="dxa" w:w="2880"/>
          </w:tcPr>
          <w:p>
            <w:pPr/>
            <w:r/>
            <w:r>
              <w:rPr>
                <w:rFonts w:ascii="Calibri" w:hAnsi="Calibri"/>
              </w:rPr>
              <w:t>Pro-rata share</w:t>
            </w:r>
          </w:p>
        </w:tc>
      </w:tr>
      <w:tr>
        <w:tc>
          <w:tcPr>
            <w:tcW w:type="dxa" w:w="2880"/>
          </w:tcPr>
          <w:p>
            <w:pPr/>
            <w:r/>
            <w:r>
              <w:rPr>
                <w:rFonts w:ascii="Calibri" w:hAnsi="Calibri"/>
              </w:rPr>
              <w:t>3</w:t>
            </w:r>
          </w:p>
        </w:tc>
        <w:tc>
          <w:tcPr>
            <w:tcW w:type="dxa" w:w="2880"/>
          </w:tcPr>
          <w:p>
            <w:pPr/>
            <w:r/>
            <w:r>
              <w:rPr>
                <w:rFonts w:ascii="Calibri" w:hAnsi="Calibri"/>
                <w:b/>
              </w:rPr>
              <w:t>CME Clearing's Own Contribution (Skin-in-the-Game / SITG)</w:t>
            </w:r>
          </w:p>
        </w:tc>
        <w:tc>
          <w:tcPr>
            <w:tcW w:type="dxa" w:w="2880"/>
          </w:tcPr>
          <w:p>
            <w:pPr/>
            <w:r/>
            <w:r>
              <w:rPr>
                <w:rFonts w:ascii="Calibri" w:hAnsi="Calibri"/>
                <w:b/>
              </w:rPr>
              <w:t>$100 million</w:t>
            </w:r>
            <w:r>
              <w:rPr>
                <w:rFonts w:ascii="Calibri" w:hAnsi="Calibri"/>
              </w:rPr>
              <w:t xml:space="preserve"> (pre-funded)</w:t>
            </w:r>
          </w:p>
        </w:tc>
      </w:tr>
      <w:tr>
        <w:tc>
          <w:tcPr>
            <w:tcW w:type="dxa" w:w="2880"/>
          </w:tcPr>
          <w:p>
            <w:pPr/>
            <w:r/>
            <w:r>
              <w:rPr>
                <w:rFonts w:ascii="Calibri" w:hAnsi="Calibri"/>
              </w:rPr>
              <w:t>4</w:t>
            </w:r>
          </w:p>
        </w:tc>
        <w:tc>
          <w:tcPr>
            <w:tcW w:type="dxa" w:w="2880"/>
          </w:tcPr>
          <w:p>
            <w:pPr/>
            <w:r/>
            <w:r>
              <w:rPr>
                <w:rFonts w:ascii="Calibri" w:hAnsi="Calibri"/>
                <w:b/>
              </w:rPr>
              <w:t>Non-Defaulting Clearing Members' Guaranty Fund Contributions</w:t>
            </w:r>
          </w:p>
        </w:tc>
        <w:tc>
          <w:tcPr>
            <w:tcW w:type="dxa" w:w="2880"/>
          </w:tcPr>
          <w:p>
            <w:pPr/>
            <w:r/>
            <w:r>
              <w:rPr>
                <w:rFonts w:ascii="Calibri" w:hAnsi="Calibri"/>
              </w:rPr>
              <w:t>Mutualized pool (sized to Cover 2 standard)</w:t>
            </w:r>
          </w:p>
        </w:tc>
      </w:tr>
      <w:tr>
        <w:tc>
          <w:tcPr>
            <w:tcW w:type="dxa" w:w="2880"/>
          </w:tcPr>
          <w:p>
            <w:pPr/>
            <w:r/>
            <w:r>
              <w:rPr>
                <w:rFonts w:ascii="Calibri" w:hAnsi="Calibri"/>
              </w:rPr>
              <w:t>5</w:t>
            </w:r>
          </w:p>
        </w:tc>
        <w:tc>
          <w:tcPr>
            <w:tcW w:type="dxa" w:w="2880"/>
          </w:tcPr>
          <w:p>
            <w:pPr/>
            <w:r/>
            <w:r>
              <w:rPr>
                <w:rFonts w:ascii="Calibri" w:hAnsi="Calibri"/>
                <w:b/>
              </w:rPr>
              <w:t>Assessment Powers</w:t>
            </w:r>
          </w:p>
        </w:tc>
        <w:tc>
          <w:tcPr>
            <w:tcW w:type="dxa" w:w="2880"/>
          </w:tcPr>
          <w:p>
            <w:pPr/>
            <w:r/>
            <w:r>
              <w:rPr>
                <w:rFonts w:ascii="Calibri" w:hAnsi="Calibri"/>
              </w:rPr>
              <w:t xml:space="preserve">Up to </w:t>
            </w:r>
            <w:r>
              <w:rPr>
                <w:rFonts w:ascii="Calibri" w:hAnsi="Calibri"/>
                <w:b/>
              </w:rPr>
              <w:t>2.75x</w:t>
            </w:r>
            <w:r>
              <w:rPr>
                <w:rFonts w:ascii="Calibri" w:hAnsi="Calibri"/>
              </w:rPr>
              <w:t xml:space="preserve"> each non-defaulting member's guaranty fund contribution per single default event</w:t>
            </w:r>
          </w:p>
        </w:tc>
      </w:tr>
      <w:tr>
        <w:tc>
          <w:tcPr>
            <w:tcW w:type="dxa" w:w="2880"/>
          </w:tcPr>
          <w:p>
            <w:pPr/>
            <w:r/>
            <w:r>
              <w:rPr>
                <w:rFonts w:ascii="Calibri" w:hAnsi="Calibri"/>
              </w:rPr>
              <w:t>6</w:t>
            </w:r>
          </w:p>
        </w:tc>
        <w:tc>
          <w:tcPr>
            <w:tcW w:type="dxa" w:w="2880"/>
          </w:tcPr>
          <w:p>
            <w:pPr/>
            <w:r/>
            <w:r>
              <w:rPr>
                <w:rFonts w:ascii="Calibri" w:hAnsi="Calibri"/>
                <w:b/>
              </w:rPr>
              <w:t>Recovery Tools</w:t>
            </w:r>
          </w:p>
        </w:tc>
        <w:tc>
          <w:tcPr>
            <w:tcW w:type="dxa" w:w="2880"/>
          </w:tcPr>
          <w:p>
            <w:pPr/>
            <w:r/>
            <w:r>
              <w:rPr>
                <w:rFonts w:ascii="Calibri" w:hAnsi="Calibri"/>
              </w:rPr>
              <w:t>Voluntary contributions, variation margin haircutting, mandatory tear-ups</w:t>
            </w:r>
          </w:p>
        </w:tc>
      </w:tr>
    </w:tbl>
    <w:p/>
    <w:p>
      <w:r>
        <w:rPr>
          <w:rFonts w:ascii="Calibri" w:hAnsi="Calibri"/>
          <w:b/>
        </w:rPr>
        <w:t>IRS Products Default Waterfall (sequential application):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Resource</w:t>
            </w:r>
          </w:p>
        </w:tc>
        <w:tc>
          <w:tcPr>
            <w:tcW w:type="dxa" w:w="2880"/>
            <w:shd w:fill="4472C4" w:val="clear"/>
          </w:tcPr>
          <w:p>
            <w:pPr/>
            <w:r>
              <w:rPr>
                <w:b/>
                <w:color w:val="FFFFFF"/>
              </w:rPr>
            </w:r>
            <w:r>
              <w:rPr>
                <w:rFonts w:ascii="Calibri" w:hAnsi="Calibri"/>
                <w:b/>
                <w:color w:val="FFFFFF"/>
              </w:rPr>
              <w:t>Approximate Size</w:t>
            </w:r>
          </w:p>
        </w:tc>
      </w:tr>
      <w:tr>
        <w:tc>
          <w:tcPr>
            <w:tcW w:type="dxa" w:w="2880"/>
          </w:tcPr>
          <w:p>
            <w:pPr/>
            <w:r/>
            <w:r>
              <w:rPr>
                <w:rFonts w:ascii="Calibri" w:hAnsi="Calibri"/>
              </w:rPr>
              <w:t>1</w:t>
            </w:r>
          </w:p>
        </w:tc>
        <w:tc>
          <w:tcPr>
            <w:tcW w:type="dxa" w:w="2880"/>
          </w:tcPr>
          <w:p>
            <w:pPr/>
            <w:r/>
            <w:r>
              <w:rPr>
                <w:rFonts w:ascii="Calibri" w:hAnsi="Calibri"/>
                <w:b/>
              </w:rPr>
              <w:t>Defaulting IRS Clearing Member's Performance Bonds</w:t>
            </w:r>
          </w:p>
        </w:tc>
        <w:tc>
          <w:tcPr>
            <w:tcW w:type="dxa" w:w="2880"/>
          </w:tcPr>
          <w:p>
            <w:pPr/>
            <w:r/>
            <w:r>
              <w:rPr>
                <w:rFonts w:ascii="Calibri" w:hAnsi="Calibri"/>
              </w:rPr>
              <w:t>Varies by portfolio</w:t>
            </w:r>
          </w:p>
        </w:tc>
      </w:tr>
      <w:tr>
        <w:tc>
          <w:tcPr>
            <w:tcW w:type="dxa" w:w="2880"/>
          </w:tcPr>
          <w:p>
            <w:pPr/>
            <w:r/>
            <w:r>
              <w:rPr>
                <w:rFonts w:ascii="Calibri" w:hAnsi="Calibri"/>
              </w:rPr>
              <w:t>2</w:t>
            </w:r>
          </w:p>
        </w:tc>
        <w:tc>
          <w:tcPr>
            <w:tcW w:type="dxa" w:w="2880"/>
          </w:tcPr>
          <w:p>
            <w:pPr/>
            <w:r/>
            <w:r>
              <w:rPr>
                <w:rFonts w:ascii="Calibri" w:hAnsi="Calibri"/>
                <w:b/>
              </w:rPr>
              <w:t>Defaulting IRS Clearing Member's Guaranty Fund Contribution</w:t>
            </w:r>
          </w:p>
        </w:tc>
        <w:tc>
          <w:tcPr>
            <w:tcW w:type="dxa" w:w="2880"/>
          </w:tcPr>
          <w:p>
            <w:pPr/>
            <w:r/>
            <w:r>
              <w:rPr>
                <w:rFonts w:ascii="Calibri" w:hAnsi="Calibri"/>
              </w:rPr>
              <w:t>Pro-rata share</w:t>
            </w:r>
          </w:p>
        </w:tc>
      </w:tr>
      <w:tr>
        <w:tc>
          <w:tcPr>
            <w:tcW w:type="dxa" w:w="2880"/>
          </w:tcPr>
          <w:p>
            <w:pPr/>
            <w:r/>
            <w:r>
              <w:rPr>
                <w:rFonts w:ascii="Calibri" w:hAnsi="Calibri"/>
              </w:rPr>
              <w:t>3</w:t>
            </w:r>
          </w:p>
        </w:tc>
        <w:tc>
          <w:tcPr>
            <w:tcW w:type="dxa" w:w="2880"/>
          </w:tcPr>
          <w:p>
            <w:pPr/>
            <w:r/>
            <w:r>
              <w:rPr>
                <w:rFonts w:ascii="Calibri" w:hAnsi="Calibri"/>
                <w:b/>
              </w:rPr>
              <w:t>CME Clearing's Own Contribution (SITG)</w:t>
            </w:r>
          </w:p>
        </w:tc>
        <w:tc>
          <w:tcPr>
            <w:tcW w:type="dxa" w:w="2880"/>
          </w:tcPr>
          <w:p>
            <w:pPr/>
            <w:r/>
            <w:r>
              <w:rPr>
                <w:rFonts w:ascii="Calibri" w:hAnsi="Calibri"/>
                <w:b/>
              </w:rPr>
              <w:t>$150 million</w:t>
            </w:r>
            <w:r>
              <w:rPr>
                <w:rFonts w:ascii="Calibri" w:hAnsi="Calibri"/>
              </w:rPr>
              <w:t xml:space="preserve"> (pre-funded)</w:t>
            </w:r>
          </w:p>
        </w:tc>
      </w:tr>
      <w:tr>
        <w:tc>
          <w:tcPr>
            <w:tcW w:type="dxa" w:w="2880"/>
          </w:tcPr>
          <w:p>
            <w:pPr/>
            <w:r/>
            <w:r>
              <w:rPr>
                <w:rFonts w:ascii="Calibri" w:hAnsi="Calibri"/>
              </w:rPr>
              <w:t>4</w:t>
            </w:r>
          </w:p>
        </w:tc>
        <w:tc>
          <w:tcPr>
            <w:tcW w:type="dxa" w:w="2880"/>
          </w:tcPr>
          <w:p>
            <w:pPr/>
            <w:r/>
            <w:r>
              <w:rPr>
                <w:rFonts w:ascii="Calibri" w:hAnsi="Calibri"/>
                <w:b/>
              </w:rPr>
              <w:t>Non-Defaulting IRS Clearing Members' Guaranty Fund Contributions</w:t>
            </w:r>
          </w:p>
        </w:tc>
        <w:tc>
          <w:tcPr>
            <w:tcW w:type="dxa" w:w="2880"/>
          </w:tcPr>
          <w:p>
            <w:pPr/>
            <w:r/>
            <w:r>
              <w:rPr>
                <w:rFonts w:ascii="Calibri" w:hAnsi="Calibri"/>
              </w:rPr>
              <w:t>Mutualized pool (sized to Cover 2 standard)</w:t>
            </w:r>
          </w:p>
        </w:tc>
      </w:tr>
      <w:tr>
        <w:tc>
          <w:tcPr>
            <w:tcW w:type="dxa" w:w="2880"/>
          </w:tcPr>
          <w:p>
            <w:pPr/>
            <w:r/>
            <w:r>
              <w:rPr>
                <w:rFonts w:ascii="Calibri" w:hAnsi="Calibri"/>
              </w:rPr>
              <w:t>5</w:t>
            </w:r>
          </w:p>
        </w:tc>
        <w:tc>
          <w:tcPr>
            <w:tcW w:type="dxa" w:w="2880"/>
          </w:tcPr>
          <w:p>
            <w:pPr/>
            <w:r/>
            <w:r>
              <w:rPr>
                <w:rFonts w:ascii="Calibri" w:hAnsi="Calibri"/>
                <w:b/>
              </w:rPr>
              <w:t>Assessment Powers</w:t>
            </w:r>
          </w:p>
        </w:tc>
        <w:tc>
          <w:tcPr>
            <w:tcW w:type="dxa" w:w="2880"/>
          </w:tcPr>
          <w:p>
            <w:pPr/>
            <w:r/>
            <w:r>
              <w:rPr>
                <w:rFonts w:ascii="Calibri" w:hAnsi="Calibri"/>
              </w:rPr>
              <w:t>Capped assessment on non-defaulting IRS clearing members</w:t>
            </w:r>
          </w:p>
        </w:tc>
      </w:tr>
      <w:tr>
        <w:tc>
          <w:tcPr>
            <w:tcW w:type="dxa" w:w="2880"/>
          </w:tcPr>
          <w:p>
            <w:pPr/>
            <w:r/>
            <w:r>
              <w:rPr>
                <w:rFonts w:ascii="Calibri" w:hAnsi="Calibri"/>
              </w:rPr>
              <w:t>6</w:t>
            </w:r>
          </w:p>
        </w:tc>
        <w:tc>
          <w:tcPr>
            <w:tcW w:type="dxa" w:w="2880"/>
          </w:tcPr>
          <w:p>
            <w:pPr/>
            <w:r/>
            <w:r>
              <w:rPr>
                <w:rFonts w:ascii="Calibri" w:hAnsi="Calibri"/>
                <w:b/>
              </w:rPr>
              <w:t>Recovery Tools</w:t>
            </w:r>
          </w:p>
        </w:tc>
        <w:tc>
          <w:tcPr>
            <w:tcW w:type="dxa" w:w="2880"/>
          </w:tcPr>
          <w:p>
            <w:pPr/>
            <w:r/>
            <w:r>
              <w:rPr>
                <w:rFonts w:ascii="Calibri" w:hAnsi="Calibri"/>
              </w:rPr>
              <w:t>Gains haircutting, mandatory tear-ups, voluntary contributions, voluntary tear-ups</w:t>
            </w:r>
          </w:p>
        </w:tc>
      </w:tr>
    </w:tbl>
    <w:p/>
    <w:p>
      <w:r>
        <w:rPr>
          <w:rFonts w:ascii="Calibri" w:hAnsi="Calibri"/>
          <w:b/>
        </w:rPr>
        <w:t>Guaranty Fund Sizing:</w:t>
      </w:r>
    </w:p>
    <w:p>
      <w:pPr>
        <w:pStyle w:val="ListBullet"/>
      </w:pPr>
      <w:r>
        <w:rPr>
          <w:rFonts w:ascii="Calibri" w:hAnsi="Calibri"/>
        </w:rPr>
        <w:t xml:space="preserve">Each guaranty fund is sized to cover the default of the </w:t>
      </w:r>
      <w:r>
        <w:rPr>
          <w:rFonts w:ascii="Calibri" w:hAnsi="Calibri"/>
          <w:b/>
        </w:rPr>
        <w:t>two clearing members (and their affiliates) with the largest anticipated stress shortfalls</w:t>
      </w:r>
      <w:r>
        <w:rPr>
          <w:rFonts w:ascii="Calibri" w:hAnsi="Calibri"/>
        </w:rPr>
        <w:t xml:space="preserve"> -- the "Cover 2" standard.</w:t>
      </w:r>
    </w:p>
    <w:p>
      <w:pPr>
        <w:pStyle w:val="ListBullet"/>
      </w:pPr>
      <w:r>
        <w:rPr>
          <w:rFonts w:ascii="Calibri" w:hAnsi="Calibri"/>
        </w:rPr>
        <w:t xml:space="preserve">As of December 31, 2024, guaranty fund contributions available to collateralise facilities totalled approximately </w:t>
      </w:r>
      <w:r>
        <w:rPr>
          <w:rFonts w:ascii="Calibri" w:hAnsi="Calibri"/>
          <w:b/>
        </w:rPr>
        <w:t>$10.1 billion</w:t>
      </w:r>
      <w:r>
        <w:rPr>
          <w:rFonts w:ascii="Calibri" w:hAnsi="Calibri"/>
        </w:rPr>
        <w:t xml:space="preserve"> (</w:t>
      </w:r>
      <w:r>
        <w:rPr>
          <w:rFonts w:ascii="Calibri" w:hAnsi="Calibri"/>
          <w:color w:val="0563C1"/>
          <w:u w:val="single"/>
        </w:rPr>
        <w:t>CME Inc. Financial Statements 2024</w:t>
      </w:r>
      <w:r>
        <w:rPr>
          <w:rFonts w:ascii="Calibri" w:hAnsi="Calibri"/>
        </w:rPr>
        <w:t>).</w:t>
      </w:r>
    </w:p>
    <w:p>
      <w:pPr>
        <w:pStyle w:val="ListBullet"/>
      </w:pPr>
      <w:r>
        <w:rPr>
          <w:rFonts w:ascii="Calibri" w:hAnsi="Calibri"/>
        </w:rPr>
        <w:t xml:space="preserve">CME Clearing maintained approximately </w:t>
      </w:r>
      <w:r>
        <w:rPr>
          <w:rFonts w:ascii="Calibri" w:hAnsi="Calibri"/>
          <w:b/>
        </w:rPr>
        <w:t>$87.4 billion</w:t>
      </w:r>
      <w:r>
        <w:rPr>
          <w:rFonts w:ascii="Calibri" w:hAnsi="Calibri"/>
        </w:rPr>
        <w:t xml:space="preserve"> in cash within accounts at the Federal Reserve Bank of Chicago as of December 31, 2024 (representing performance bond and guaranty fund deposits).</w:t>
      </w:r>
    </w:p>
    <w:p>
      <w:pPr>
        <w:pStyle w:val="ListBullet"/>
      </w:pPr>
      <w:r>
        <w:rPr>
          <w:rFonts w:ascii="Calibri" w:hAnsi="Calibri"/>
        </w:rPr>
        <w:t xml:space="preserve">A </w:t>
      </w:r>
      <w:r>
        <w:rPr>
          <w:rFonts w:ascii="Calibri" w:hAnsi="Calibri"/>
          <w:b/>
        </w:rPr>
        <w:t>guaranty fund buffer</w:t>
      </w:r>
      <w:r>
        <w:rPr>
          <w:rFonts w:ascii="Calibri" w:hAnsi="Calibri"/>
        </w:rPr>
        <w:t xml:space="preserve"> is maintained above the Cover 2 minimum to mitigate potential breaches.</w:t>
      </w:r>
    </w:p>
    <w:p>
      <w:r>
        <w:rPr>
          <w:rFonts w:ascii="Calibri" w:hAnsi="Calibri"/>
        </w:rPr>
        <w:t xml:space="preserve">Source: </w:t>
      </w:r>
      <w:r>
        <w:rPr>
          <w:rFonts w:ascii="Calibri" w:hAnsi="Calibri"/>
          <w:color w:val="0563C1"/>
          <w:u w:val="single"/>
        </w:rPr>
        <w:t>CME Clearing Financial Safeguards Waterfalls</w:t>
      </w:r>
      <w:r>
        <w:rPr>
          <w:rFonts w:ascii="Calibri" w:hAnsi="Calibri"/>
        </w:rPr>
        <w:t xml:space="preserve">; </w:t>
      </w:r>
      <w:r>
        <w:rPr>
          <w:rFonts w:ascii="Calibri" w:hAnsi="Calibri"/>
          <w:color w:val="0563C1"/>
          <w:u w:val="single"/>
        </w:rPr>
        <w:t>Financial Safeguards System</w:t>
      </w:r>
      <w:r>
        <w:rPr>
          <w:rFonts w:ascii="Calibri" w:hAnsi="Calibri"/>
        </w:rPr>
        <w:t xml:space="preserve">; </w:t>
      </w:r>
      <w:r>
        <w:rPr>
          <w:rFonts w:ascii="Calibri" w:hAnsi="Calibri"/>
          <w:color w:val="0563C1"/>
          <w:u w:val="single"/>
        </w:rPr>
        <w:t>CME Rulebook Chapter 8</w:t>
      </w:r>
    </w:p>
    <w:p>
      <w:pPr>
        <w:pStyle w:val="Heading3"/>
      </w:pPr>
      <w:r>
        <w:rPr>
          <w:rFonts w:ascii="Calibri" w:hAnsi="Calibri"/>
        </w:rPr>
        <w:t>3.6 Stress Testing &amp; Back-Testing</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Practice</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Stress Testing Frequency</w:t>
            </w:r>
          </w:p>
        </w:tc>
        <w:tc>
          <w:tcPr>
            <w:tcW w:type="dxa" w:w="4320"/>
          </w:tcPr>
          <w:p>
            <w:pPr/>
            <w:r/>
            <w:r>
              <w:rPr>
                <w:rFonts w:ascii="Calibri" w:hAnsi="Calibri"/>
              </w:rPr>
              <w:t>Daily</w:t>
            </w:r>
          </w:p>
        </w:tc>
      </w:tr>
      <w:tr>
        <w:tc>
          <w:tcPr>
            <w:tcW w:type="dxa" w:w="4320"/>
          </w:tcPr>
          <w:p>
            <w:pPr/>
            <w:r/>
            <w:r>
              <w:rPr>
                <w:rFonts w:ascii="Calibri" w:hAnsi="Calibri"/>
                <w:b/>
              </w:rPr>
              <w:t>Scenario Types</w:t>
            </w:r>
          </w:p>
        </w:tc>
        <w:tc>
          <w:tcPr>
            <w:tcW w:type="dxa" w:w="4320"/>
          </w:tcPr>
          <w:p>
            <w:pPr/>
            <w:r/>
            <w:r>
              <w:rPr>
                <w:rFonts w:ascii="Calibri" w:hAnsi="Calibri"/>
              </w:rPr>
              <w:t>Historical scenarios and hypothetical (extreme but plausible) market conditions</w:t>
            </w:r>
          </w:p>
        </w:tc>
      </w:tr>
      <w:tr>
        <w:tc>
          <w:tcPr>
            <w:tcW w:type="dxa" w:w="4320"/>
          </w:tcPr>
          <w:p>
            <w:pPr/>
            <w:r/>
            <w:r>
              <w:rPr>
                <w:rFonts w:ascii="Calibri" w:hAnsi="Calibri"/>
                <w:b/>
              </w:rPr>
              <w:t>Confidence Level</w:t>
            </w:r>
          </w:p>
        </w:tc>
        <w:tc>
          <w:tcPr>
            <w:tcW w:type="dxa" w:w="4320"/>
          </w:tcPr>
          <w:p>
            <w:pPr/>
            <w:r/>
            <w:r>
              <w:rPr>
                <w:rFonts w:ascii="Calibri" w:hAnsi="Calibri"/>
              </w:rPr>
              <w:t>At least 99.9%</w:t>
            </w:r>
          </w:p>
        </w:tc>
      </w:tr>
      <w:tr>
        <w:tc>
          <w:tcPr>
            <w:tcW w:type="dxa" w:w="4320"/>
          </w:tcPr>
          <w:p>
            <w:pPr/>
            <w:r/>
            <w:r>
              <w:rPr>
                <w:rFonts w:ascii="Calibri" w:hAnsi="Calibri"/>
                <w:b/>
              </w:rPr>
              <w:t>Cover Standard</w:t>
            </w:r>
          </w:p>
        </w:tc>
        <w:tc>
          <w:tcPr>
            <w:tcW w:type="dxa" w:w="4320"/>
          </w:tcPr>
          <w:p>
            <w:pPr/>
            <w:r/>
            <w:r>
              <w:rPr>
                <w:rFonts w:ascii="Calibri" w:hAnsi="Calibri"/>
              </w:rPr>
              <w:t>Cover 2 -- sized to withstand simultaneous default of the two clearing members with the largest stress shortfalls</w:t>
            </w:r>
          </w:p>
        </w:tc>
      </w:tr>
      <w:tr>
        <w:tc>
          <w:tcPr>
            <w:tcW w:type="dxa" w:w="4320"/>
          </w:tcPr>
          <w:p>
            <w:pPr/>
            <w:r/>
            <w:r>
              <w:rPr>
                <w:rFonts w:ascii="Calibri" w:hAnsi="Calibri"/>
                <w:b/>
              </w:rPr>
              <w:t>Reverse Stress Testing</w:t>
            </w:r>
          </w:p>
        </w:tc>
        <w:tc>
          <w:tcPr>
            <w:tcW w:type="dxa" w:w="4320"/>
          </w:tcPr>
          <w:p>
            <w:pPr/>
            <w:r/>
            <w:r>
              <w:rPr>
                <w:rFonts w:ascii="Calibri" w:hAnsi="Calibri"/>
              </w:rPr>
              <w:t>Conducted routinely; results reviewed at least monthly to identify conditions that could exhaust guaranty fund resources</w:t>
            </w:r>
          </w:p>
        </w:tc>
      </w:tr>
      <w:tr>
        <w:tc>
          <w:tcPr>
            <w:tcW w:type="dxa" w:w="4320"/>
          </w:tcPr>
          <w:p>
            <w:pPr/>
            <w:r/>
            <w:r>
              <w:rPr>
                <w:rFonts w:ascii="Calibri" w:hAnsi="Calibri"/>
                <w:b/>
              </w:rPr>
              <w:t>Backtesting</w:t>
            </w:r>
          </w:p>
        </w:tc>
        <w:tc>
          <w:tcPr>
            <w:tcW w:type="dxa" w:w="4320"/>
          </w:tcPr>
          <w:p>
            <w:pPr/>
            <w:r/>
            <w:r>
              <w:rPr>
                <w:rFonts w:ascii="Calibri" w:hAnsi="Calibri"/>
              </w:rPr>
              <w:t>Performance bond adequacy backtested against actual market movements; reported quarterly via PQD</w:t>
            </w:r>
          </w:p>
        </w:tc>
      </w:tr>
      <w:tr>
        <w:tc>
          <w:tcPr>
            <w:tcW w:type="dxa" w:w="4320"/>
          </w:tcPr>
          <w:p>
            <w:pPr/>
            <w:r/>
            <w:r>
              <w:rPr>
                <w:rFonts w:ascii="Calibri" w:hAnsi="Calibri"/>
                <w:b/>
              </w:rPr>
              <w:t>Independent Validation</w:t>
            </w:r>
          </w:p>
        </w:tc>
        <w:tc>
          <w:tcPr>
            <w:tcW w:type="dxa" w:w="4320"/>
          </w:tcPr>
          <w:p>
            <w:pPr/>
            <w:r/>
            <w:r>
              <w:rPr>
                <w:rFonts w:ascii="Calibri" w:hAnsi="Calibri"/>
              </w:rPr>
              <w:t>Annual validation by independent experts</w:t>
            </w:r>
          </w:p>
        </w:tc>
      </w:tr>
      <w:tr>
        <w:tc>
          <w:tcPr>
            <w:tcW w:type="dxa" w:w="4320"/>
          </w:tcPr>
          <w:p>
            <w:pPr/>
            <w:r/>
            <w:r>
              <w:rPr>
                <w:rFonts w:ascii="Calibri" w:hAnsi="Calibri"/>
                <w:b/>
              </w:rPr>
              <w:t>Regulatory Examination</w:t>
            </w:r>
          </w:p>
        </w:tc>
        <w:tc>
          <w:tcPr>
            <w:tcW w:type="dxa" w:w="4320"/>
          </w:tcPr>
          <w:p>
            <w:pPr/>
            <w:r/>
            <w:r>
              <w:rPr>
                <w:rFonts w:ascii="Calibri" w:hAnsi="Calibri"/>
              </w:rPr>
              <w:t>CFTC and Federal Reserve Board conduct annual examinations of risk management practices</w:t>
            </w:r>
          </w:p>
        </w:tc>
      </w:tr>
      <w:tr>
        <w:tc>
          <w:tcPr>
            <w:tcW w:type="dxa" w:w="4320"/>
          </w:tcPr>
          <w:p>
            <w:pPr/>
            <w:r/>
            <w:r>
              <w:rPr>
                <w:rFonts w:ascii="Calibri" w:hAnsi="Calibri"/>
                <w:b/>
              </w:rPr>
              <w:t>CFTC Supervisory Stress Tests</w:t>
            </w:r>
          </w:p>
        </w:tc>
        <w:tc>
          <w:tcPr>
            <w:tcW w:type="dxa" w:w="4320"/>
          </w:tcPr>
          <w:p>
            <w:pPr/>
            <w:r/>
            <w:r>
              <w:rPr>
                <w:rFonts w:ascii="Calibri" w:hAnsi="Calibri"/>
              </w:rPr>
              <w:t>CFTC conducts periodic supervisory stress tests of major DCOs including CME (</w:t>
            </w:r>
            <w:r>
              <w:rPr>
                <w:rFonts w:ascii="Calibri" w:hAnsi="Calibri"/>
                <w:color w:val="0563C1"/>
                <w:u w:val="single"/>
              </w:rPr>
              <w:t>CFTC Stress Test Report 2019</w:t>
            </w:r>
            <w:r>
              <w:rPr>
                <w:rFonts w:ascii="Calibri" w:hAnsi="Calibri"/>
              </w:rPr>
              <w:t>)</w:t>
            </w:r>
          </w:p>
        </w:tc>
      </w:tr>
    </w:tbl>
    <w:p/>
    <w:p>
      <w:r>
        <w:rPr>
          <w:rFonts w:ascii="Calibri" w:hAnsi="Calibri"/>
        </w:rPr>
        <w:t xml:space="preserve">Source: </w:t>
      </w:r>
      <w:r>
        <w:rPr>
          <w:rFonts w:ascii="Calibri" w:hAnsi="Calibri"/>
          <w:color w:val="0563C1"/>
          <w:u w:val="single"/>
        </w:rPr>
        <w:t>CME Clearing Stress Testing Practices</w:t>
      </w:r>
    </w:p>
    <w:p>
      <w:pPr>
        <w:pStyle w:val="Heading3"/>
      </w:pPr>
      <w:r>
        <w:rPr>
          <w:rFonts w:ascii="Calibri" w:hAnsi="Calibri"/>
        </w:rPr>
        <w:t>3.7 Recovery &amp; Resolution Tools</w:t>
      </w:r>
    </w:p>
    <w:p>
      <w:r>
        <w:rPr>
          <w:rFonts w:ascii="Calibri" w:hAnsi="Calibri"/>
        </w:rPr>
        <w:t>CME Clearing has adopted specific recovery tools, particularly for the IRS waterfall, to address "end of waterfall" scenarios (</w:t>
      </w:r>
      <w:r>
        <w:rPr>
          <w:rFonts w:ascii="Calibri" w:hAnsi="Calibri"/>
          <w:color w:val="0563C1"/>
          <w:u w:val="single"/>
        </w:rPr>
        <w:t>CME Advisory 19-365</w:t>
      </w:r>
      <w:r>
        <w:rPr>
          <w:rFonts w:ascii="Calibri" w:hAnsi="Calibri"/>
        </w:rPr>
        <w: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Tool</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Variation Margin Gains Haircutting (VMGH)</w:t>
            </w:r>
          </w:p>
        </w:tc>
        <w:tc>
          <w:tcPr>
            <w:tcW w:type="dxa" w:w="4320"/>
          </w:tcPr>
          <w:p>
            <w:pPr/>
            <w:r/>
            <w:r>
              <w:rPr>
                <w:rFonts w:ascii="Calibri" w:hAnsi="Calibri"/>
              </w:rPr>
              <w:t>Pro-rata reduction in amounts owed to non-defaulting members with net gains for the relevant settlement cycle</w:t>
            </w:r>
          </w:p>
        </w:tc>
      </w:tr>
      <w:tr>
        <w:tc>
          <w:tcPr>
            <w:tcW w:type="dxa" w:w="4320"/>
          </w:tcPr>
          <w:p>
            <w:pPr/>
            <w:r/>
            <w:r>
              <w:rPr>
                <w:rFonts w:ascii="Calibri" w:hAnsi="Calibri"/>
                <w:b/>
              </w:rPr>
              <w:t>Mandatory Tear-Up</w:t>
            </w:r>
          </w:p>
        </w:tc>
        <w:tc>
          <w:tcPr>
            <w:tcW w:type="dxa" w:w="4320"/>
          </w:tcPr>
          <w:p>
            <w:pPr/>
            <w:r/>
            <w:r>
              <w:rPr>
                <w:rFonts w:ascii="Calibri" w:hAnsi="Calibri"/>
              </w:rPr>
              <w:t>Forced termination of contracts to re-establish a matched book; designed to localise impact to affected markets</w:t>
            </w:r>
          </w:p>
        </w:tc>
      </w:tr>
      <w:tr>
        <w:tc>
          <w:tcPr>
            <w:tcW w:type="dxa" w:w="4320"/>
          </w:tcPr>
          <w:p>
            <w:pPr/>
            <w:r/>
            <w:r>
              <w:rPr>
                <w:rFonts w:ascii="Calibri" w:hAnsi="Calibri"/>
                <w:b/>
              </w:rPr>
              <w:t>Voluntary Contributions</w:t>
            </w:r>
          </w:p>
        </w:tc>
        <w:tc>
          <w:tcPr>
            <w:tcW w:type="dxa" w:w="4320"/>
          </w:tcPr>
          <w:p>
            <w:pPr/>
            <w:r/>
            <w:r>
              <w:rPr>
                <w:rFonts w:ascii="Calibri" w:hAnsi="Calibri"/>
              </w:rPr>
              <w:t>IRS clearing members (and customers) may voluntarily contribute resources; only effective if aggregate contributions are sufficient to fully cover losses</w:t>
            </w:r>
          </w:p>
        </w:tc>
      </w:tr>
      <w:tr>
        <w:tc>
          <w:tcPr>
            <w:tcW w:type="dxa" w:w="4320"/>
          </w:tcPr>
          <w:p>
            <w:pPr/>
            <w:r/>
            <w:r>
              <w:rPr>
                <w:rFonts w:ascii="Calibri" w:hAnsi="Calibri"/>
                <w:b/>
              </w:rPr>
              <w:t>Voluntary Tear-Up</w:t>
            </w:r>
          </w:p>
        </w:tc>
        <w:tc>
          <w:tcPr>
            <w:tcW w:type="dxa" w:w="4320"/>
          </w:tcPr>
          <w:p>
            <w:pPr/>
            <w:r/>
            <w:r>
              <w:rPr>
                <w:rFonts w:ascii="Calibri" w:hAnsi="Calibri"/>
              </w:rPr>
              <w:t>Clearing members (and customers) may voluntarily terminate positions</w:t>
            </w:r>
          </w:p>
        </w:tc>
      </w:tr>
      <w:tr>
        <w:tc>
          <w:tcPr>
            <w:tcW w:type="dxa" w:w="4320"/>
          </w:tcPr>
          <w:p>
            <w:pPr/>
            <w:r/>
            <w:r>
              <w:rPr>
                <w:rFonts w:ascii="Calibri" w:hAnsi="Calibri"/>
                <w:b/>
              </w:rPr>
              <w:t>Assessment Powers</w:t>
            </w:r>
          </w:p>
        </w:tc>
        <w:tc>
          <w:tcPr>
            <w:tcW w:type="dxa" w:w="4320"/>
          </w:tcPr>
          <w:p>
            <w:pPr/>
            <w:r/>
            <w:r>
              <w:rPr>
                <w:rFonts w:ascii="Calibri" w:hAnsi="Calibri"/>
              </w:rPr>
              <w:t>Capped additional contributions from non-defaulting members (up to 2.75x guaranty fund contribution for Base products)</w:t>
            </w:r>
          </w:p>
        </w:tc>
      </w:tr>
    </w:tbl>
    <w:p/>
    <w:p>
      <w:r>
        <w:rPr>
          <w:rFonts w:ascii="Calibri" w:hAnsi="Calibri"/>
          <w:b/>
        </w:rPr>
        <w:t>Resolution Authority:</w:t>
      </w:r>
      <w:r>
        <w:rPr>
          <w:rFonts w:ascii="Calibri" w:hAnsi="Calibri"/>
        </w:rPr>
        <w:t xml:space="preserve"> The FDIC is the designated resolution authority for SIFMUs under Title II of the Dodd-Frank Act, though Title VIII provides a framework for the Federal Reserve to provide emergency lending to SIFMUs in extremis.</w:t>
      </w:r>
    </w:p>
    <w:p>
      <w:pPr>
        <w:pStyle w:val="Heading3"/>
      </w:pPr>
      <w:r>
        <w:rPr>
          <w:rFonts w:ascii="Calibri" w:hAnsi="Calibri"/>
        </w:rPr>
        <w:t>3.8 Cross-Margining Programs</w:t>
      </w:r>
    </w:p>
    <w:p>
      <w:r>
        <w:rPr>
          <w:rFonts w:ascii="Calibri" w:hAnsi="Calibri"/>
        </w:rPr>
        <w:t>See Section 7 (Interoperability) for details on CME-OCC and CME-FICC cross-margining arrangements.</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Type</w:t>
            </w:r>
          </w:p>
        </w:tc>
        <w:tc>
          <w:tcPr>
            <w:tcW w:type="dxa" w:w="2880"/>
            <w:shd w:fill="4472C4" w:val="clear"/>
          </w:tcPr>
          <w:p>
            <w:pPr/>
            <w:r>
              <w:rPr>
                <w:b/>
                <w:color w:val="FFFFFF"/>
              </w:rPr>
            </w:r>
            <w:r>
              <w:rPr>
                <w:rFonts w:ascii="Calibri" w:hAnsi="Calibri"/>
                <w:b/>
                <w:color w:val="FFFFFF"/>
              </w:rPr>
              <w:t>Settlement Cycle</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b/>
              </w:rPr>
              <w:t>Futures (Variation Margin)</w:t>
            </w:r>
          </w:p>
        </w:tc>
        <w:tc>
          <w:tcPr>
            <w:tcW w:type="dxa" w:w="2880"/>
          </w:tcPr>
          <w:p>
            <w:pPr/>
            <w:r/>
            <w:r>
              <w:rPr>
                <w:rFonts w:ascii="Calibri" w:hAnsi="Calibri"/>
              </w:rPr>
              <w:t>Daily (T+0 or T+1 intraday)</w:t>
            </w:r>
          </w:p>
        </w:tc>
        <w:tc>
          <w:tcPr>
            <w:tcW w:type="dxa" w:w="2880"/>
          </w:tcPr>
          <w:p>
            <w:pPr/>
            <w:r/>
            <w:r>
              <w:rPr>
                <w:rFonts w:ascii="Calibri" w:hAnsi="Calibri"/>
              </w:rPr>
              <w:t>Settlement variation (mark-to-market pays/collects) calculated and settled at least twice daily (EOD and intraday)</w:t>
            </w:r>
          </w:p>
        </w:tc>
      </w:tr>
      <w:tr>
        <w:tc>
          <w:tcPr>
            <w:tcW w:type="dxa" w:w="2880"/>
          </w:tcPr>
          <w:p>
            <w:pPr/>
            <w:r/>
            <w:r>
              <w:rPr>
                <w:rFonts w:ascii="Calibri" w:hAnsi="Calibri"/>
                <w:b/>
              </w:rPr>
              <w:t>Options on Futures</w:t>
            </w:r>
          </w:p>
        </w:tc>
        <w:tc>
          <w:tcPr>
            <w:tcW w:type="dxa" w:w="2880"/>
          </w:tcPr>
          <w:p>
            <w:pPr/>
            <w:r/>
            <w:r>
              <w:rPr>
                <w:rFonts w:ascii="Calibri" w:hAnsi="Calibri"/>
              </w:rPr>
              <w:t>Daily premium settlement; exercise/assignment T+1</w:t>
            </w:r>
          </w:p>
        </w:tc>
        <w:tc>
          <w:tcPr>
            <w:tcW w:type="dxa" w:w="2880"/>
          </w:tcPr>
          <w:p>
            <w:pPr/>
            <w:r/>
            <w:r>
              <w:rPr>
                <w:rFonts w:ascii="Calibri" w:hAnsi="Calibri"/>
              </w:rPr>
              <w:t>Premium paid/received next business day; exercise results in futures position</w:t>
            </w:r>
          </w:p>
        </w:tc>
      </w:tr>
      <w:tr>
        <w:tc>
          <w:tcPr>
            <w:tcW w:type="dxa" w:w="2880"/>
          </w:tcPr>
          <w:p>
            <w:pPr/>
            <w:r/>
            <w:r>
              <w:rPr>
                <w:rFonts w:ascii="Calibri" w:hAnsi="Calibri"/>
                <w:b/>
              </w:rPr>
              <w:t>OTC IRS</w:t>
            </w:r>
          </w:p>
        </w:tc>
        <w:tc>
          <w:tcPr>
            <w:tcW w:type="dxa" w:w="2880"/>
          </w:tcPr>
          <w:p>
            <w:pPr/>
            <w:r/>
            <w:r>
              <w:rPr>
                <w:rFonts w:ascii="Calibri" w:hAnsi="Calibri"/>
              </w:rPr>
              <w:t>Daily (variation margin)</w:t>
            </w:r>
          </w:p>
        </w:tc>
        <w:tc>
          <w:tcPr>
            <w:tcW w:type="dxa" w:w="2880"/>
          </w:tcPr>
          <w:p>
            <w:pPr/>
            <w:r/>
            <w:r>
              <w:rPr>
                <w:rFonts w:ascii="Calibri" w:hAnsi="Calibri"/>
              </w:rPr>
              <w:t>At least once daily at end-of-day</w:t>
            </w:r>
          </w:p>
        </w:tc>
      </w:tr>
      <w:tr>
        <w:tc>
          <w:tcPr>
            <w:tcW w:type="dxa" w:w="2880"/>
          </w:tcPr>
          <w:p>
            <w:pPr/>
            <w:r/>
            <w:r>
              <w:rPr>
                <w:rFonts w:ascii="Calibri" w:hAnsi="Calibri"/>
                <w:b/>
              </w:rPr>
              <w:t>Physical Delivery (Futures)</w:t>
            </w:r>
          </w:p>
        </w:tc>
        <w:tc>
          <w:tcPr>
            <w:tcW w:type="dxa" w:w="2880"/>
          </w:tcPr>
          <w:p>
            <w:pPr/>
            <w:r/>
            <w:r>
              <w:rPr>
                <w:rFonts w:ascii="Calibri" w:hAnsi="Calibri"/>
              </w:rPr>
              <w:t>Delivery period varies by contract</w:t>
            </w:r>
          </w:p>
        </w:tc>
        <w:tc>
          <w:tcPr>
            <w:tcW w:type="dxa" w:w="2880"/>
          </w:tcPr>
          <w:p>
            <w:pPr/>
            <w:r/>
            <w:r>
              <w:rPr>
                <w:rFonts w:ascii="Calibri" w:hAnsi="Calibri"/>
              </w:rPr>
              <w:t>Delivery occurs during designated delivery months per contract specifications</w:t>
            </w:r>
          </w:p>
        </w:tc>
      </w:tr>
    </w:tbl>
    <w:p/>
    <w:p>
      <w:pPr>
        <w:pStyle w:val="Heading3"/>
      </w:pPr>
      <w:r>
        <w:rPr>
          <w:rFonts w:ascii="Calibri" w:hAnsi="Calibri"/>
        </w:rPr>
        <w:t>4.2 DVP Model</w:t>
      </w:r>
    </w:p>
    <w:p>
      <w:r>
        <w:rPr>
          <w:rFonts w:ascii="Calibri" w:hAnsi="Calibri"/>
        </w:rPr>
        <w:t>For physically-delivered securities (e.g., U.S. Treasury futures expiry):</w:t>
      </w:r>
    </w:p>
    <w:p>
      <w:pPr>
        <w:pStyle w:val="ListBullet"/>
      </w:pPr>
      <w:r>
        <w:rPr>
          <w:rFonts w:ascii="Calibri" w:hAnsi="Calibri"/>
        </w:rPr>
        <w:t xml:space="preserve">Settlement occurs on a </w:t>
      </w:r>
      <w:r>
        <w:rPr>
          <w:rFonts w:ascii="Calibri" w:hAnsi="Calibri"/>
          <w:b/>
        </w:rPr>
        <w:t>DVP Model 1 (gross, real-time)</w:t>
      </w:r>
      <w:r>
        <w:rPr>
          <w:rFonts w:ascii="Calibri" w:hAnsi="Calibri"/>
        </w:rPr>
        <w:t xml:space="preserve"> basis</w:t>
      </w:r>
    </w:p>
    <w:p>
      <w:pPr>
        <w:pStyle w:val="ListBullet"/>
      </w:pPr>
      <w:r>
        <w:rPr>
          <w:rFonts w:ascii="Calibri" w:hAnsi="Calibri"/>
        </w:rPr>
        <w:t xml:space="preserve">Delivery of U.S. Treasury securities occurs via </w:t>
      </w:r>
      <w:r>
        <w:rPr>
          <w:rFonts w:ascii="Calibri" w:hAnsi="Calibri"/>
          <w:b/>
        </w:rPr>
        <w:t>book-entry transfer in Fedwire Securities</w:t>
      </w:r>
      <w:r>
        <w:rPr>
          <w:rFonts w:ascii="Calibri" w:hAnsi="Calibri"/>
        </w:rPr>
        <w:t xml:space="preserve"> between banks that are members of the Federal Reserve System</w:t>
      </w:r>
    </w:p>
    <w:p>
      <w:pPr>
        <w:pStyle w:val="ListBullet"/>
      </w:pPr>
      <w:r>
        <w:rPr>
          <w:rFonts w:ascii="Calibri" w:hAnsi="Calibri"/>
        </w:rPr>
        <w:t>Transfer of funds is conditional on delivery of the securities (true DVP)</w:t>
      </w:r>
    </w:p>
    <w:p>
      <w:pPr>
        <w:pStyle w:val="ListBullet"/>
      </w:pPr>
      <w:r>
        <w:rPr>
          <w:rFonts w:ascii="Calibri" w:hAnsi="Calibri"/>
        </w:rPr>
        <w:t>Clearing participants must make funds available to designated settlement banks the day prior to delivery</w:t>
      </w:r>
    </w:p>
    <w:p>
      <w:r>
        <w:rPr>
          <w:rFonts w:ascii="Calibri" w:hAnsi="Calibri"/>
        </w:rPr>
        <w:t xml:space="preserve">Source: </w:t>
      </w:r>
      <w:r>
        <w:rPr>
          <w:rFonts w:ascii="Calibri" w:hAnsi="Calibri"/>
          <w:color w:val="0563C1"/>
          <w:u w:val="single"/>
        </w:rPr>
        <w:t>RBA Assessment -- Standard 11: Exchange-of-Value Settlements</w:t>
      </w:r>
    </w:p>
    <w:p>
      <w:pPr>
        <w:pStyle w:val="Heading3"/>
      </w:pPr>
      <w:r>
        <w:rPr>
          <w:rFonts w:ascii="Calibri" w:hAnsi="Calibri"/>
        </w:rPr>
        <w:t>4.3 Settlement Finality</w:t>
      </w:r>
    </w:p>
    <w:p>
      <w:r>
        <w:rPr>
          <w:rFonts w:ascii="Calibri" w:hAnsi="Calibri"/>
        </w:rPr>
        <w:t>Settlement finality is achieved when the settlement variation payment is debited/credited through the settlement bank accounts. Under CME rules, once a settlement cycle is completed and payments are effected, the transfers are final and irrevocable. CME Clearing's status as a SIFMU provides additional legal certainty under Title VIII of Dodd-Frank, which provides protections against potential legal challenges to netting and settlement finality.</w:t>
      </w:r>
    </w:p>
    <w:p>
      <w:pPr>
        <w:pStyle w:val="Heading3"/>
      </w:pPr>
      <w:r>
        <w:rPr>
          <w:rFonts w:ascii="Calibri" w:hAnsi="Calibri"/>
        </w:rPr>
        <w:t>4.4 Cash Settlement Process</w:t>
      </w:r>
    </w:p>
    <w:p>
      <w:r>
        <w:rPr>
          <w:rFonts w:ascii="Calibri" w:hAnsi="Calibri"/>
        </w:rPr>
        <w:t>For cash-settled contracts (e.g., E-mini S&amp;P 500, Eurodollar/SOFR futures), final settlement prices are determined by reference to an external index or fixing rate on the last trading day. The cash settlement amount is calculated as the difference between the final settlement price and the prior day's settlement price, and is collected/paid through the standard variation margin settlement cycle.</w:t>
      </w:r>
    </w:p>
    <w:p>
      <w:pPr>
        <w:pStyle w:val="Heading3"/>
      </w:pPr>
      <w:r>
        <w:rPr>
          <w:rFonts w:ascii="Calibri" w:hAnsi="Calibri"/>
        </w:rPr>
        <w:t>4.5 Settlement Banks</w:t>
      </w:r>
    </w:p>
    <w:p>
      <w:r>
        <w:rPr>
          <w:rFonts w:ascii="Calibri" w:hAnsi="Calibri"/>
        </w:rPr>
        <w:t xml:space="preserve">CME Clearing uses the following </w:t>
      </w:r>
      <w:r>
        <w:rPr>
          <w:rFonts w:ascii="Calibri" w:hAnsi="Calibri"/>
          <w:b/>
        </w:rPr>
        <w:t>concentration banks</w:t>
      </w:r>
      <w:r>
        <w:rPr>
          <w:rFonts w:ascii="Calibri" w:hAnsi="Calibri"/>
        </w:rPr>
        <w:t xml:space="preserve"> for settlement: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Bank</w:t>
            </w:r>
          </w:p>
        </w:tc>
        <w:tc>
          <w:tcPr>
            <w:tcW w:type="dxa" w:w="4320"/>
            <w:shd w:fill="4472C4" w:val="clear"/>
          </w:tcPr>
          <w:p>
            <w:pPr/>
            <w:r>
              <w:rPr>
                <w:b/>
                <w:color w:val="FFFFFF"/>
              </w:rPr>
            </w:r>
            <w:r>
              <w:rPr>
                <w:rFonts w:ascii="Calibri" w:hAnsi="Calibri"/>
                <w:b/>
                <w:color w:val="FFFFFF"/>
              </w:rPr>
              <w:t>Currencies</w:t>
            </w:r>
          </w:p>
        </w:tc>
      </w:tr>
      <w:tr>
        <w:tc>
          <w:tcPr>
            <w:tcW w:type="dxa" w:w="4320"/>
          </w:tcPr>
          <w:p>
            <w:pPr/>
            <w:r/>
            <w:r>
              <w:rPr>
                <w:rFonts w:ascii="Calibri" w:hAnsi="Calibri"/>
                <w:b/>
              </w:rPr>
              <w:t>BMO Harris Bank</w:t>
            </w:r>
          </w:p>
        </w:tc>
        <w:tc>
          <w:tcPr>
            <w:tcW w:type="dxa" w:w="4320"/>
          </w:tcPr>
          <w:p>
            <w:pPr/>
            <w:r/>
            <w:r>
              <w:rPr>
                <w:rFonts w:ascii="Calibri" w:hAnsi="Calibri"/>
              </w:rPr>
              <w:t>USD, MXN</w:t>
            </w:r>
          </w:p>
        </w:tc>
      </w:tr>
      <w:tr>
        <w:tc>
          <w:tcPr>
            <w:tcW w:type="dxa" w:w="4320"/>
          </w:tcPr>
          <w:p>
            <w:pPr/>
            <w:r/>
            <w:r>
              <w:rPr>
                <w:rFonts w:ascii="Calibri" w:hAnsi="Calibri"/>
                <w:b/>
              </w:rPr>
              <w:t>JPMorgan Chase (London)</w:t>
            </w:r>
          </w:p>
        </w:tc>
        <w:tc>
          <w:tcPr>
            <w:tcW w:type="dxa" w:w="4320"/>
          </w:tcPr>
          <w:p>
            <w:pPr/>
            <w:r/>
            <w:r>
              <w:rPr>
                <w:rFonts w:ascii="Calibri" w:hAnsi="Calibri"/>
              </w:rPr>
              <w:t>AUD, NOK, CHF, GBP, NZD, SEK, TRY, SGD, HKD, ZAR</w:t>
            </w:r>
          </w:p>
        </w:tc>
      </w:tr>
      <w:tr>
        <w:tc>
          <w:tcPr>
            <w:tcW w:type="dxa" w:w="4320"/>
          </w:tcPr>
          <w:p>
            <w:pPr/>
            <w:r/>
            <w:r>
              <w:rPr>
                <w:rFonts w:ascii="Calibri" w:hAnsi="Calibri"/>
                <w:b/>
              </w:rPr>
              <w:t>Citibank (London)</w:t>
            </w:r>
          </w:p>
        </w:tc>
        <w:tc>
          <w:tcPr>
            <w:tcW w:type="dxa" w:w="4320"/>
          </w:tcPr>
          <w:p>
            <w:pPr/>
            <w:r/>
            <w:r>
              <w:rPr>
                <w:rFonts w:ascii="Calibri" w:hAnsi="Calibri"/>
              </w:rPr>
              <w:t>EUR, CNH, DKK, PLN, CZK, HUF</w:t>
            </w:r>
          </w:p>
        </w:tc>
      </w:tr>
      <w:tr>
        <w:tc>
          <w:tcPr>
            <w:tcW w:type="dxa" w:w="4320"/>
          </w:tcPr>
          <w:p>
            <w:pPr/>
            <w:r/>
            <w:r>
              <w:rPr>
                <w:rFonts w:ascii="Calibri" w:hAnsi="Calibri"/>
                <w:b/>
              </w:rPr>
              <w:t>Citibank (Canada)</w:t>
            </w:r>
          </w:p>
        </w:tc>
        <w:tc>
          <w:tcPr>
            <w:tcW w:type="dxa" w:w="4320"/>
          </w:tcPr>
          <w:p>
            <w:pPr/>
            <w:r/>
            <w:r>
              <w:rPr>
                <w:rFonts w:ascii="Calibri" w:hAnsi="Calibri"/>
              </w:rPr>
              <w:t>CAD</w:t>
            </w:r>
          </w:p>
        </w:tc>
      </w:tr>
    </w:tbl>
    <w:p/>
    <w:p>
      <w:r>
        <w:rPr>
          <w:rFonts w:ascii="Calibri" w:hAnsi="Calibri"/>
        </w:rPr>
        <w:t>CME Clearing holds accounts at each settlement bank, and clearing members must maintain demand deposit cash accounts at one or more approved settlement banks. CME runs two USD settlement cycles daily (EOD and intraday).</w:t>
      </w:r>
    </w:p>
    <w:p>
      <w:r>
        <w:rPr>
          <w:rFonts w:ascii="Calibri" w:hAnsi="Calibri"/>
        </w:rPr>
        <w:t xml:space="preserve">Source: </w:t>
      </w:r>
      <w:r>
        <w:rPr>
          <w:rFonts w:ascii="Calibri" w:hAnsi="Calibri"/>
          <w:color w:val="0563C1"/>
          <w:u w:val="single"/>
        </w:rPr>
        <w:t>Custodian and Settlement Banks</w:t>
      </w:r>
    </w:p>
    <w:p>
      <w:pPr>
        <w:pBdr>
          <w:bottom w:val="single" w:sz="4" w:space="1" w:color="auto"/>
        </w:pBdr>
      </w:pPr>
    </w:p>
    <w:p>
      <w:pPr>
        <w:pStyle w:val="Heading2"/>
      </w:pPr>
      <w:r>
        <w:rPr>
          <w:rFonts w:ascii="Calibri" w:hAnsi="Calibri"/>
        </w:rPr>
        <w:t>5. Technology &amp; Infrastructure</w:t>
      </w:r>
    </w:p>
    <w:p>
      <w:pPr>
        <w:pStyle w:val="Heading3"/>
      </w:pPr>
      <w:r>
        <w:rPr>
          <w:rFonts w:ascii="Calibri" w:hAnsi="Calibri"/>
        </w:rPr>
        <w:t>5.1 Core Systems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System</w:t>
            </w:r>
          </w:p>
        </w:tc>
        <w:tc>
          <w:tcPr>
            <w:tcW w:type="dxa" w:w="4320"/>
            <w:shd w:fill="4472C4" w:val="clear"/>
          </w:tcPr>
          <w:p>
            <w:pPr/>
            <w:r>
              <w:rPr>
                <w:b/>
                <w:color w:val="FFFFFF"/>
              </w:rPr>
            </w:r>
            <w:r>
              <w:rPr>
                <w:rFonts w:ascii="Calibri" w:hAnsi="Calibri"/>
                <w:b/>
                <w:color w:val="FFFFFF"/>
              </w:rPr>
              <w:t>Function</w:t>
            </w:r>
          </w:p>
        </w:tc>
      </w:tr>
      <w:tr>
        <w:tc>
          <w:tcPr>
            <w:tcW w:type="dxa" w:w="4320"/>
          </w:tcPr>
          <w:p>
            <w:pPr/>
            <w:r/>
            <w:r>
              <w:rPr>
                <w:rFonts w:ascii="Calibri" w:hAnsi="Calibri"/>
                <w:b/>
              </w:rPr>
              <w:t>CME Globex</w:t>
            </w:r>
          </w:p>
        </w:tc>
        <w:tc>
          <w:tcPr>
            <w:tcW w:type="dxa" w:w="4320"/>
          </w:tcPr>
          <w:p>
            <w:pPr/>
            <w:r/>
            <w:r>
              <w:rPr>
                <w:rFonts w:ascii="Calibri" w:hAnsi="Calibri"/>
              </w:rPr>
              <w:t>Electronic trading platform providing virtually 24-hour global market access for futures and options across all asset classes; housed at Aurora, IL data center</w:t>
            </w:r>
          </w:p>
        </w:tc>
      </w:tr>
      <w:tr>
        <w:tc>
          <w:tcPr>
            <w:tcW w:type="dxa" w:w="4320"/>
          </w:tcPr>
          <w:p>
            <w:pPr/>
            <w:r/>
            <w:r>
              <w:rPr>
                <w:rFonts w:ascii="Calibri" w:hAnsi="Calibri"/>
                <w:b/>
              </w:rPr>
              <w:t>CME Clearing Systems</w:t>
            </w:r>
          </w:p>
        </w:tc>
        <w:tc>
          <w:tcPr>
            <w:tcW w:type="dxa" w:w="4320"/>
          </w:tcPr>
          <w:p>
            <w:pPr/>
            <w:r/>
            <w:r>
              <w:rPr>
                <w:rFonts w:ascii="Calibri" w:hAnsi="Calibri"/>
              </w:rPr>
              <w:t xml:space="preserve">Post-trade clearing, risk management, and settlement processing infrastructure -- processes more than </w:t>
            </w:r>
            <w:r>
              <w:rPr>
                <w:rFonts w:ascii="Calibri" w:hAnsi="Calibri"/>
                <w:b/>
              </w:rPr>
              <w:t>1 billion trades per year</w:t>
            </w:r>
            <w:r>
              <w:rPr>
                <w:rFonts w:ascii="Calibri" w:hAnsi="Calibri"/>
              </w:rPr>
              <w:t xml:space="preserve"> worth more than </w:t>
            </w:r>
            <w:r>
              <w:rPr>
                <w:rFonts w:ascii="Calibri" w:hAnsi="Calibri"/>
                <w:b/>
              </w:rPr>
              <w:t>$1 quadrillion</w:t>
            </w:r>
            <w:r>
              <w:rPr>
                <w:rFonts w:ascii="Calibri" w:hAnsi="Calibri"/>
              </w:rPr>
              <w:t xml:space="preserve"> in notional value (</w:t>
            </w:r>
            <w:r>
              <w:rPr>
                <w:rFonts w:ascii="Calibri" w:hAnsi="Calibri"/>
                <w:color w:val="0563C1"/>
                <w:u w:val="single"/>
              </w:rPr>
              <w:t>CME Group</w:t>
            </w:r>
            <w:r>
              <w:rPr>
                <w:rFonts w:ascii="Calibri" w:hAnsi="Calibri"/>
              </w:rPr>
              <w:t>)</w:t>
            </w:r>
          </w:p>
        </w:tc>
      </w:tr>
      <w:tr>
        <w:tc>
          <w:tcPr>
            <w:tcW w:type="dxa" w:w="4320"/>
          </w:tcPr>
          <w:p>
            <w:pPr/>
            <w:r/>
            <w:r>
              <w:rPr>
                <w:rFonts w:ascii="Calibri" w:hAnsi="Calibri"/>
                <w:b/>
              </w:rPr>
              <w:t>CME CORE</w:t>
            </w:r>
          </w:p>
        </w:tc>
        <w:tc>
          <w:tcPr>
            <w:tcW w:type="dxa" w:w="4320"/>
          </w:tcPr>
          <w:p>
            <w:pPr/>
            <w:r/>
            <w:r>
              <w:rPr>
                <w:rFonts w:ascii="Calibri" w:hAnsi="Calibri"/>
              </w:rPr>
              <w:t>Interactive margin calculator for clearing members and market participants to calculate margin requirements, access margin models, and run SPAN/SPAN 2 scenarios</w:t>
            </w:r>
          </w:p>
        </w:tc>
      </w:tr>
      <w:tr>
        <w:tc>
          <w:tcPr>
            <w:tcW w:type="dxa" w:w="4320"/>
          </w:tcPr>
          <w:p>
            <w:pPr/>
            <w:r/>
            <w:r>
              <w:rPr>
                <w:rFonts w:ascii="Calibri" w:hAnsi="Calibri"/>
                <w:b/>
              </w:rPr>
              <w:t>CME ClearPort</w:t>
            </w:r>
          </w:p>
        </w:tc>
        <w:tc>
          <w:tcPr>
            <w:tcW w:type="dxa" w:w="4320"/>
          </w:tcPr>
          <w:p>
            <w:pPr/>
            <w:r/>
            <w:r>
              <w:rPr>
                <w:rFonts w:ascii="Calibri" w:hAnsi="Calibri"/>
              </w:rPr>
              <w:t>OTC trade submission and clearing platform supporting block trades, EFPs/EFRs, and OTC derivatives clearing</w:t>
            </w:r>
          </w:p>
        </w:tc>
      </w:tr>
      <w:tr>
        <w:tc>
          <w:tcPr>
            <w:tcW w:type="dxa" w:w="4320"/>
          </w:tcPr>
          <w:p>
            <w:pPr/>
            <w:r/>
            <w:r>
              <w:rPr>
                <w:rFonts w:ascii="Calibri" w:hAnsi="Calibri"/>
                <w:b/>
              </w:rPr>
              <w:t>CME Direct</w:t>
            </w:r>
          </w:p>
        </w:tc>
        <w:tc>
          <w:tcPr>
            <w:tcW w:type="dxa" w:w="4320"/>
          </w:tcPr>
          <w:p>
            <w:pPr/>
            <w:r/>
            <w:r>
              <w:rPr>
                <w:rFonts w:ascii="Calibri" w:hAnsi="Calibri"/>
              </w:rPr>
              <w:t>Front-end platform providing trading and clearing member functionality</w:t>
            </w:r>
          </w:p>
        </w:tc>
      </w:tr>
    </w:tbl>
    <w:p/>
    <w:p>
      <w:pPr>
        <w:pStyle w:val="Heading3"/>
      </w:pPr>
      <w:r>
        <w:rPr>
          <w:rFonts w:ascii="Calibri" w:hAnsi="Calibri"/>
        </w:rPr>
        <w:t>5.2 Interface Protocols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Protocol</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CME STP FIX</w:t>
            </w:r>
          </w:p>
        </w:tc>
        <w:tc>
          <w:tcPr>
            <w:tcW w:type="dxa" w:w="4320"/>
          </w:tcPr>
          <w:p>
            <w:pPr/>
            <w:r/>
            <w:r>
              <w:rPr>
                <w:rFonts w:ascii="Calibri" w:hAnsi="Calibri"/>
              </w:rPr>
              <w:t>Standard FIX 4.4 API with CME extensions for trade confirmation, query, and subscription streaming over TCP/IP</w:t>
            </w:r>
          </w:p>
        </w:tc>
      </w:tr>
      <w:tr>
        <w:tc>
          <w:tcPr>
            <w:tcW w:type="dxa" w:w="4320"/>
          </w:tcPr>
          <w:p>
            <w:pPr/>
            <w:r/>
            <w:r>
              <w:rPr>
                <w:rFonts w:ascii="Calibri" w:hAnsi="Calibri"/>
                <w:b/>
              </w:rPr>
              <w:t>CME STP FIXML</w:t>
            </w:r>
          </w:p>
        </w:tc>
        <w:tc>
          <w:tcPr>
            <w:tcW w:type="dxa" w:w="4320"/>
          </w:tcPr>
          <w:p>
            <w:pPr/>
            <w:r/>
            <w:r>
              <w:rPr>
                <w:rFonts w:ascii="Calibri" w:hAnsi="Calibri"/>
              </w:rPr>
              <w:t>FIXML 5.0 SP2 messaging over RESTful web services for cleared trade information retrieval</w:t>
            </w:r>
          </w:p>
        </w:tc>
      </w:tr>
      <w:tr>
        <w:tc>
          <w:tcPr>
            <w:tcW w:type="dxa" w:w="4320"/>
          </w:tcPr>
          <w:p>
            <w:pPr/>
            <w:r/>
            <w:r>
              <w:rPr>
                <w:rFonts w:ascii="Calibri" w:hAnsi="Calibri"/>
                <w:b/>
              </w:rPr>
              <w:t>CME ClearPort API</w:t>
            </w:r>
          </w:p>
        </w:tc>
        <w:tc>
          <w:tcPr>
            <w:tcW w:type="dxa" w:w="4320"/>
          </w:tcPr>
          <w:p>
            <w:pPr/>
            <w:r/>
            <w:r>
              <w:rPr>
                <w:rFonts w:ascii="Calibri" w:hAnsi="Calibri"/>
              </w:rPr>
              <w:t>API for OTC trade submission and management</w:t>
            </w:r>
          </w:p>
        </w:tc>
      </w:tr>
      <w:tr>
        <w:tc>
          <w:tcPr>
            <w:tcW w:type="dxa" w:w="4320"/>
          </w:tcPr>
          <w:p>
            <w:pPr/>
            <w:r/>
            <w:r>
              <w:rPr>
                <w:rFonts w:ascii="Calibri" w:hAnsi="Calibri"/>
                <w:b/>
              </w:rPr>
              <w:t>CME Globex iLink</w:t>
            </w:r>
          </w:p>
        </w:tc>
        <w:tc>
          <w:tcPr>
            <w:tcW w:type="dxa" w:w="4320"/>
          </w:tcPr>
          <w:p>
            <w:pPr/>
            <w:r/>
            <w:r>
              <w:rPr>
                <w:rFonts w:ascii="Calibri" w:hAnsi="Calibri"/>
              </w:rPr>
              <w:t>Order entry and management interface for electronic trading</w:t>
            </w:r>
          </w:p>
        </w:tc>
      </w:tr>
      <w:tr>
        <w:tc>
          <w:tcPr>
            <w:tcW w:type="dxa" w:w="4320"/>
          </w:tcPr>
          <w:p>
            <w:pPr/>
            <w:r/>
            <w:r>
              <w:rPr>
                <w:rFonts w:ascii="Calibri" w:hAnsi="Calibri"/>
                <w:b/>
              </w:rPr>
              <w:t>Market Data Platform (MDP)</w:t>
            </w:r>
          </w:p>
        </w:tc>
        <w:tc>
          <w:tcPr>
            <w:tcW w:type="dxa" w:w="4320"/>
          </w:tcPr>
          <w:p>
            <w:pPr/>
            <w:r/>
            <w:r>
              <w:rPr>
                <w:rFonts w:ascii="Calibri" w:hAnsi="Calibri"/>
              </w:rPr>
              <w:t>Real-time and historical market data feeds</w:t>
            </w:r>
          </w:p>
        </w:tc>
      </w:tr>
    </w:tbl>
    <w:p/>
    <w:p>
      <w:r>
        <w:rPr>
          <w:rFonts w:ascii="Calibri" w:hAnsi="Calibri"/>
        </w:rPr>
        <w:t xml:space="preserve">Source: </w:t>
      </w:r>
      <w:r>
        <w:rPr>
          <w:rFonts w:ascii="Calibri" w:hAnsi="Calibri"/>
          <w:color w:val="0563C1"/>
          <w:u w:val="single"/>
        </w:rPr>
        <w:t>CME Straight Through Processing</w:t>
      </w:r>
      <w:r>
        <w:rPr>
          <w:rFonts w:ascii="Calibri" w:hAnsi="Calibri"/>
        </w:rPr>
        <w:t xml:space="preserve">; </w:t>
      </w:r>
      <w:r>
        <w:rPr>
          <w:rFonts w:ascii="Calibri" w:hAnsi="Calibri"/>
          <w:color w:val="0563C1"/>
          <w:u w:val="single"/>
        </w:rPr>
        <w:t>CME STP FIX</w:t>
      </w:r>
    </w:p>
    <w:p>
      <w:pPr>
        <w:pStyle w:val="Heading3"/>
      </w:pPr>
      <w:r>
        <w:rPr>
          <w:rFonts w:ascii="Calibri" w:hAnsi="Calibri"/>
        </w:rPr>
        <w:t>5.3 Data Center &amp; Resilience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Primary Data Center</w:t>
            </w:r>
          </w:p>
        </w:tc>
        <w:tc>
          <w:tcPr>
            <w:tcW w:type="dxa" w:w="4320"/>
          </w:tcPr>
          <w:p>
            <w:pPr/>
            <w:r/>
            <w:r>
              <w:rPr>
                <w:rFonts w:ascii="Calibri" w:hAnsi="Calibri"/>
              </w:rPr>
              <w:t>Aurora, Illinois -- 450,000 sq ft facility; operated by CyrusOne (owned by KKR/GIP since CME sold in 2016); serves as hub for CME Globex and all production applications</w:t>
            </w:r>
          </w:p>
        </w:tc>
      </w:tr>
      <w:tr>
        <w:tc>
          <w:tcPr>
            <w:tcW w:type="dxa" w:w="4320"/>
          </w:tcPr>
          <w:p>
            <w:pPr/>
            <w:r/>
            <w:r>
              <w:rPr>
                <w:rFonts w:ascii="Calibri" w:hAnsi="Calibri"/>
                <w:b/>
              </w:rPr>
              <w:t>Disaster Recovery</w:t>
            </w:r>
          </w:p>
        </w:tc>
        <w:tc>
          <w:tcPr>
            <w:tcW w:type="dxa" w:w="4320"/>
          </w:tcPr>
          <w:p>
            <w:pPr/>
            <w:r/>
            <w:r>
              <w:rPr>
                <w:rFonts w:ascii="Calibri" w:hAnsi="Calibri"/>
              </w:rPr>
              <w:t>New York Data Center (NYDC) -- DR site for all CME applications including iLink, Market Data, Clearing, and support applications</w:t>
            </w:r>
          </w:p>
        </w:tc>
      </w:tr>
      <w:tr>
        <w:tc>
          <w:tcPr>
            <w:tcW w:type="dxa" w:w="4320"/>
          </w:tcPr>
          <w:p>
            <w:pPr/>
            <w:r/>
            <w:r>
              <w:rPr>
                <w:rFonts w:ascii="Calibri" w:hAnsi="Calibri"/>
                <w:b/>
              </w:rPr>
              <w:t>DR Failover</w:t>
            </w:r>
          </w:p>
        </w:tc>
        <w:tc>
          <w:tcPr>
            <w:tcW w:type="dxa" w:w="4320"/>
          </w:tcPr>
          <w:p>
            <w:pPr/>
            <w:r/>
            <w:r>
              <w:rPr>
                <w:rFonts w:ascii="Calibri" w:hAnsi="Calibri"/>
              </w:rPr>
              <w:t>Manual activation process; CME can transfer operations to NYDC if Aurora is unavailable</w:t>
            </w:r>
          </w:p>
        </w:tc>
      </w:tr>
      <w:tr>
        <w:tc>
          <w:tcPr>
            <w:tcW w:type="dxa" w:w="4320"/>
          </w:tcPr>
          <w:p>
            <w:pPr/>
            <w:r/>
            <w:r>
              <w:rPr>
                <w:rFonts w:ascii="Calibri" w:hAnsi="Calibri"/>
                <w:b/>
              </w:rPr>
              <w:t>Notable Incident</w:t>
            </w:r>
          </w:p>
        </w:tc>
        <w:tc>
          <w:tcPr>
            <w:tcW w:type="dxa" w:w="4320"/>
          </w:tcPr>
          <w:p>
            <w:pPr/>
            <w:r/>
            <w:r>
              <w:rPr>
                <w:rFonts w:ascii="Calibri" w:hAnsi="Calibri"/>
              </w:rPr>
              <w:t>November 2025: 10+ hour outage due to cooling system failure at Aurora data center. DR site was available but failover threshold was set too high and activation was manually gated. CyrusOne subsequently installed additional cooling redundancy (</w:t>
            </w:r>
            <w:r>
              <w:rPr>
                <w:rFonts w:ascii="Calibri" w:hAnsi="Calibri"/>
                <w:color w:val="0563C1"/>
                <w:u w:val="single"/>
              </w:rPr>
              <w:t>Crain's Chicago Business, 2025</w:t>
            </w:r>
            <w:r>
              <w:rPr>
                <w:rFonts w:ascii="Calibri" w:hAnsi="Calibri"/>
              </w:rPr>
              <w:t>)</w:t>
            </w:r>
          </w:p>
        </w:tc>
      </w:tr>
    </w:tbl>
    <w:p/>
    <w:p>
      <w:pPr>
        <w:pStyle w:val="Heading3"/>
      </w:pPr>
      <w:r>
        <w:rPr>
          <w:rFonts w:ascii="Calibri" w:hAnsi="Calibri"/>
        </w:rPr>
        <w:t>5.4 Google Cloud Partnership</w:t>
      </w:r>
    </w:p>
    <w:p>
      <w:r>
        <w:rPr>
          <w:rFonts w:ascii="Calibri" w:hAnsi="Calibri"/>
        </w:rPr>
        <w:t xml:space="preserve">CME Group entered a </w:t>
      </w:r>
      <w:r>
        <w:rPr>
          <w:rFonts w:ascii="Calibri" w:hAnsi="Calibri"/>
          <w:b/>
        </w:rPr>
        <w:t>10-year strategic partnership</w:t>
      </w:r>
      <w:r>
        <w:rPr>
          <w:rFonts w:ascii="Calibri" w:hAnsi="Calibri"/>
        </w:rPr>
        <w:t xml:space="preserve"> with Google Cloud to transform its technology infrastructure: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Initiative</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Private Cloud Region</w:t>
            </w:r>
          </w:p>
        </w:tc>
        <w:tc>
          <w:tcPr>
            <w:tcW w:type="dxa" w:w="4320"/>
          </w:tcPr>
          <w:p>
            <w:pPr/>
            <w:r/>
            <w:r>
              <w:rPr>
                <w:rFonts w:ascii="Calibri" w:hAnsi="Calibri"/>
              </w:rPr>
              <w:t>Announced June 2024 -- new private Google Cloud region and co-location facility in Aurora, IL, designed for ultra-low-latency networking and high-performance computing for futures and options trading (</w:t>
            </w:r>
            <w:r>
              <w:rPr>
                <w:rFonts w:ascii="Calibri" w:hAnsi="Calibri"/>
                <w:color w:val="0563C1"/>
                <w:u w:val="single"/>
              </w:rPr>
              <w:t>CME Press Release, June 2024</w:t>
            </w:r>
            <w:r>
              <w:rPr>
                <w:rFonts w:ascii="Calibri" w:hAnsi="Calibri"/>
              </w:rPr>
              <w:t>)</w:t>
            </w:r>
          </w:p>
        </w:tc>
      </w:tr>
      <w:tr>
        <w:tc>
          <w:tcPr>
            <w:tcW w:type="dxa" w:w="4320"/>
          </w:tcPr>
          <w:p>
            <w:pPr/>
            <w:r/>
            <w:r>
              <w:rPr>
                <w:rFonts w:ascii="Calibri" w:hAnsi="Calibri"/>
                <w:b/>
              </w:rPr>
              <w:t>Google Cloud Universal Ledger (GCUL)</w:t>
            </w:r>
          </w:p>
        </w:tc>
        <w:tc>
          <w:tcPr>
            <w:tcW w:type="dxa" w:w="4320"/>
          </w:tcPr>
          <w:p>
            <w:pPr/>
            <w:r/>
            <w:r>
              <w:rPr>
                <w:rFonts w:ascii="Calibri" w:hAnsi="Calibri"/>
              </w:rPr>
              <w:t>Announced March 2025 -- CME Group piloting tokenisation technology using GCUL for seamless wholesale payments and asset tokenisation. Phase 1 completed; Phase 2 (settlement focus) underway with target market solutions in 2026 (</w:t>
            </w:r>
            <w:r>
              <w:rPr>
                <w:rFonts w:ascii="Calibri" w:hAnsi="Calibri"/>
                <w:color w:val="0563C1"/>
                <w:u w:val="single"/>
              </w:rPr>
              <w:t>CME Press Release, March 2025</w:t>
            </w:r>
            <w:r>
              <w:rPr>
                <w:rFonts w:ascii="Calibri" w:hAnsi="Calibri"/>
              </w:rPr>
              <w:t>)</w:t>
            </w:r>
          </w:p>
        </w:tc>
      </w:tr>
      <w:tr>
        <w:tc>
          <w:tcPr>
            <w:tcW w:type="dxa" w:w="4320"/>
          </w:tcPr>
          <w:p>
            <w:pPr/>
            <w:r/>
            <w:r>
              <w:rPr>
                <w:rFonts w:ascii="Calibri" w:hAnsi="Calibri"/>
                <w:b/>
              </w:rPr>
              <w:t>Cloud Migration</w:t>
            </w:r>
          </w:p>
        </w:tc>
        <w:tc>
          <w:tcPr>
            <w:tcW w:type="dxa" w:w="4320"/>
          </w:tcPr>
          <w:p>
            <w:pPr/>
            <w:r/>
            <w:r>
              <w:rPr>
                <w:rFonts w:ascii="Calibri" w:hAnsi="Calibri"/>
              </w:rPr>
              <w:t>Overall goal to migrate all technology to Google Cloud infrastructure</w:t>
            </w:r>
          </w:p>
        </w:tc>
      </w:tr>
    </w:tbl>
    <w:p/>
    <w:p>
      <w:pPr>
        <w:pBdr>
          <w:bottom w:val="single" w:sz="4" w:space="1" w:color="auto"/>
        </w:pBdr>
      </w:pPr>
    </w:p>
    <w:p>
      <w:pPr>
        <w:pStyle w:val="Heading2"/>
      </w:pPr>
      <w:r>
        <w:rPr>
          <w:rFonts w:ascii="Calibri" w:hAnsi="Calibri"/>
        </w:rPr>
        <w:t>6. Regulatory Framework</w:t>
      </w:r>
    </w:p>
    <w:p>
      <w:pPr>
        <w:pStyle w:val="Heading3"/>
      </w:pPr>
      <w:r>
        <w:rPr>
          <w:rFonts w:ascii="Calibri" w:hAnsi="Calibri"/>
        </w:rPr>
        <w:t>6.1 Primary Regulatory Status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Designation</w:t>
            </w:r>
          </w:p>
        </w:tc>
        <w:tc>
          <w:tcPr>
            <w:tcW w:type="dxa" w:w="2880"/>
            <w:shd w:fill="4472C4" w:val="clear"/>
          </w:tcPr>
          <w:p>
            <w:pPr/>
            <w:r>
              <w:rPr>
                <w:b/>
                <w:color w:val="FFFFFF"/>
              </w:rPr>
            </w:r>
            <w:r>
              <w:rPr>
                <w:rFonts w:ascii="Calibri" w:hAnsi="Calibri"/>
                <w:b/>
                <w:color w:val="FFFFFF"/>
              </w:rPr>
              <w:t>Authority</w:t>
            </w:r>
          </w:p>
        </w:tc>
        <w:tc>
          <w:tcPr>
            <w:tcW w:type="dxa" w:w="2880"/>
            <w:shd w:fill="4472C4" w:val="clear"/>
          </w:tcPr>
          <w:p>
            <w:pPr/>
            <w:r>
              <w:rPr>
                <w:b/>
                <w:color w:val="FFFFFF"/>
              </w:rPr>
            </w:r>
            <w:r>
              <w:rPr>
                <w:rFonts w:ascii="Calibri" w:hAnsi="Calibri"/>
                <w:b/>
                <w:color w:val="FFFFFF"/>
              </w:rPr>
              <w:t>Basis</w:t>
            </w:r>
          </w:p>
        </w:tc>
      </w:tr>
      <w:tr>
        <w:tc>
          <w:tcPr>
            <w:tcW w:type="dxa" w:w="2880"/>
          </w:tcPr>
          <w:p>
            <w:pPr/>
            <w:r/>
            <w:r>
              <w:rPr>
                <w:rFonts w:ascii="Calibri" w:hAnsi="Calibri"/>
                <w:b/>
              </w:rPr>
              <w:t>Derivatives Clearing Organization (DCO)</w:t>
            </w:r>
          </w:p>
        </w:tc>
        <w:tc>
          <w:tcPr>
            <w:tcW w:type="dxa" w:w="2880"/>
          </w:tcPr>
          <w:p>
            <w:pPr/>
            <w:r/>
            <w:r>
              <w:rPr>
                <w:rFonts w:ascii="Calibri" w:hAnsi="Calibri"/>
              </w:rPr>
              <w:t>CFTC</w:t>
            </w:r>
          </w:p>
        </w:tc>
        <w:tc>
          <w:tcPr>
            <w:tcW w:type="dxa" w:w="2880"/>
          </w:tcPr>
          <w:p>
            <w:pPr/>
            <w:r/>
            <w:r>
              <w:rPr>
                <w:rFonts w:ascii="Calibri" w:hAnsi="Calibri"/>
              </w:rPr>
              <w:t>Commodity Exchange Act (CEA); CFTC Part 39 regulations</w:t>
            </w:r>
          </w:p>
        </w:tc>
      </w:tr>
      <w:tr>
        <w:tc>
          <w:tcPr>
            <w:tcW w:type="dxa" w:w="2880"/>
          </w:tcPr>
          <w:p>
            <w:pPr/>
            <w:r/>
            <w:r>
              <w:rPr>
                <w:rFonts w:ascii="Calibri" w:hAnsi="Calibri"/>
                <w:b/>
              </w:rPr>
              <w:t>SIFMU</w:t>
            </w:r>
          </w:p>
        </w:tc>
        <w:tc>
          <w:tcPr>
            <w:tcW w:type="dxa" w:w="2880"/>
          </w:tcPr>
          <w:p>
            <w:pPr/>
            <w:r/>
            <w:r>
              <w:rPr>
                <w:rFonts w:ascii="Calibri" w:hAnsi="Calibri"/>
              </w:rPr>
              <w:t>FSOC / Federal Reserve Board</w:t>
            </w:r>
          </w:p>
        </w:tc>
        <w:tc>
          <w:tcPr>
            <w:tcW w:type="dxa" w:w="2880"/>
          </w:tcPr>
          <w:p>
            <w:pPr/>
            <w:r/>
            <w:r>
              <w:rPr>
                <w:rFonts w:ascii="Calibri" w:hAnsi="Calibri"/>
              </w:rPr>
              <w:t>Dodd-Frank Act Title VIII (designated July 2012)</w:t>
            </w:r>
          </w:p>
        </w:tc>
      </w:tr>
      <w:tr>
        <w:tc>
          <w:tcPr>
            <w:tcW w:type="dxa" w:w="2880"/>
          </w:tcPr>
          <w:p>
            <w:pPr/>
            <w:r/>
            <w:r>
              <w:rPr>
                <w:rFonts w:ascii="Calibri" w:hAnsi="Calibri"/>
                <w:b/>
              </w:rPr>
              <w:t>Recognised Third-Country CCP</w:t>
            </w:r>
          </w:p>
        </w:tc>
        <w:tc>
          <w:tcPr>
            <w:tcW w:type="dxa" w:w="2880"/>
          </w:tcPr>
          <w:p>
            <w:pPr/>
            <w:r/>
            <w:r>
              <w:rPr>
                <w:rFonts w:ascii="Calibri" w:hAnsi="Calibri"/>
              </w:rPr>
              <w:t>ESMA</w:t>
            </w:r>
          </w:p>
        </w:tc>
        <w:tc>
          <w:tcPr>
            <w:tcW w:type="dxa" w:w="2880"/>
          </w:tcPr>
          <w:p>
            <w:pPr/>
            <w:r/>
            <w:r>
              <w:rPr>
                <w:rFonts w:ascii="Calibri" w:hAnsi="Calibri"/>
              </w:rPr>
              <w:t>EU EMIR; recognised June 2016 (Tier 1 CCP)</w:t>
            </w:r>
          </w:p>
        </w:tc>
      </w:tr>
      <w:tr>
        <w:tc>
          <w:tcPr>
            <w:tcW w:type="dxa" w:w="2880"/>
          </w:tcPr>
          <w:p>
            <w:pPr/>
            <w:r/>
            <w:r>
              <w:rPr>
                <w:rFonts w:ascii="Calibri" w:hAnsi="Calibri"/>
                <w:b/>
              </w:rPr>
              <w:t>Registered Clearing Agency</w:t>
            </w:r>
          </w:p>
        </w:tc>
        <w:tc>
          <w:tcPr>
            <w:tcW w:type="dxa" w:w="2880"/>
          </w:tcPr>
          <w:p>
            <w:pPr/>
            <w:r/>
            <w:r>
              <w:rPr>
                <w:rFonts w:ascii="Calibri" w:hAnsi="Calibri"/>
              </w:rPr>
              <w:t>SEC</w:t>
            </w:r>
          </w:p>
        </w:tc>
        <w:tc>
          <w:tcPr>
            <w:tcW w:type="dxa" w:w="2880"/>
          </w:tcPr>
          <w:p>
            <w:pPr/>
            <w:r/>
            <w:r>
              <w:rPr>
                <w:rFonts w:ascii="Calibri" w:hAnsi="Calibri"/>
              </w:rPr>
              <w:t>CME Securities Clearing Inc. (approved December 2025) -- for U.S. Treasury and repo clearing</w:t>
            </w:r>
          </w:p>
        </w:tc>
      </w:tr>
    </w:tbl>
    <w:p/>
    <w:p>
      <w:pPr>
        <w:pStyle w:val="Heading3"/>
      </w:pPr>
      <w:r>
        <w:rPr>
          <w:rFonts w:ascii="Calibri" w:hAnsi="Calibri"/>
        </w:rPr>
        <w:t>6.2 CFTC DCO Core Principles (Part 39)</w:t>
      </w:r>
    </w:p>
    <w:p>
      <w:r>
        <w:rPr>
          <w:rFonts w:ascii="Calibri" w:hAnsi="Calibri"/>
        </w:rPr>
        <w:t>CME Clearing must comply with all DCO Core Principles under the CEA, including but not limited to:</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Core Principle</w:t>
            </w:r>
          </w:p>
        </w:tc>
        <w:tc>
          <w:tcPr>
            <w:tcW w:type="dxa" w:w="4320"/>
            <w:shd w:fill="4472C4" w:val="clear"/>
          </w:tcPr>
          <w:p>
            <w:pPr/>
            <w:r>
              <w:rPr>
                <w:b/>
                <w:color w:val="FFFFFF"/>
              </w:rPr>
            </w:r>
            <w:r>
              <w:rPr>
                <w:rFonts w:ascii="Calibri" w:hAnsi="Calibri"/>
                <w:b/>
                <w:color w:val="FFFFFF"/>
              </w:rPr>
              <w:t>Requirement</w:t>
            </w:r>
          </w:p>
        </w:tc>
      </w:tr>
      <w:tr>
        <w:tc>
          <w:tcPr>
            <w:tcW w:type="dxa" w:w="4320"/>
          </w:tcPr>
          <w:p>
            <w:pPr/>
            <w:r/>
            <w:r>
              <w:rPr>
                <w:rFonts w:ascii="Calibri" w:hAnsi="Calibri"/>
              </w:rPr>
              <w:t>Financial Resources</w:t>
            </w:r>
          </w:p>
        </w:tc>
        <w:tc>
          <w:tcPr>
            <w:tcW w:type="dxa" w:w="4320"/>
          </w:tcPr>
          <w:p>
            <w:pPr/>
            <w:r/>
            <w:r>
              <w:rPr>
                <w:rFonts w:ascii="Calibri" w:hAnsi="Calibri"/>
              </w:rPr>
              <w:t>Sufficient to cover default of two largest clearing members (Cover 2)</w:t>
            </w:r>
          </w:p>
        </w:tc>
      </w:tr>
      <w:tr>
        <w:tc>
          <w:tcPr>
            <w:tcW w:type="dxa" w:w="4320"/>
          </w:tcPr>
          <w:p>
            <w:pPr/>
            <w:r/>
            <w:r>
              <w:rPr>
                <w:rFonts w:ascii="Calibri" w:hAnsi="Calibri"/>
              </w:rPr>
              <w:t>Participant &amp; Product Eligibility</w:t>
            </w:r>
          </w:p>
        </w:tc>
        <w:tc>
          <w:tcPr>
            <w:tcW w:type="dxa" w:w="4320"/>
          </w:tcPr>
          <w:p>
            <w:pPr/>
            <w:r/>
            <w:r>
              <w:rPr>
                <w:rFonts w:ascii="Calibri" w:hAnsi="Calibri"/>
              </w:rPr>
              <w:t>Appropriate admission and product eligibility standards</w:t>
            </w:r>
          </w:p>
        </w:tc>
      </w:tr>
      <w:tr>
        <w:tc>
          <w:tcPr>
            <w:tcW w:type="dxa" w:w="4320"/>
          </w:tcPr>
          <w:p>
            <w:pPr/>
            <w:r/>
            <w:r>
              <w:rPr>
                <w:rFonts w:ascii="Calibri" w:hAnsi="Calibri"/>
              </w:rPr>
              <w:t>Risk Management</w:t>
            </w:r>
          </w:p>
        </w:tc>
        <w:tc>
          <w:tcPr>
            <w:tcW w:type="dxa" w:w="4320"/>
          </w:tcPr>
          <w:p>
            <w:pPr/>
            <w:r/>
            <w:r>
              <w:rPr>
                <w:rFonts w:ascii="Calibri" w:hAnsi="Calibri"/>
              </w:rPr>
              <w:t>Comprehensive risk management framework with margin, stress testing, default management</w:t>
            </w:r>
          </w:p>
        </w:tc>
      </w:tr>
      <w:tr>
        <w:tc>
          <w:tcPr>
            <w:tcW w:type="dxa" w:w="4320"/>
          </w:tcPr>
          <w:p>
            <w:pPr/>
            <w:r/>
            <w:r>
              <w:rPr>
                <w:rFonts w:ascii="Calibri" w:hAnsi="Calibri"/>
              </w:rPr>
              <w:t>Settlement Procedures</w:t>
            </w:r>
          </w:p>
        </w:tc>
        <w:tc>
          <w:tcPr>
            <w:tcW w:type="dxa" w:w="4320"/>
          </w:tcPr>
          <w:p>
            <w:pPr/>
            <w:r/>
            <w:r>
              <w:rPr>
                <w:rFonts w:ascii="Calibri" w:hAnsi="Calibri"/>
              </w:rPr>
              <w:t>Timely completion of settlement obligations</w:t>
            </w:r>
          </w:p>
        </w:tc>
      </w:tr>
      <w:tr>
        <w:tc>
          <w:tcPr>
            <w:tcW w:type="dxa" w:w="4320"/>
          </w:tcPr>
          <w:p>
            <w:pPr/>
            <w:r/>
            <w:r>
              <w:rPr>
                <w:rFonts w:ascii="Calibri" w:hAnsi="Calibri"/>
              </w:rPr>
              <w:t>Treatment of Funds</w:t>
            </w:r>
          </w:p>
        </w:tc>
        <w:tc>
          <w:tcPr>
            <w:tcW w:type="dxa" w:w="4320"/>
          </w:tcPr>
          <w:p>
            <w:pPr/>
            <w:r/>
            <w:r>
              <w:rPr>
                <w:rFonts w:ascii="Calibri" w:hAnsi="Calibri"/>
              </w:rPr>
              <w:t>Segregation of customer funds from proprietary funds</w:t>
            </w:r>
          </w:p>
        </w:tc>
      </w:tr>
      <w:tr>
        <w:tc>
          <w:tcPr>
            <w:tcW w:type="dxa" w:w="4320"/>
          </w:tcPr>
          <w:p>
            <w:pPr/>
            <w:r/>
            <w:r>
              <w:rPr>
                <w:rFonts w:ascii="Calibri" w:hAnsi="Calibri"/>
              </w:rPr>
              <w:t>Default Rules &amp; Procedures</w:t>
            </w:r>
          </w:p>
        </w:tc>
        <w:tc>
          <w:tcPr>
            <w:tcW w:type="dxa" w:w="4320"/>
          </w:tcPr>
          <w:p>
            <w:pPr/>
            <w:r/>
            <w:r>
              <w:rPr>
                <w:rFonts w:ascii="Calibri" w:hAnsi="Calibri"/>
              </w:rPr>
              <w:t>Clear rules for handling clearing member defaults</w:t>
            </w:r>
          </w:p>
        </w:tc>
      </w:tr>
      <w:tr>
        <w:tc>
          <w:tcPr>
            <w:tcW w:type="dxa" w:w="4320"/>
          </w:tcPr>
          <w:p>
            <w:pPr/>
            <w:r/>
            <w:r>
              <w:rPr>
                <w:rFonts w:ascii="Calibri" w:hAnsi="Calibri"/>
              </w:rPr>
              <w:t>System Safeguards</w:t>
            </w:r>
          </w:p>
        </w:tc>
        <w:tc>
          <w:tcPr>
            <w:tcW w:type="dxa" w:w="4320"/>
          </w:tcPr>
          <w:p>
            <w:pPr/>
            <w:r/>
            <w:r>
              <w:rPr>
                <w:rFonts w:ascii="Calibri" w:hAnsi="Calibri"/>
              </w:rPr>
              <w:t>Robust IT systems, business continuity, and cybersecurity</w:t>
            </w:r>
          </w:p>
        </w:tc>
      </w:tr>
      <w:tr>
        <w:tc>
          <w:tcPr>
            <w:tcW w:type="dxa" w:w="4320"/>
          </w:tcPr>
          <w:p>
            <w:pPr/>
            <w:r/>
            <w:r>
              <w:rPr>
                <w:rFonts w:ascii="Calibri" w:hAnsi="Calibri"/>
              </w:rPr>
              <w:t>Reporting</w:t>
            </w:r>
          </w:p>
        </w:tc>
        <w:tc>
          <w:tcPr>
            <w:tcW w:type="dxa" w:w="4320"/>
          </w:tcPr>
          <w:p>
            <w:pPr/>
            <w:r/>
            <w:r>
              <w:rPr>
                <w:rFonts w:ascii="Calibri" w:hAnsi="Calibri"/>
              </w:rPr>
              <w:t>Regulatory reporting to CFTC</w:t>
            </w:r>
          </w:p>
        </w:tc>
      </w:tr>
      <w:tr>
        <w:tc>
          <w:tcPr>
            <w:tcW w:type="dxa" w:w="4320"/>
          </w:tcPr>
          <w:p>
            <w:pPr/>
            <w:r/>
            <w:r>
              <w:rPr>
                <w:rFonts w:ascii="Calibri" w:hAnsi="Calibri"/>
              </w:rPr>
              <w:t>Public Information</w:t>
            </w:r>
          </w:p>
        </w:tc>
        <w:tc>
          <w:tcPr>
            <w:tcW w:type="dxa" w:w="4320"/>
          </w:tcPr>
          <w:p>
            <w:pPr/>
            <w:r/>
            <w:r>
              <w:rPr>
                <w:rFonts w:ascii="Calibri" w:hAnsi="Calibri"/>
              </w:rPr>
              <w:t>Transparent disclosure of rules, procedures, and risks</w:t>
            </w:r>
          </w:p>
        </w:tc>
      </w:tr>
    </w:tbl>
    <w:p/>
    <w:p>
      <w:pPr>
        <w:pStyle w:val="Heading3"/>
      </w:pPr>
      <w:r>
        <w:rPr>
          <w:rFonts w:ascii="Calibri" w:hAnsi="Calibri"/>
        </w:rPr>
        <w:t>6.3 SIFMU Oversight</w:t>
      </w:r>
    </w:p>
    <w:p>
      <w:r>
        <w:rPr>
          <w:rFonts w:ascii="Calibri" w:hAnsi="Calibri"/>
        </w:rPr>
        <w:t>As a designated SIFMU, CME is subject to enhanced supervisory standards:</w:t>
      </w:r>
    </w:p>
    <w:p>
      <w:pPr>
        <w:pStyle w:val="ListBullet"/>
      </w:pPr>
      <w:r>
        <w:rPr>
          <w:rFonts w:ascii="Calibri" w:hAnsi="Calibri"/>
          <w:b/>
        </w:rPr>
        <w:t>Federal Reserve Board</w:t>
      </w:r>
      <w:r>
        <w:rPr>
          <w:rFonts w:ascii="Calibri" w:hAnsi="Calibri"/>
        </w:rPr>
        <w:t xml:space="preserve"> oversight under Title VIII (delegated by FSOC)</w:t>
      </w:r>
    </w:p>
    <w:p>
      <w:pPr>
        <w:pStyle w:val="ListBullet"/>
      </w:pPr>
      <w:r>
        <w:rPr>
          <w:rFonts w:ascii="Calibri" w:hAnsi="Calibri"/>
        </w:rPr>
        <w:t>Annual joint examinations by CFTC and Federal Reserve Board</w:t>
      </w:r>
    </w:p>
    <w:p>
      <w:pPr>
        <w:pStyle w:val="ListBullet"/>
      </w:pPr>
      <w:r>
        <w:rPr>
          <w:rFonts w:ascii="Calibri" w:hAnsi="Calibri"/>
        </w:rPr>
        <w:t>Comprehensive evaluation of operations and risk management relative to DCO Core Principles</w:t>
      </w:r>
    </w:p>
    <w:p>
      <w:pPr>
        <w:pStyle w:val="ListBullet"/>
      </w:pPr>
      <w:r>
        <w:rPr>
          <w:rFonts w:ascii="Calibri" w:hAnsi="Calibri"/>
        </w:rPr>
        <w:t>Access to Federal Reserve discount window lending in extremis</w:t>
      </w:r>
    </w:p>
    <w:p>
      <w:pPr>
        <w:pStyle w:val="ListBullet"/>
      </w:pPr>
      <w:r>
        <w:rPr>
          <w:rFonts w:ascii="Calibri" w:hAnsi="Calibri"/>
        </w:rPr>
        <w:t>Enhanced recovery and resolution planning requirements</w:t>
      </w:r>
    </w:p>
    <w:p>
      <w:pPr>
        <w:pStyle w:val="Heading3"/>
      </w:pPr>
      <w:r>
        <w:rPr>
          <w:rFonts w:ascii="Calibri" w:hAnsi="Calibri"/>
        </w:rPr>
        <w:t>6.4 PFMI &amp; Public Quantitative Disclosures</w:t>
      </w:r>
    </w:p>
    <w:p>
      <w:r>
        <w:rPr>
          <w:rFonts w:ascii="Calibri" w:hAnsi="Calibri"/>
        </w:rPr>
        <w:t>CME publishes:</w:t>
      </w:r>
    </w:p>
    <w:p>
      <w:pPr>
        <w:pStyle w:val="ListBullet"/>
      </w:pPr>
      <w:r>
        <w:rPr>
          <w:rFonts w:ascii="Calibri" w:hAnsi="Calibri"/>
          <w:b/>
        </w:rPr>
        <w:t>CPMI-IOSCO Qualitative Self-Assessment</w:t>
      </w:r>
      <w:r>
        <w:rPr>
          <w:rFonts w:ascii="Calibri" w:hAnsi="Calibri"/>
        </w:rPr>
        <w:t xml:space="preserve"> -- comprehensive PFMI disclosure document (last published November 2023)</w:t>
      </w:r>
    </w:p>
    <w:p>
      <w:pPr>
        <w:pStyle w:val="ListBullet"/>
      </w:pPr>
      <w:r>
        <w:rPr>
          <w:rFonts w:ascii="Calibri" w:hAnsi="Calibri"/>
          <w:b/>
        </w:rPr>
        <w:t>Quarterly PQD Reports</w:t>
      </w:r>
      <w:r>
        <w:rPr>
          <w:rFonts w:ascii="Calibri" w:hAnsi="Calibri"/>
        </w:rPr>
        <w:t xml:space="preserve"> -- public quantitative disclosures with key risk metrics (available at </w:t>
      </w:r>
      <w:r>
        <w:rPr>
          <w:rFonts w:ascii="Calibri" w:hAnsi="Calibri"/>
          <w:color w:val="0563C1"/>
          <w:u w:val="single"/>
        </w:rPr>
        <w:t>CME CPMI-IOSCO Reporting</w:t>
      </w:r>
      <w:r>
        <w:rPr>
          <w:rFonts w:ascii="Calibri" w:hAnsi="Calibri"/>
        </w:rPr>
        <w:t>)</w:t>
      </w:r>
    </w:p>
    <w:p>
      <w:pPr>
        <w:pStyle w:val="ListBullet"/>
      </w:pPr>
      <w:r>
        <w:rPr>
          <w:rFonts w:ascii="Calibri" w:hAnsi="Calibri"/>
          <w:b/>
        </w:rPr>
        <w:t>Annual Financial Statements</w:t>
      </w:r>
      <w:r>
        <w:rPr>
          <w:rFonts w:ascii="Calibri" w:hAnsi="Calibri"/>
        </w:rPr>
        <w:t xml:space="preserve"> -- CME Inc. audited financials</w:t>
      </w:r>
    </w:p>
    <w:p>
      <w:pPr>
        <w:pBdr>
          <w:bottom w:val="single" w:sz="4" w:space="1" w:color="auto"/>
        </w:pBdr>
      </w:pPr>
    </w:p>
    <w:p>
      <w:pPr>
        <w:pStyle w:val="Heading2"/>
      </w:pPr>
      <w:r>
        <w:rPr>
          <w:rFonts w:ascii="Calibri" w:hAnsi="Calibri"/>
        </w:rPr>
        <w:t>7. Interoperability</w:t>
      </w:r>
    </w:p>
    <w:p>
      <w:pPr>
        <w:pStyle w:val="Heading3"/>
      </w:pPr>
      <w:r>
        <w:rPr>
          <w:rFonts w:ascii="Calibri" w:hAnsi="Calibri"/>
        </w:rPr>
        <w:t>7.1 CME-OCC Cross-Margining Program</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Established</w:t>
            </w:r>
          </w:p>
        </w:tc>
        <w:tc>
          <w:tcPr>
            <w:tcW w:type="dxa" w:w="4320"/>
          </w:tcPr>
          <w:p>
            <w:pPr/>
            <w:r/>
            <w:r>
              <w:rPr>
                <w:rFonts w:ascii="Calibri" w:hAnsi="Calibri"/>
              </w:rPr>
              <w:t>1989 -- one of the earliest cross-margining arrangements globally</w:t>
            </w:r>
          </w:p>
        </w:tc>
      </w:tr>
      <w:tr>
        <w:tc>
          <w:tcPr>
            <w:tcW w:type="dxa" w:w="4320"/>
          </w:tcPr>
          <w:p>
            <w:pPr/>
            <w:r/>
            <w:r>
              <w:rPr>
                <w:rFonts w:ascii="Calibri" w:hAnsi="Calibri"/>
                <w:b/>
              </w:rPr>
              <w:t>Participants</w:t>
            </w:r>
          </w:p>
        </w:tc>
        <w:tc>
          <w:tcPr>
            <w:tcW w:type="dxa" w:w="4320"/>
          </w:tcPr>
          <w:p>
            <w:pPr/>
            <w:r/>
            <w:r>
              <w:rPr>
                <w:rFonts w:ascii="Calibri" w:hAnsi="Calibri"/>
              </w:rPr>
              <w:t>OCC (Options Clearing Corporation) and CME Clearing</w:t>
            </w:r>
          </w:p>
        </w:tc>
      </w:tr>
      <w:tr>
        <w:tc>
          <w:tcPr>
            <w:tcW w:type="dxa" w:w="4320"/>
          </w:tcPr>
          <w:p>
            <w:pPr/>
            <w:r/>
            <w:r>
              <w:rPr>
                <w:rFonts w:ascii="Calibri" w:hAnsi="Calibri"/>
                <w:b/>
              </w:rPr>
              <w:t>Purpose</w:t>
            </w:r>
          </w:p>
        </w:tc>
        <w:tc>
          <w:tcPr>
            <w:tcW w:type="dxa" w:w="4320"/>
          </w:tcPr>
          <w:p>
            <w:pPr/>
            <w:r/>
            <w:r>
              <w:rPr>
                <w:rFonts w:ascii="Calibri" w:hAnsi="Calibri"/>
              </w:rPr>
              <w:t>Combine hedged positions in equity index options (cleared by OCC) with equity index futures (cleared by CME) into a single portfolio for margin purposes</w:t>
            </w:r>
          </w:p>
        </w:tc>
      </w:tr>
      <w:tr>
        <w:tc>
          <w:tcPr>
            <w:tcW w:type="dxa" w:w="4320"/>
          </w:tcPr>
          <w:p>
            <w:pPr/>
            <w:r/>
            <w:r>
              <w:rPr>
                <w:rFonts w:ascii="Calibri" w:hAnsi="Calibri"/>
                <w:b/>
              </w:rPr>
              <w:t>Margin Model</w:t>
            </w:r>
          </w:p>
        </w:tc>
        <w:tc>
          <w:tcPr>
            <w:tcW w:type="dxa" w:w="4320"/>
          </w:tcPr>
          <w:p>
            <w:pPr/>
            <w:r/>
            <w:r>
              <w:rPr>
                <w:rFonts w:ascii="Calibri" w:hAnsi="Calibri"/>
              </w:rPr>
              <w:t>Combined positions margined using OCC's STANS (System for Theoretical Analysis and Numerical Simulations) portfolio methodology</w:t>
            </w:r>
          </w:p>
        </w:tc>
      </w:tr>
      <w:tr>
        <w:tc>
          <w:tcPr>
            <w:tcW w:type="dxa" w:w="4320"/>
          </w:tcPr>
          <w:p>
            <w:pPr/>
            <w:r/>
            <w:r>
              <w:rPr>
                <w:rFonts w:ascii="Calibri" w:hAnsi="Calibri"/>
                <w:b/>
              </w:rPr>
              <w:t>Eligibility</w:t>
            </w:r>
          </w:p>
        </w:tc>
        <w:tc>
          <w:tcPr>
            <w:tcW w:type="dxa" w:w="4320"/>
          </w:tcPr>
          <w:p>
            <w:pPr/>
            <w:r/>
            <w:r>
              <w:rPr>
                <w:rFonts w:ascii="Calibri" w:hAnsi="Calibri"/>
              </w:rPr>
              <w:t>Open to clearing members and their affiliates, market makers, and futures locals. Not generally available to retail customers due to differing securities vs. futures customer protection requirements</w:t>
            </w:r>
          </w:p>
        </w:tc>
      </w:tr>
      <w:tr>
        <w:tc>
          <w:tcPr>
            <w:tcW w:type="dxa" w:w="4320"/>
          </w:tcPr>
          <w:p>
            <w:pPr/>
            <w:r/>
            <w:r>
              <w:rPr>
                <w:rFonts w:ascii="Calibri" w:hAnsi="Calibri"/>
                <w:b/>
              </w:rPr>
              <w:t>Key Benefit</w:t>
            </w:r>
          </w:p>
        </w:tc>
        <w:tc>
          <w:tcPr>
            <w:tcW w:type="dxa" w:w="4320"/>
          </w:tcPr>
          <w:p>
            <w:pPr/>
            <w:r/>
            <w:r>
              <w:rPr>
                <w:rFonts w:ascii="Calibri" w:hAnsi="Calibri"/>
              </w:rPr>
              <w:t>SPX options (OCC) combined with E-mini S&amp;P 500 futures (CME) for portfolio-level margin offsets</w:t>
            </w:r>
          </w:p>
        </w:tc>
      </w:tr>
      <w:tr>
        <w:tc>
          <w:tcPr>
            <w:tcW w:type="dxa" w:w="4320"/>
          </w:tcPr>
          <w:p>
            <w:pPr/>
            <w:r/>
            <w:r>
              <w:rPr>
                <w:rFonts w:ascii="Calibri" w:hAnsi="Calibri"/>
                <w:b/>
              </w:rPr>
              <w:t>Milestone</w:t>
            </w:r>
          </w:p>
        </w:tc>
        <w:tc>
          <w:tcPr>
            <w:tcW w:type="dxa" w:w="4320"/>
          </w:tcPr>
          <w:p>
            <w:pPr/>
            <w:r/>
            <w:r>
              <w:rPr>
                <w:rFonts w:ascii="Calibri" w:hAnsi="Calibri"/>
              </w:rPr>
              <w:t>20th anniversary of partnership celebrated in 2019 (</w:t>
            </w:r>
            <w:r>
              <w:rPr>
                <w:rFonts w:ascii="Calibri" w:hAnsi="Calibri"/>
                <w:color w:val="0563C1"/>
                <w:u w:val="single"/>
              </w:rPr>
              <w:t>CME-OCC 20 Years</w:t>
            </w:r>
            <w:r>
              <w:rPr>
                <w:rFonts w:ascii="Calibri" w:hAnsi="Calibri"/>
              </w:rPr>
              <w:t>)</w:t>
            </w:r>
          </w:p>
        </w:tc>
      </w:tr>
    </w:tbl>
    <w:p/>
    <w:p>
      <w:r>
        <w:rPr>
          <w:rFonts w:ascii="Calibri" w:hAnsi="Calibri"/>
        </w:rPr>
        <w:t xml:space="preserve">Source: </w:t>
      </w:r>
      <w:r>
        <w:rPr>
          <w:rFonts w:ascii="Calibri" w:hAnsi="Calibri"/>
          <w:color w:val="0563C1"/>
          <w:u w:val="single"/>
        </w:rPr>
        <w:t>OCC Cross-Margin Programs</w:t>
      </w:r>
    </w:p>
    <w:p>
      <w:pPr>
        <w:pStyle w:val="Heading3"/>
      </w:pPr>
      <w:r>
        <w:rPr>
          <w:rFonts w:ascii="Calibri" w:hAnsi="Calibri"/>
        </w:rPr>
        <w:t>7.2 CME-FICC Cross-Margining Arrangement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Launched</w:t>
            </w:r>
          </w:p>
        </w:tc>
        <w:tc>
          <w:tcPr>
            <w:tcW w:type="dxa" w:w="4320"/>
          </w:tcPr>
          <w:p>
            <w:pPr/>
            <w:r/>
            <w:r>
              <w:rPr>
                <w:rFonts w:ascii="Calibri" w:hAnsi="Calibri"/>
              </w:rPr>
              <w:t>January 2024 (proprietary/house accounts)</w:t>
            </w:r>
          </w:p>
        </w:tc>
      </w:tr>
      <w:tr>
        <w:tc>
          <w:tcPr>
            <w:tcW w:type="dxa" w:w="4320"/>
          </w:tcPr>
          <w:p>
            <w:pPr/>
            <w:r/>
            <w:r>
              <w:rPr>
                <w:rFonts w:ascii="Calibri" w:hAnsi="Calibri"/>
                <w:b/>
              </w:rPr>
              <w:t>Participants</w:t>
            </w:r>
          </w:p>
        </w:tc>
        <w:tc>
          <w:tcPr>
            <w:tcW w:type="dxa" w:w="4320"/>
          </w:tcPr>
          <w:p>
            <w:pPr/>
            <w:r/>
            <w:r>
              <w:rPr>
                <w:rFonts w:ascii="Calibri" w:hAnsi="Calibri"/>
              </w:rPr>
              <w:t>FICC (Fixed Income Clearing Corporation, a DTCC subsidiary) and CME Clearing</w:t>
            </w:r>
          </w:p>
        </w:tc>
      </w:tr>
      <w:tr>
        <w:tc>
          <w:tcPr>
            <w:tcW w:type="dxa" w:w="4320"/>
          </w:tcPr>
          <w:p>
            <w:pPr/>
            <w:r/>
            <w:r>
              <w:rPr>
                <w:rFonts w:ascii="Calibri" w:hAnsi="Calibri"/>
                <w:b/>
              </w:rPr>
              <w:t>Purpose</w:t>
            </w:r>
          </w:p>
        </w:tc>
        <w:tc>
          <w:tcPr>
            <w:tcW w:type="dxa" w:w="4320"/>
          </w:tcPr>
          <w:p>
            <w:pPr/>
            <w:r/>
            <w:r>
              <w:rPr>
                <w:rFonts w:ascii="Calibri" w:hAnsi="Calibri"/>
              </w:rPr>
              <w:t>Capital efficiencies for clearing members trading and clearing both U.S. Treasury securities (FICC) and Interest Rate futures (CME)</w:t>
            </w:r>
          </w:p>
        </w:tc>
      </w:tr>
      <w:tr>
        <w:tc>
          <w:tcPr>
            <w:tcW w:type="dxa" w:w="4320"/>
          </w:tcPr>
          <w:p>
            <w:pPr/>
            <w:r/>
            <w:r>
              <w:rPr>
                <w:rFonts w:ascii="Calibri" w:hAnsi="Calibri"/>
                <w:b/>
              </w:rPr>
              <w:t>Eligible Products</w:t>
            </w:r>
          </w:p>
        </w:tc>
        <w:tc>
          <w:tcPr>
            <w:tcW w:type="dxa" w:w="4320"/>
          </w:tcPr>
          <w:p>
            <w:pPr/>
            <w:r/>
            <w:r>
              <w:rPr>
                <w:rFonts w:ascii="Calibri" w:hAnsi="Calibri"/>
              </w:rPr>
              <w:t>FICC-cleared U.S. Treasury Notes and Bonds (&gt;1 year maturity) from buy/sell or repo/reverse repo transactions, paired with CME Treasury futures</w:t>
            </w:r>
          </w:p>
        </w:tc>
      </w:tr>
      <w:tr>
        <w:tc>
          <w:tcPr>
            <w:tcW w:type="dxa" w:w="4320"/>
          </w:tcPr>
          <w:p>
            <w:pPr/>
            <w:r/>
            <w:r>
              <w:rPr>
                <w:rFonts w:ascii="Calibri" w:hAnsi="Calibri"/>
                <w:b/>
              </w:rPr>
              <w:t>Margin Methodology</w:t>
            </w:r>
          </w:p>
        </w:tc>
        <w:tc>
          <w:tcPr>
            <w:tcW w:type="dxa" w:w="4320"/>
          </w:tcPr>
          <w:p>
            <w:pPr/>
            <w:r/>
            <w:r>
              <w:rPr>
                <w:rFonts w:ascii="Calibri" w:hAnsi="Calibri"/>
              </w:rPr>
              <w:t>Both CCPs calculate margins on combined portfolios using their respective models; the more conservative result is applied with a joint margin savings percentage</w:t>
            </w:r>
          </w:p>
        </w:tc>
      </w:tr>
      <w:tr>
        <w:tc>
          <w:tcPr>
            <w:tcW w:type="dxa" w:w="4320"/>
          </w:tcPr>
          <w:p>
            <w:pPr/>
            <w:r/>
            <w:r>
              <w:rPr>
                <w:rFonts w:ascii="Calibri" w:hAnsi="Calibri"/>
                <w:b/>
              </w:rPr>
              <w:t>Customer Extension</w:t>
            </w:r>
          </w:p>
        </w:tc>
        <w:tc>
          <w:tcPr>
            <w:tcW w:type="dxa" w:w="4320"/>
          </w:tcPr>
          <w:p>
            <w:pPr/>
            <w:r/>
            <w:r>
              <w:rPr>
                <w:rFonts w:ascii="Calibri" w:hAnsi="Calibri"/>
              </w:rPr>
              <w:t>Proposed rule change filed May 2025 to extend program to end-user customers of dually-registered broker-dealers/FCMs; target go-live December 2025, subject to regulatory approval</w:t>
            </w:r>
          </w:p>
        </w:tc>
      </w:tr>
      <w:tr>
        <w:tc>
          <w:tcPr>
            <w:tcW w:type="dxa" w:w="4320"/>
          </w:tcPr>
          <w:p>
            <w:pPr/>
            <w:r/>
            <w:r>
              <w:rPr>
                <w:rFonts w:ascii="Calibri" w:hAnsi="Calibri"/>
                <w:b/>
              </w:rPr>
              <w:t>Significance</w:t>
            </w:r>
          </w:p>
        </w:tc>
        <w:tc>
          <w:tcPr>
            <w:tcW w:type="dxa" w:w="4320"/>
          </w:tcPr>
          <w:p>
            <w:pPr/>
            <w:r/>
            <w:r>
              <w:rPr>
                <w:rFonts w:ascii="Calibri" w:hAnsi="Calibri"/>
              </w:rPr>
              <w:t>A critical element for the upcoming SEC U.S. Treasury clearing mandate (effective December 31, 2026 for cash; June 30, 2027 for repo)</w:t>
            </w:r>
          </w:p>
        </w:tc>
      </w:tr>
    </w:tbl>
    <w:p/>
    <w:p>
      <w:r>
        <w:rPr>
          <w:rFonts w:ascii="Calibri" w:hAnsi="Calibri"/>
        </w:rPr>
        <w:t xml:space="preserve">Source: </w:t>
      </w:r>
      <w:r>
        <w:rPr>
          <w:rFonts w:ascii="Calibri" w:hAnsi="Calibri"/>
          <w:color w:val="0563C1"/>
          <w:u w:val="single"/>
        </w:rPr>
        <w:t>CME-FICC Cross-Margining FAQ</w:t>
      </w:r>
      <w:r>
        <w:rPr>
          <w:rFonts w:ascii="Calibri" w:hAnsi="Calibri"/>
        </w:rPr>
        <w:t xml:space="preserve">; </w:t>
      </w:r>
      <w:r>
        <w:rPr>
          <w:rFonts w:ascii="Calibri" w:hAnsi="Calibri"/>
          <w:color w:val="0563C1"/>
          <w:u w:val="single"/>
        </w:rPr>
        <w:t>DTCC-CME Cross-Margining Forum, April 2025</w:t>
      </w:r>
    </w:p>
    <w:p>
      <w:pPr>
        <w:pStyle w:val="Heading3"/>
      </w:pPr>
      <w:r>
        <w:rPr>
          <w:rFonts w:ascii="Calibri" w:hAnsi="Calibri"/>
        </w:rPr>
        <w:t>7.3 Mutualization Across CME/CBOT/NYMEX/COMEX</w:t>
      </w:r>
    </w:p>
    <w:p>
      <w:r>
        <w:rPr>
          <w:rFonts w:ascii="Calibri" w:hAnsi="Calibri"/>
        </w:rPr>
        <w:t xml:space="preserve">All four exchange divisions share the </w:t>
      </w:r>
      <w:r>
        <w:rPr>
          <w:rFonts w:ascii="Calibri" w:hAnsi="Calibri"/>
          <w:b/>
        </w:rPr>
        <w:t>Base Products</w:t>
      </w:r>
      <w:r>
        <w:rPr>
          <w:rFonts w:ascii="Calibri" w:hAnsi="Calibri"/>
        </w:rPr>
        <w:t xml:space="preserve"> financial safeguards waterfall. This means:</w:t>
      </w:r>
    </w:p>
    <w:p>
      <w:pPr>
        <w:pStyle w:val="ListBullet"/>
      </w:pPr>
      <w:r>
        <w:rPr>
          <w:rFonts w:ascii="Calibri" w:hAnsi="Calibri"/>
        </w:rPr>
        <w:t>A single Base guaranty fund covers futures, options, and OTC FX across all four divisions</w:t>
      </w:r>
    </w:p>
    <w:p>
      <w:pPr>
        <w:pStyle w:val="ListBullet"/>
      </w:pPr>
      <w:r>
        <w:rPr>
          <w:rFonts w:ascii="Calibri" w:hAnsi="Calibri"/>
        </w:rPr>
        <w:t>Clearing member default losses in any division can draw on the common Base guaranty fund</w:t>
      </w:r>
    </w:p>
    <w:p>
      <w:pPr>
        <w:pStyle w:val="ListBullet"/>
      </w:pPr>
      <w:r>
        <w:rPr>
          <w:rFonts w:ascii="Calibri" w:hAnsi="Calibri"/>
        </w:rPr>
        <w:t>IRS products have their own separate guaranty fund and waterfall</w:t>
      </w:r>
    </w:p>
    <w:p>
      <w:pPr>
        <w:pStyle w:val="ListBullet"/>
      </w:pPr>
      <w:r>
        <w:rPr>
          <w:rFonts w:ascii="Calibri" w:hAnsi="Calibri"/>
        </w:rPr>
        <w:t>This structure creates mutualization of default risk across all Base product clearing members regardless of which division they clear on</w:t>
      </w:r>
    </w:p>
    <w:p>
      <w:pPr>
        <w:pStyle w:val="Heading3"/>
      </w:pPr>
      <w:r>
        <w:rPr>
          <w:rFonts w:ascii="Calibri" w:hAnsi="Calibri"/>
        </w:rPr>
        <w:t>7.4 Global CCP Links</w:t>
      </w:r>
    </w:p>
    <w:p>
      <w:r>
        <w:rPr>
          <w:rFonts w:ascii="Calibri" w:hAnsi="Calibri"/>
        </w:rPr>
        <w:t>CME Clearing does not operate formal interoperability links (shared CCP clearing arrangements) with other global CCPs in the European sense (e.g., EuroCCP-LCH interoperability). Instead, CME maintains its position as a standalone CCP with:</w:t>
      </w:r>
    </w:p>
    <w:p>
      <w:pPr>
        <w:pStyle w:val="ListBullet"/>
      </w:pPr>
      <w:r>
        <w:rPr>
          <w:rFonts w:ascii="Calibri" w:hAnsi="Calibri"/>
        </w:rPr>
        <w:t>Cross-margining agreements (OCC, FICC)</w:t>
      </w:r>
    </w:p>
    <w:p>
      <w:pPr>
        <w:pStyle w:val="ListBullet"/>
      </w:pPr>
      <w:r>
        <w:rPr>
          <w:rFonts w:ascii="Calibri" w:hAnsi="Calibri"/>
        </w:rPr>
        <w:t>QCCP recognition in multiple jurisdictions</w:t>
      </w:r>
    </w:p>
    <w:p>
      <w:pPr>
        <w:pStyle w:val="ListBullet"/>
      </w:pPr>
      <w:r>
        <w:rPr>
          <w:rFonts w:ascii="Calibri" w:hAnsi="Calibri"/>
        </w:rPr>
        <w:t>Global client access via its clearing member network</w:t>
      </w:r>
    </w:p>
    <w:p>
      <w:pPr>
        <w:pBdr>
          <w:bottom w:val="single" w:sz="4" w:space="1" w:color="auto"/>
        </w:pBdr>
      </w:pPr>
    </w:p>
    <w:p>
      <w:pPr>
        <w:pStyle w:val="Heading2"/>
      </w:pPr>
      <w:r>
        <w:rPr>
          <w:rFonts w:ascii="Calibri" w:hAnsi="Calibri"/>
        </w:rPr>
        <w:t>8. Fees</w:t>
      </w:r>
    </w:p>
    <w:p>
      <w:pPr>
        <w:pStyle w:val="Heading3"/>
      </w:pPr>
      <w:r>
        <w:rPr>
          <w:rFonts w:ascii="Calibri" w:hAnsi="Calibri"/>
        </w:rPr>
        <w:t>8.1 Fee Structure Overview</w:t>
      </w:r>
    </w:p>
    <w:p>
      <w:r>
        <w:rPr>
          <w:rFonts w:ascii="Calibri" w:hAnsi="Calibri"/>
        </w:rPr>
        <w:t xml:space="preserve">CME Group charges clearing and transaction fees on a </w:t>
      </w:r>
      <w:r>
        <w:rPr>
          <w:rFonts w:ascii="Calibri" w:hAnsi="Calibri"/>
          <w:b/>
        </w:rPr>
        <w:t>per-side, per-contract</w:t>
      </w:r>
      <w:r>
        <w:rPr>
          <w:rFonts w:ascii="Calibri" w:hAnsi="Calibri"/>
        </w:rPr>
        <w:t xml:space="preserve"> basis. Rates vary by:</w:t>
      </w:r>
    </w:p>
    <w:p>
      <w:pPr>
        <w:pStyle w:val="ListBullet"/>
      </w:pPr>
      <w:r>
        <w:rPr>
          <w:rFonts w:ascii="Calibri" w:hAnsi="Calibri"/>
        </w:rPr>
        <w:t>Product category and specific contract</w:t>
      </w:r>
    </w:p>
    <w:p>
      <w:pPr>
        <w:pStyle w:val="ListBullet"/>
      </w:pPr>
      <w:r>
        <w:rPr>
          <w:rFonts w:ascii="Calibri" w:hAnsi="Calibri"/>
        </w:rPr>
        <w:t>Member status (exchange member vs. non-member)</w:t>
      </w:r>
    </w:p>
    <w:p>
      <w:pPr>
        <w:pStyle w:val="ListBullet"/>
      </w:pPr>
      <w:r>
        <w:rPr>
          <w:rFonts w:ascii="Calibri" w:hAnsi="Calibri"/>
        </w:rPr>
        <w:t>Volume-based incentive program participation</w:t>
      </w:r>
    </w:p>
    <w:p>
      <w:pPr>
        <w:pStyle w:val="ListBullet"/>
      </w:pPr>
      <w:r>
        <w:rPr>
          <w:rFonts w:ascii="Calibri" w:hAnsi="Calibri"/>
        </w:rPr>
        <w:t>Transaction type (electronic, open outcry, block, EFP/EFR)</w:t>
      </w:r>
    </w:p>
    <w:p>
      <w:r>
        <w:rPr>
          <w:rFonts w:ascii="Calibri" w:hAnsi="Calibri"/>
          <w:b/>
        </w:rPr>
        <w:t>Average Rate Per Contract:</w:t>
      </w:r>
      <w:r>
        <w:rPr>
          <w:rFonts w:ascii="Calibri" w:hAnsi="Calibri"/>
        </w:rPr>
        <w:t xml:space="preserve"> $0.707 per side (Q4 2025) (</w:t>
      </w:r>
      <w:r>
        <w:rPr>
          <w:rFonts w:ascii="Calibri" w:hAnsi="Calibri"/>
          <w:color w:val="0563C1"/>
          <w:u w:val="single"/>
        </w:rPr>
        <w:t>CME Q4 2025 Earnings</w:t>
      </w:r>
      <w:r>
        <w:rPr>
          <w:rFonts w:ascii="Calibri" w:hAnsi="Calibri"/>
        </w:rPr>
        <w:t>)</w:t>
      </w:r>
    </w:p>
    <w:p>
      <w:pPr>
        <w:pStyle w:val="Heading3"/>
      </w:pPr>
      <w:r>
        <w:rPr>
          <w:rFonts w:ascii="Calibri" w:hAnsi="Calibri"/>
        </w:rPr>
        <w:t>8.2 Representative Clearing Fees by Product Category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Product Category</w:t>
            </w:r>
          </w:p>
        </w:tc>
        <w:tc>
          <w:tcPr>
            <w:tcW w:type="dxa" w:w="2160"/>
            <w:shd w:fill="4472C4" w:val="clear"/>
          </w:tcPr>
          <w:p>
            <w:pPr/>
            <w:r>
              <w:rPr>
                <w:b/>
                <w:color w:val="FFFFFF"/>
              </w:rPr>
            </w:r>
            <w:r>
              <w:rPr>
                <w:rFonts w:ascii="Calibri" w:hAnsi="Calibri"/>
                <w:b/>
                <w:color w:val="FFFFFF"/>
              </w:rPr>
              <w:t>Representative Contract</w:t>
            </w:r>
          </w:p>
        </w:tc>
        <w:tc>
          <w:tcPr>
            <w:tcW w:type="dxa" w:w="2160"/>
            <w:shd w:fill="4472C4" w:val="clear"/>
          </w:tcPr>
          <w:p>
            <w:pPr/>
            <w:r>
              <w:rPr>
                <w:b/>
                <w:color w:val="FFFFFF"/>
              </w:rPr>
            </w:r>
            <w:r>
              <w:rPr>
                <w:rFonts w:ascii="Calibri" w:hAnsi="Calibri"/>
                <w:b/>
                <w:color w:val="FFFFFF"/>
              </w:rPr>
              <w:t>Exchange Fee (approx.)</w:t>
            </w:r>
          </w:p>
        </w:tc>
        <w:tc>
          <w:tcPr>
            <w:tcW w:type="dxa" w:w="2160"/>
            <w:shd w:fill="4472C4" w:val="clear"/>
          </w:tcPr>
          <w:p>
            <w:pPr/>
            <w:r>
              <w:rPr>
                <w:b/>
                <w:color w:val="FFFFFF"/>
              </w:rPr>
            </w:r>
            <w:r>
              <w:rPr>
                <w:rFonts w:ascii="Calibri" w:hAnsi="Calibri"/>
                <w:b/>
                <w:color w:val="FFFFFF"/>
              </w:rPr>
              <w:t>Notes</w:t>
            </w:r>
          </w:p>
        </w:tc>
      </w:tr>
      <w:tr>
        <w:tc>
          <w:tcPr>
            <w:tcW w:type="dxa" w:w="2160"/>
          </w:tcPr>
          <w:p>
            <w:pPr/>
            <w:r/>
            <w:r>
              <w:rPr>
                <w:rFonts w:ascii="Calibri" w:hAnsi="Calibri"/>
                <w:b/>
              </w:rPr>
              <w:t>Equity Index</w:t>
            </w:r>
          </w:p>
        </w:tc>
        <w:tc>
          <w:tcPr>
            <w:tcW w:type="dxa" w:w="2160"/>
          </w:tcPr>
          <w:p>
            <w:pPr/>
            <w:r/>
            <w:r>
              <w:rPr>
                <w:rFonts w:ascii="Calibri" w:hAnsi="Calibri"/>
              </w:rPr>
              <w:t>E-mini S&amp;P 500 (ES)</w:t>
            </w:r>
          </w:p>
        </w:tc>
        <w:tc>
          <w:tcPr>
            <w:tcW w:type="dxa" w:w="2160"/>
          </w:tcPr>
          <w:p>
            <w:pPr/>
            <w:r/>
            <w:r>
              <w:rPr>
                <w:rFonts w:ascii="Calibri" w:hAnsi="Calibri"/>
              </w:rPr>
              <w:t>$0.60 per side (exchange fee, effective Feb 2025) + NFA $0.02</w:t>
            </w:r>
          </w:p>
        </w:tc>
        <w:tc>
          <w:tcPr>
            <w:tcW w:type="dxa" w:w="2160"/>
          </w:tcPr>
          <w:p>
            <w:pPr/>
            <w:r/>
            <w:r>
              <w:rPr>
                <w:rFonts w:ascii="Calibri" w:hAnsi="Calibri"/>
              </w:rPr>
              <w:t>Non-member all-in ~$1.18/side including surcharges</w:t>
            </w:r>
          </w:p>
        </w:tc>
      </w:tr>
      <w:tr>
        <w:tc>
          <w:tcPr>
            <w:tcW w:type="dxa" w:w="2160"/>
          </w:tcPr>
          <w:p>
            <w:pPr/>
            <w:r/>
            <w:r>
              <w:rPr>
                <w:rFonts w:ascii="Calibri" w:hAnsi="Calibri"/>
                <w:b/>
              </w:rPr>
              <w:t>Interest Rates</w:t>
            </w:r>
          </w:p>
        </w:tc>
        <w:tc>
          <w:tcPr>
            <w:tcW w:type="dxa" w:w="2160"/>
          </w:tcPr>
          <w:p>
            <w:pPr/>
            <w:r/>
            <w:r>
              <w:rPr>
                <w:rFonts w:ascii="Calibri" w:hAnsi="Calibri"/>
              </w:rPr>
              <w:t>Treasury Futures, SOFR</w:t>
            </w:r>
          </w:p>
        </w:tc>
        <w:tc>
          <w:tcPr>
            <w:tcW w:type="dxa" w:w="2160"/>
          </w:tcPr>
          <w:p>
            <w:pPr/>
            <w:r/>
            <w:r>
              <w:rPr>
                <w:rFonts w:ascii="Calibri" w:hAnsi="Calibri"/>
              </w:rPr>
              <w:t>Varies; volume incentive programs available</w:t>
            </w:r>
          </w:p>
        </w:tc>
        <w:tc>
          <w:tcPr>
            <w:tcW w:type="dxa" w:w="2160"/>
          </w:tcPr>
          <w:p>
            <w:pPr/>
            <w:r/>
            <w:r>
              <w:rPr>
                <w:rFonts w:ascii="Calibri" w:hAnsi="Calibri"/>
              </w:rPr>
              <w:t>Aggregate volume-based incentives across IR products</w:t>
            </w:r>
          </w:p>
        </w:tc>
      </w:tr>
      <w:tr>
        <w:tc>
          <w:tcPr>
            <w:tcW w:type="dxa" w:w="2160"/>
          </w:tcPr>
          <w:p>
            <w:pPr/>
            <w:r/>
            <w:r>
              <w:rPr>
                <w:rFonts w:ascii="Calibri" w:hAnsi="Calibri"/>
                <w:b/>
              </w:rPr>
              <w:t>Energy</w:t>
            </w:r>
          </w:p>
        </w:tc>
        <w:tc>
          <w:tcPr>
            <w:tcW w:type="dxa" w:w="2160"/>
          </w:tcPr>
          <w:p>
            <w:pPr/>
            <w:r/>
            <w:r>
              <w:rPr>
                <w:rFonts w:ascii="Calibri" w:hAnsi="Calibri"/>
              </w:rPr>
              <w:t>WTI Crude Oil, Natural Gas</w:t>
            </w:r>
          </w:p>
        </w:tc>
        <w:tc>
          <w:tcPr>
            <w:tcW w:type="dxa" w:w="2160"/>
          </w:tcPr>
          <w:p>
            <w:pPr/>
            <w:r/>
            <w:r>
              <w:rPr>
                <w:rFonts w:ascii="Calibri" w:hAnsi="Calibri"/>
              </w:rPr>
              <w:t>Product-specific; member discounts apply</w:t>
            </w:r>
          </w:p>
        </w:tc>
        <w:tc>
          <w:tcPr>
            <w:tcW w:type="dxa" w:w="2160"/>
          </w:tcPr>
          <w:p>
            <w:pPr/>
            <w:r/>
            <w:r>
              <w:rPr>
                <w:rFonts w:ascii="Calibri" w:hAnsi="Calibri"/>
              </w:rPr>
              <w:t>NYMEX division fees</w:t>
            </w:r>
          </w:p>
        </w:tc>
      </w:tr>
      <w:tr>
        <w:tc>
          <w:tcPr>
            <w:tcW w:type="dxa" w:w="2160"/>
          </w:tcPr>
          <w:p>
            <w:pPr/>
            <w:r/>
            <w:r>
              <w:rPr>
                <w:rFonts w:ascii="Calibri" w:hAnsi="Calibri"/>
                <w:b/>
              </w:rPr>
              <w:t>Metals</w:t>
            </w:r>
          </w:p>
        </w:tc>
        <w:tc>
          <w:tcPr>
            <w:tcW w:type="dxa" w:w="2160"/>
          </w:tcPr>
          <w:p>
            <w:pPr/>
            <w:r/>
            <w:r>
              <w:rPr>
                <w:rFonts w:ascii="Calibri" w:hAnsi="Calibri"/>
              </w:rPr>
              <w:t>Gold, Silver, Copper</w:t>
            </w:r>
          </w:p>
        </w:tc>
        <w:tc>
          <w:tcPr>
            <w:tcW w:type="dxa" w:w="2160"/>
          </w:tcPr>
          <w:p>
            <w:pPr/>
            <w:r/>
            <w:r>
              <w:rPr>
                <w:rFonts w:ascii="Calibri" w:hAnsi="Calibri"/>
              </w:rPr>
              <w:t>Product-specific; member discounts apply</w:t>
            </w:r>
          </w:p>
        </w:tc>
        <w:tc>
          <w:tcPr>
            <w:tcW w:type="dxa" w:w="2160"/>
          </w:tcPr>
          <w:p>
            <w:pPr/>
            <w:r/>
            <w:r>
              <w:rPr>
                <w:rFonts w:ascii="Calibri" w:hAnsi="Calibri"/>
              </w:rPr>
              <w:t>COMEX division fees</w:t>
            </w:r>
          </w:p>
        </w:tc>
      </w:tr>
      <w:tr>
        <w:tc>
          <w:tcPr>
            <w:tcW w:type="dxa" w:w="2160"/>
          </w:tcPr>
          <w:p>
            <w:pPr/>
            <w:r/>
            <w:r>
              <w:rPr>
                <w:rFonts w:ascii="Calibri" w:hAnsi="Calibri"/>
                <w:b/>
              </w:rPr>
              <w:t>Agricultural</w:t>
            </w:r>
          </w:p>
        </w:tc>
        <w:tc>
          <w:tcPr>
            <w:tcW w:type="dxa" w:w="2160"/>
          </w:tcPr>
          <w:p>
            <w:pPr/>
            <w:r/>
            <w:r>
              <w:rPr>
                <w:rFonts w:ascii="Calibri" w:hAnsi="Calibri"/>
              </w:rPr>
              <w:t>Corn, Soybeans, Wheat</w:t>
            </w:r>
          </w:p>
        </w:tc>
        <w:tc>
          <w:tcPr>
            <w:tcW w:type="dxa" w:w="2160"/>
          </w:tcPr>
          <w:p>
            <w:pPr/>
            <w:r/>
            <w:r>
              <w:rPr>
                <w:rFonts w:ascii="Calibri" w:hAnsi="Calibri"/>
              </w:rPr>
              <w:t>Product-specific; member discounts apply</w:t>
            </w:r>
          </w:p>
        </w:tc>
        <w:tc>
          <w:tcPr>
            <w:tcW w:type="dxa" w:w="2160"/>
          </w:tcPr>
          <w:p>
            <w:pPr/>
            <w:r/>
            <w:r>
              <w:rPr>
                <w:rFonts w:ascii="Calibri" w:hAnsi="Calibri"/>
              </w:rPr>
              <w:t>CBOT division fees</w:t>
            </w:r>
          </w:p>
        </w:tc>
      </w:tr>
      <w:tr>
        <w:tc>
          <w:tcPr>
            <w:tcW w:type="dxa" w:w="2160"/>
          </w:tcPr>
          <w:p>
            <w:pPr/>
            <w:r/>
            <w:r>
              <w:rPr>
                <w:rFonts w:ascii="Calibri" w:hAnsi="Calibri"/>
                <w:b/>
              </w:rPr>
              <w:t>OTC IRS</w:t>
            </w:r>
          </w:p>
        </w:tc>
        <w:tc>
          <w:tcPr>
            <w:tcW w:type="dxa" w:w="2160"/>
          </w:tcPr>
          <w:p>
            <w:pPr/>
            <w:r/>
            <w:r>
              <w:rPr>
                <w:rFonts w:ascii="Calibri" w:hAnsi="Calibri"/>
              </w:rPr>
              <w:t>SOFR Swaps</w:t>
            </w:r>
          </w:p>
        </w:tc>
        <w:tc>
          <w:tcPr>
            <w:tcW w:type="dxa" w:w="2160"/>
          </w:tcPr>
          <w:p>
            <w:pPr/>
            <w:r/>
            <w:r>
              <w:rPr>
                <w:rFonts w:ascii="Calibri" w:hAnsi="Calibri"/>
              </w:rPr>
              <w:t>Varies by notional and tenor</w:t>
            </w:r>
          </w:p>
        </w:tc>
        <w:tc>
          <w:tcPr>
            <w:tcW w:type="dxa" w:w="2160"/>
          </w:tcPr>
          <w:p>
            <w:pPr/>
            <w:r/>
            <w:r>
              <w:rPr>
                <w:rFonts w:ascii="Calibri" w:hAnsi="Calibri"/>
              </w:rPr>
              <w:t>Client fee schedules available (</w:t>
            </w:r>
            <w:r>
              <w:rPr>
                <w:rFonts w:ascii="Calibri" w:hAnsi="Calibri"/>
                <w:color w:val="0563C1"/>
                <w:u w:val="single"/>
              </w:rPr>
              <w:t>CME OTC IRS Fees</w:t>
            </w:r>
            <w:r>
              <w:rPr>
                <w:rFonts w:ascii="Calibri" w:hAnsi="Calibri"/>
              </w:rPr>
              <w:t>)</w:t>
            </w:r>
          </w:p>
        </w:tc>
      </w:tr>
      <w:tr>
        <w:tc>
          <w:tcPr>
            <w:tcW w:type="dxa" w:w="2160"/>
          </w:tcPr>
          <w:p>
            <w:pPr/>
            <w:r/>
            <w:r>
              <w:rPr>
                <w:rFonts w:ascii="Calibri" w:hAnsi="Calibri"/>
                <w:b/>
              </w:rPr>
              <w:t>Cryptocurrency</w:t>
            </w:r>
          </w:p>
        </w:tc>
        <w:tc>
          <w:tcPr>
            <w:tcW w:type="dxa" w:w="2160"/>
          </w:tcPr>
          <w:p>
            <w:pPr/>
            <w:r/>
            <w:r>
              <w:rPr>
                <w:rFonts w:ascii="Calibri" w:hAnsi="Calibri"/>
              </w:rPr>
              <w:t>Bitcoin, Ether Futures</w:t>
            </w:r>
          </w:p>
        </w:tc>
        <w:tc>
          <w:tcPr>
            <w:tcW w:type="dxa" w:w="2160"/>
          </w:tcPr>
          <w:p>
            <w:pPr/>
            <w:r/>
            <w:r>
              <w:rPr>
                <w:rFonts w:ascii="Calibri" w:hAnsi="Calibri"/>
              </w:rPr>
              <w:t>Product-specific</w:t>
            </w:r>
          </w:p>
        </w:tc>
        <w:tc>
          <w:tcPr>
            <w:tcW w:type="dxa" w:w="2160"/>
          </w:tcPr>
          <w:p>
            <w:pPr/>
            <w:r/>
            <w:r>
              <w:rPr>
                <w:rFonts w:ascii="Calibri" w:hAnsi="Calibri"/>
              </w:rPr>
              <w:t>24/7 trading supported (from May 2026)</w:t>
            </w:r>
          </w:p>
        </w:tc>
      </w:tr>
    </w:tbl>
    <w:p/>
    <w:p>
      <w:pPr>
        <w:pStyle w:val="Heading3"/>
      </w:pPr>
      <w:r>
        <w:rPr>
          <w:rFonts w:ascii="Calibri" w:hAnsi="Calibri"/>
        </w:rPr>
        <w:t>8.3 Membership / Seat Costs</w:t>
      </w:r>
    </w:p>
    <w:p>
      <w:r>
        <w:rPr>
          <w:rFonts w:ascii="Calibri" w:hAnsi="Calibri"/>
        </w:rPr>
        <w:t>CME Group memberships (seats) can be purchased or leased. Holding a seat provides reduced exchange fees: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Membership Type</w:t>
            </w:r>
          </w:p>
        </w:tc>
        <w:tc>
          <w:tcPr>
            <w:tcW w:type="dxa" w:w="2880"/>
            <w:shd w:fill="4472C4" w:val="clear"/>
          </w:tcPr>
          <w:p>
            <w:pPr/>
            <w:r>
              <w:rPr>
                <w:b/>
                <w:color w:val="FFFFFF"/>
              </w:rPr>
            </w:r>
            <w:r>
              <w:rPr>
                <w:rFonts w:ascii="Calibri" w:hAnsi="Calibri"/>
                <w:b/>
                <w:color w:val="FFFFFF"/>
              </w:rPr>
              <w:t>Trading Rights</w:t>
            </w:r>
          </w:p>
        </w:tc>
        <w:tc>
          <w:tcPr>
            <w:tcW w:type="dxa" w:w="2880"/>
            <w:shd w:fill="4472C4" w:val="clear"/>
          </w:tcPr>
          <w:p>
            <w:pPr/>
            <w:r>
              <w:rPr>
                <w:b/>
                <w:color w:val="FFFFFF"/>
              </w:rPr>
            </w:r>
            <w:r>
              <w:rPr>
                <w:rFonts w:ascii="Calibri" w:hAnsi="Calibri"/>
                <w:b/>
                <w:color w:val="FFFFFF"/>
              </w:rPr>
              <w:t>Impact on Fees</w:t>
            </w:r>
          </w:p>
        </w:tc>
      </w:tr>
      <w:tr>
        <w:tc>
          <w:tcPr>
            <w:tcW w:type="dxa" w:w="2880"/>
          </w:tcPr>
          <w:p>
            <w:pPr/>
            <w:r/>
            <w:r>
              <w:rPr>
                <w:rFonts w:ascii="Calibri" w:hAnsi="Calibri"/>
              </w:rPr>
              <w:t>CME (Full)</w:t>
            </w:r>
          </w:p>
        </w:tc>
        <w:tc>
          <w:tcPr>
            <w:tcW w:type="dxa" w:w="2880"/>
          </w:tcPr>
          <w:p>
            <w:pPr/>
            <w:r/>
            <w:r>
              <w:rPr>
                <w:rFonts w:ascii="Calibri" w:hAnsi="Calibri"/>
              </w:rPr>
              <w:t>All CME-listed products</w:t>
            </w:r>
          </w:p>
        </w:tc>
        <w:tc>
          <w:tcPr>
            <w:tcW w:type="dxa" w:w="2880"/>
          </w:tcPr>
          <w:p>
            <w:pPr/>
            <w:r/>
            <w:r>
              <w:rPr>
                <w:rFonts w:ascii="Calibri" w:hAnsi="Calibri"/>
              </w:rPr>
              <w:t>Lowest fee tier for CME products</w:t>
            </w:r>
          </w:p>
        </w:tc>
      </w:tr>
      <w:tr>
        <w:tc>
          <w:tcPr>
            <w:tcW w:type="dxa" w:w="2880"/>
          </w:tcPr>
          <w:p>
            <w:pPr/>
            <w:r/>
            <w:r>
              <w:rPr>
                <w:rFonts w:ascii="Calibri" w:hAnsi="Calibri"/>
              </w:rPr>
              <w:t>CBOT (Full)</w:t>
            </w:r>
          </w:p>
        </w:tc>
        <w:tc>
          <w:tcPr>
            <w:tcW w:type="dxa" w:w="2880"/>
          </w:tcPr>
          <w:p>
            <w:pPr/>
            <w:r/>
            <w:r>
              <w:rPr>
                <w:rFonts w:ascii="Calibri" w:hAnsi="Calibri"/>
              </w:rPr>
              <w:t>All CBOT-listed products</w:t>
            </w:r>
          </w:p>
        </w:tc>
        <w:tc>
          <w:tcPr>
            <w:tcW w:type="dxa" w:w="2880"/>
          </w:tcPr>
          <w:p>
            <w:pPr/>
            <w:r/>
            <w:r>
              <w:rPr>
                <w:rFonts w:ascii="Calibri" w:hAnsi="Calibri"/>
              </w:rPr>
              <w:t>Lowest fee tier for CBOT products</w:t>
            </w:r>
          </w:p>
        </w:tc>
      </w:tr>
      <w:tr>
        <w:tc>
          <w:tcPr>
            <w:tcW w:type="dxa" w:w="2880"/>
          </w:tcPr>
          <w:p>
            <w:pPr/>
            <w:r/>
            <w:r>
              <w:rPr>
                <w:rFonts w:ascii="Calibri" w:hAnsi="Calibri"/>
              </w:rPr>
              <w:t>NYMEX</w:t>
            </w:r>
          </w:p>
        </w:tc>
        <w:tc>
          <w:tcPr>
            <w:tcW w:type="dxa" w:w="2880"/>
          </w:tcPr>
          <w:p>
            <w:pPr/>
            <w:r/>
            <w:r>
              <w:rPr>
                <w:rFonts w:ascii="Calibri" w:hAnsi="Calibri"/>
              </w:rPr>
              <w:t>All NYMEX-listed products</w:t>
            </w:r>
          </w:p>
        </w:tc>
        <w:tc>
          <w:tcPr>
            <w:tcW w:type="dxa" w:w="2880"/>
          </w:tcPr>
          <w:p>
            <w:pPr/>
            <w:r/>
            <w:r>
              <w:rPr>
                <w:rFonts w:ascii="Calibri" w:hAnsi="Calibri"/>
              </w:rPr>
              <w:t>Lowest fee tier for NYMEX products</w:t>
            </w:r>
          </w:p>
        </w:tc>
      </w:tr>
      <w:tr>
        <w:tc>
          <w:tcPr>
            <w:tcW w:type="dxa" w:w="2880"/>
          </w:tcPr>
          <w:p>
            <w:pPr/>
            <w:r/>
            <w:r>
              <w:rPr>
                <w:rFonts w:ascii="Calibri" w:hAnsi="Calibri"/>
              </w:rPr>
              <w:t>COMEX</w:t>
            </w:r>
          </w:p>
        </w:tc>
        <w:tc>
          <w:tcPr>
            <w:tcW w:type="dxa" w:w="2880"/>
          </w:tcPr>
          <w:p>
            <w:pPr/>
            <w:r/>
            <w:r>
              <w:rPr>
                <w:rFonts w:ascii="Calibri" w:hAnsi="Calibri"/>
              </w:rPr>
              <w:t>All COMEX-listed products</w:t>
            </w:r>
          </w:p>
        </w:tc>
        <w:tc>
          <w:tcPr>
            <w:tcW w:type="dxa" w:w="2880"/>
          </w:tcPr>
          <w:p>
            <w:pPr/>
            <w:r/>
            <w:r>
              <w:rPr>
                <w:rFonts w:ascii="Calibri" w:hAnsi="Calibri"/>
              </w:rPr>
              <w:t>Lowest fee tier for COMEX products</w:t>
            </w:r>
          </w:p>
        </w:tc>
      </w:tr>
    </w:tbl>
    <w:p/>
    <w:p>
      <w:r>
        <w:rPr>
          <w:rFonts w:ascii="Calibri" w:hAnsi="Calibri"/>
        </w:rPr>
        <w:t>Seat prices fluctuate based on market conditions. Leasing is an alternative to outright purchase.</w:t>
      </w:r>
    </w:p>
    <w:p>
      <w:pPr>
        <w:pStyle w:val="Heading3"/>
      </w:pPr>
      <w:r>
        <w:rPr>
          <w:rFonts w:ascii="Calibri" w:hAnsi="Calibri"/>
        </w:rPr>
        <w:t>8.4 Volume Incentive Programs</w:t>
      </w:r>
    </w:p>
    <w:p>
      <w:r>
        <w:rPr>
          <w:rFonts w:ascii="Calibri" w:hAnsi="Calibri"/>
        </w:rPr>
        <w:t>CME Group offers various volume-based incentive programs that reduce effective per-contract costs:</w:t>
      </w:r>
    </w:p>
    <w:p>
      <w:pPr>
        <w:pStyle w:val="ListBullet"/>
      </w:pPr>
      <w:r>
        <w:rPr>
          <w:rFonts w:ascii="Calibri" w:hAnsi="Calibri"/>
          <w:b/>
        </w:rPr>
        <w:t>Interest Rate Product Incentives</w:t>
      </w:r>
      <w:r>
        <w:rPr>
          <w:rFonts w:ascii="Calibri" w:hAnsi="Calibri"/>
        </w:rPr>
        <w:t xml:space="preserve"> -- aggregate volume-based incentives across multiple IR products (expanded August 2025)</w:t>
      </w:r>
    </w:p>
    <w:p>
      <w:pPr>
        <w:pStyle w:val="ListBullet"/>
      </w:pPr>
      <w:r>
        <w:rPr>
          <w:rFonts w:ascii="Calibri" w:hAnsi="Calibri"/>
          <w:b/>
        </w:rPr>
        <w:t>FX Volume Incentives</w:t>
      </w:r>
      <w:r>
        <w:rPr>
          <w:rFonts w:ascii="Calibri" w:hAnsi="Calibri"/>
        </w:rPr>
        <w:t xml:space="preserve"> -- modified volume thresholds (effective August 2025); reduced EFP/block surcharge (effective July 2025)</w:t>
      </w:r>
    </w:p>
    <w:p>
      <w:pPr>
        <w:pStyle w:val="ListBullet"/>
      </w:pPr>
      <w:r>
        <w:rPr>
          <w:rFonts w:ascii="Calibri" w:hAnsi="Calibri"/>
          <w:b/>
        </w:rPr>
        <w:t>Market Maker Programs</w:t>
      </w:r>
      <w:r>
        <w:rPr>
          <w:rFonts w:ascii="Calibri" w:hAnsi="Calibri"/>
        </w:rPr>
        <w:t xml:space="preserve"> -- reduced fees for registered market makers</w:t>
      </w:r>
    </w:p>
    <w:p>
      <w:r>
        <w:rPr>
          <w:rFonts w:ascii="Calibri" w:hAnsi="Calibri"/>
        </w:rPr>
        <w:t xml:space="preserve">Source: </w:t>
      </w:r>
      <w:r>
        <w:rPr>
          <w:rFonts w:ascii="Calibri" w:hAnsi="Calibri"/>
          <w:color w:val="0563C1"/>
          <w:u w:val="single"/>
        </w:rPr>
        <w:t>Exchange Fees for Clearing &amp; Trading</w:t>
      </w:r>
      <w:r>
        <w:rPr>
          <w:rFonts w:ascii="Calibri" w:hAnsi="Calibri"/>
        </w:rPr>
        <w:t xml:space="preserve">; </w:t>
      </w:r>
      <w:r>
        <w:rPr>
          <w:rFonts w:ascii="Calibri" w:hAnsi="Calibri"/>
          <w:color w:val="0563C1"/>
          <w:u w:val="single"/>
        </w:rPr>
        <w:t>CME Fee Schedule, February 2025</w:t>
      </w:r>
    </w:p>
    <w:p>
      <w:pPr>
        <w:pBdr>
          <w:bottom w:val="single" w:sz="4" w:space="1" w:color="auto"/>
        </w:pBdr>
      </w:pPr>
    </w:p>
    <w:p>
      <w:pPr>
        <w:pStyle w:val="Heading2"/>
      </w:pPr>
      <w:r>
        <w:rPr>
          <w:rFonts w:ascii="Calibri" w:hAnsi="Calibri"/>
        </w:rPr>
        <w:t>9. Recent Developments</w:t>
      </w:r>
    </w:p>
    <w:p>
      <w:pPr>
        <w:pStyle w:val="Heading3"/>
      </w:pPr>
      <w:r>
        <w:rPr>
          <w:rFonts w:ascii="Calibri" w:hAnsi="Calibri"/>
        </w:rPr>
        <w:t>9.1 SPAN 2 Rollout (2023-2025)</w:t>
      </w:r>
    </w:p>
    <w:p>
      <w:r>
        <w:rPr>
          <w:rFonts w:ascii="Calibri" w:hAnsi="Calibri"/>
        </w:rPr>
        <w:t>The next-generation SPAN 2 margin framework has been rolling out in a phased, multi-year approach:</w:t>
      </w:r>
    </w:p>
    <w:p>
      <w:pPr>
        <w:pStyle w:val="ListBullet"/>
      </w:pPr>
      <w:r>
        <w:rPr>
          <w:rFonts w:ascii="Calibri" w:hAnsi="Calibri"/>
          <w:b/>
        </w:rPr>
        <w:t>Energy products</w:t>
      </w:r>
      <w:r>
        <w:rPr>
          <w:rFonts w:ascii="Calibri" w:hAnsi="Calibri"/>
        </w:rPr>
        <w:t xml:space="preserve"> went live September 2023</w:t>
      </w:r>
    </w:p>
    <w:p>
      <w:pPr>
        <w:pStyle w:val="ListBullet"/>
      </w:pPr>
      <w:r>
        <w:rPr>
          <w:rFonts w:ascii="Calibri" w:hAnsi="Calibri"/>
          <w:b/>
        </w:rPr>
        <w:t>Equity products</w:t>
      </w:r>
      <w:r>
        <w:rPr>
          <w:rFonts w:ascii="Calibri" w:hAnsi="Calibri"/>
        </w:rPr>
        <w:t xml:space="preserve"> went live October/November 2024</w:t>
      </w:r>
    </w:p>
    <w:p>
      <w:pPr>
        <w:pStyle w:val="ListBullet"/>
      </w:pPr>
      <w:r>
        <w:rPr>
          <w:rFonts w:ascii="Calibri" w:hAnsi="Calibri"/>
          <w:b/>
        </w:rPr>
        <w:t>Interest rate and FX products</w:t>
      </w:r>
      <w:r>
        <w:rPr>
          <w:rFonts w:ascii="Calibri" w:hAnsi="Calibri"/>
        </w:rPr>
        <w:t xml:space="preserve"> (including cleared swaps) targeted for second half of 2024</w:t>
      </w:r>
    </w:p>
    <w:p>
      <w:pPr>
        <w:pStyle w:val="ListBullet"/>
      </w:pPr>
      <w:r>
        <w:rPr>
          <w:rFonts w:ascii="Calibri" w:hAnsi="Calibri"/>
          <w:b/>
        </w:rPr>
        <w:t>Agricultural and remaining products</w:t>
      </w:r>
      <w:r>
        <w:rPr>
          <w:rFonts w:ascii="Calibri" w:hAnsi="Calibri"/>
        </w:rPr>
        <w:t xml:space="preserve"> targeted for second half of 2025</w:t>
      </w:r>
    </w:p>
    <w:p>
      <w:pPr>
        <w:pStyle w:val="ListBullet"/>
      </w:pPr>
      <w:r>
        <w:rPr>
          <w:rFonts w:ascii="Calibri" w:hAnsi="Calibri"/>
        </w:rPr>
        <w:t>Both SPAN and SPAN 2 run in parallel during the transition</w:t>
      </w:r>
    </w:p>
    <w:p>
      <w:r>
        <w:rPr>
          <w:rFonts w:ascii="Calibri" w:hAnsi="Calibri"/>
        </w:rPr>
        <w:t xml:space="preserve">Source: </w:t>
      </w:r>
      <w:r>
        <w:rPr>
          <w:rFonts w:ascii="Calibri" w:hAnsi="Calibri"/>
          <w:color w:val="0563C1"/>
          <w:u w:val="single"/>
        </w:rPr>
        <w:t>SPAN 2 Framework Rollout</w:t>
      </w:r>
    </w:p>
    <w:p>
      <w:pPr>
        <w:pStyle w:val="Heading3"/>
      </w:pPr>
      <w:r>
        <w:rPr>
          <w:rFonts w:ascii="Calibri" w:hAnsi="Calibri"/>
        </w:rPr>
        <w:t>9.2 Google Cloud Partnership</w:t>
      </w:r>
    </w:p>
    <w:p>
      <w:pPr>
        <w:pStyle w:val="ListBullet"/>
      </w:pPr>
      <w:r>
        <w:rPr>
          <w:rFonts w:ascii="Calibri" w:hAnsi="Calibri"/>
          <w:b/>
        </w:rPr>
        <w:t>June 2024:</w:t>
      </w:r>
      <w:r>
        <w:rPr>
          <w:rFonts w:ascii="Calibri" w:hAnsi="Calibri"/>
        </w:rPr>
        <w:t xml:space="preserve"> Announced new private Google Cloud region and co-location facility in Aurora, IL for ultra-low-latency trading infrastructure</w:t>
      </w:r>
    </w:p>
    <w:p>
      <w:pPr>
        <w:pStyle w:val="ListBullet"/>
      </w:pPr>
      <w:r>
        <w:rPr>
          <w:rFonts w:ascii="Calibri" w:hAnsi="Calibri"/>
          <w:b/>
        </w:rPr>
        <w:t>March 2025:</w:t>
      </w:r>
      <w:r>
        <w:rPr>
          <w:rFonts w:ascii="Calibri" w:hAnsi="Calibri"/>
        </w:rPr>
        <w:t xml:space="preserve"> Piloting tokenisation technology using Google Cloud Universal Ledger (GCUL) for wholesale payments and asset tokenisation; Phase 1 completed, Phase 2 (settlement) underway with 2026 target for market solutions</w:t>
      </w:r>
    </w:p>
    <w:p>
      <w:pPr>
        <w:pStyle w:val="ListBullet"/>
      </w:pPr>
      <w:r>
        <w:rPr>
          <w:rFonts w:ascii="Calibri" w:hAnsi="Calibri"/>
        </w:rPr>
        <w:t>Long-term: 10-year strategic partnership to migrate all CME Group technology to Google Cloud</w:t>
      </w:r>
    </w:p>
    <w:p>
      <w:pPr>
        <w:pStyle w:val="Heading3"/>
      </w:pPr>
      <w:r>
        <w:rPr>
          <w:rFonts w:ascii="Calibri" w:hAnsi="Calibri"/>
        </w:rPr>
        <w:t>9.3 CME Securities Clearing &amp; Treasury Clearing</w:t>
      </w:r>
    </w:p>
    <w:p>
      <w:pPr>
        <w:pStyle w:val="ListBullet"/>
      </w:pPr>
      <w:r>
        <w:rPr>
          <w:rFonts w:ascii="Calibri" w:hAnsi="Calibri"/>
          <w:b/>
        </w:rPr>
        <w:t>December 2025:</w:t>
      </w:r>
      <w:r>
        <w:rPr>
          <w:rFonts w:ascii="Calibri" w:hAnsi="Calibri"/>
        </w:rPr>
        <w:t xml:space="preserve"> SEC approved registration of </w:t>
      </w:r>
      <w:r>
        <w:rPr>
          <w:rFonts w:ascii="Calibri" w:hAnsi="Calibri"/>
          <w:b/>
        </w:rPr>
        <w:t>CME Securities Clearing Inc.</w:t>
      </w:r>
      <w:r>
        <w:rPr>
          <w:rFonts w:ascii="Calibri" w:hAnsi="Calibri"/>
        </w:rPr>
        <w:t xml:space="preserve"> as a clearing agency for U.S. Treasury cash and repo securities</w:t>
      </w:r>
    </w:p>
    <w:p>
      <w:pPr>
        <w:pStyle w:val="ListBullet"/>
      </w:pPr>
      <w:r>
        <w:rPr>
          <w:rFonts w:ascii="Calibri" w:hAnsi="Calibri"/>
          <w:b/>
        </w:rPr>
        <w:t>Q2 2026:</w:t>
      </w:r>
      <w:r>
        <w:rPr>
          <w:rFonts w:ascii="Calibri" w:hAnsi="Calibri"/>
        </w:rPr>
        <w:t xml:space="preserve"> Target launch for CME Securities Clearing operations</w:t>
      </w:r>
    </w:p>
    <w:p>
      <w:pPr>
        <w:pStyle w:val="ListBullet"/>
      </w:pPr>
      <w:r>
        <w:rPr>
          <w:rFonts w:ascii="Calibri" w:hAnsi="Calibri"/>
        </w:rPr>
        <w:t xml:space="preserve">This positions CME as a </w:t>
      </w:r>
      <w:r>
        <w:rPr>
          <w:rFonts w:ascii="Calibri" w:hAnsi="Calibri"/>
          <w:b/>
        </w:rPr>
        <w:t>direct competitor to FICC (DTCC)</w:t>
      </w:r>
      <w:r>
        <w:rPr>
          <w:rFonts w:ascii="Calibri" w:hAnsi="Calibri"/>
        </w:rPr>
        <w:t xml:space="preserve"> in the U.S. Treasury clearing space, in advance of the SEC's clearing mandate:</w:t>
      </w:r>
    </w:p>
    <w:p>
      <w:pPr>
        <w:pStyle w:val="ListBullet"/>
      </w:pPr>
      <w:r>
        <w:rPr>
          <w:rFonts w:ascii="Calibri" w:hAnsi="Calibri"/>
        </w:rPr>
        <w:t xml:space="preserve">Cash Treasury transactions: clearing mandate effective </w:t>
      </w:r>
      <w:r>
        <w:rPr>
          <w:rFonts w:ascii="Calibri" w:hAnsi="Calibri"/>
          <w:b/>
        </w:rPr>
        <w:t>December 31, 2026</w:t>
      </w:r>
    </w:p>
    <w:p>
      <w:pPr>
        <w:pStyle w:val="ListBullet"/>
      </w:pPr>
      <w:r>
        <w:rPr>
          <w:rFonts w:ascii="Calibri" w:hAnsi="Calibri"/>
        </w:rPr>
        <w:t xml:space="preserve">Repo transactions: clearing mandate effective </w:t>
      </w:r>
      <w:r>
        <w:rPr>
          <w:rFonts w:ascii="Calibri" w:hAnsi="Calibri"/>
          <w:b/>
        </w:rPr>
        <w:t>June 30, 2027</w:t>
      </w:r>
    </w:p>
    <w:p>
      <w:pPr>
        <w:pStyle w:val="ListBullet"/>
      </w:pPr>
      <w:r>
        <w:rPr>
          <w:rFonts w:ascii="Calibri" w:hAnsi="Calibri"/>
        </w:rPr>
        <w:t>CME Securities Clearing will integrate with existing CME Group clearing services and extend cross-margining with FICC</w:t>
      </w:r>
    </w:p>
    <w:p>
      <w:r>
        <w:rPr>
          <w:rFonts w:ascii="Calibri" w:hAnsi="Calibri"/>
        </w:rPr>
        <w:t xml:space="preserve">Source: </w:t>
      </w:r>
      <w:r>
        <w:rPr>
          <w:rFonts w:ascii="Calibri" w:hAnsi="Calibri"/>
          <w:color w:val="0563C1"/>
          <w:u w:val="single"/>
        </w:rPr>
        <w:t>CME Securities Clearing</w:t>
      </w:r>
      <w:r>
        <w:rPr>
          <w:rFonts w:ascii="Calibri" w:hAnsi="Calibri"/>
        </w:rPr>
        <w:t xml:space="preserve">; </w:t>
      </w:r>
      <w:r>
        <w:rPr>
          <w:rFonts w:ascii="Calibri" w:hAnsi="Calibri"/>
          <w:color w:val="0563C1"/>
          <w:u w:val="single"/>
        </w:rPr>
        <w:t>CME Press Release, December 2025</w:t>
      </w:r>
    </w:p>
    <w:p>
      <w:pPr>
        <w:pStyle w:val="Heading3"/>
      </w:pPr>
      <w:r>
        <w:rPr>
          <w:rFonts w:ascii="Calibri" w:hAnsi="Calibri"/>
        </w:rPr>
        <w:t>9.4 Record Volumes (2024-2025)</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Metric</w:t>
            </w:r>
          </w:p>
        </w:tc>
        <w:tc>
          <w:tcPr>
            <w:tcW w:type="dxa" w:w="2160"/>
            <w:shd w:fill="4472C4" w:val="clear"/>
          </w:tcPr>
          <w:p>
            <w:pPr/>
            <w:r>
              <w:rPr>
                <w:b/>
                <w:color w:val="FFFFFF"/>
              </w:rPr>
            </w:r>
            <w:r>
              <w:rPr>
                <w:rFonts w:ascii="Calibri" w:hAnsi="Calibri"/>
                <w:b/>
                <w:color w:val="FFFFFF"/>
              </w:rPr>
              <w:t>2024</w:t>
            </w:r>
          </w:p>
        </w:tc>
        <w:tc>
          <w:tcPr>
            <w:tcW w:type="dxa" w:w="2160"/>
            <w:shd w:fill="4472C4" w:val="clear"/>
          </w:tcPr>
          <w:p>
            <w:pPr/>
            <w:r>
              <w:rPr>
                <w:b/>
                <w:color w:val="FFFFFF"/>
              </w:rPr>
            </w:r>
            <w:r>
              <w:rPr>
                <w:rFonts w:ascii="Calibri" w:hAnsi="Calibri"/>
                <w:b/>
                <w:color w:val="FFFFFF"/>
              </w:rPr>
              <w:t>2025</w:t>
            </w:r>
          </w:p>
        </w:tc>
        <w:tc>
          <w:tcPr>
            <w:tcW w:type="dxa" w:w="2160"/>
            <w:shd w:fill="4472C4" w:val="clear"/>
          </w:tcPr>
          <w:p>
            <w:pPr/>
            <w:r>
              <w:rPr>
                <w:b/>
                <w:color w:val="FFFFFF"/>
              </w:rPr>
            </w:r>
            <w:r>
              <w:rPr>
                <w:rFonts w:ascii="Calibri" w:hAnsi="Calibri"/>
                <w:b/>
                <w:color w:val="FFFFFF"/>
              </w:rPr>
              <w:t>Change</w:t>
            </w:r>
          </w:p>
        </w:tc>
      </w:tr>
      <w:tr>
        <w:tc>
          <w:tcPr>
            <w:tcW w:type="dxa" w:w="2160"/>
          </w:tcPr>
          <w:p>
            <w:pPr/>
            <w:r/>
            <w:r>
              <w:rPr>
                <w:rFonts w:ascii="Calibri" w:hAnsi="Calibri"/>
                <w:b/>
              </w:rPr>
              <w:t>Annual ADV</w:t>
            </w:r>
          </w:p>
        </w:tc>
        <w:tc>
          <w:tcPr>
            <w:tcW w:type="dxa" w:w="2160"/>
          </w:tcPr>
          <w:p>
            <w:pPr/>
            <w:r/>
            <w:r>
              <w:rPr>
                <w:rFonts w:ascii="Calibri" w:hAnsi="Calibri"/>
              </w:rPr>
              <w:t>26.5 million contracts</w:t>
            </w:r>
          </w:p>
        </w:tc>
        <w:tc>
          <w:tcPr>
            <w:tcW w:type="dxa" w:w="2160"/>
          </w:tcPr>
          <w:p>
            <w:pPr/>
            <w:r/>
            <w:r>
              <w:rPr>
                <w:rFonts w:ascii="Calibri" w:hAnsi="Calibri"/>
              </w:rPr>
              <w:t>28.1 million contracts</w:t>
            </w:r>
          </w:p>
        </w:tc>
        <w:tc>
          <w:tcPr>
            <w:tcW w:type="dxa" w:w="2160"/>
          </w:tcPr>
          <w:p>
            <w:pPr/>
            <w:r/>
            <w:r>
              <w:rPr>
                <w:rFonts w:ascii="Calibri" w:hAnsi="Calibri"/>
              </w:rPr>
              <w:t>+6%</w:t>
            </w:r>
          </w:p>
        </w:tc>
      </w:tr>
      <w:tr>
        <w:tc>
          <w:tcPr>
            <w:tcW w:type="dxa" w:w="2160"/>
          </w:tcPr>
          <w:p>
            <w:pPr/>
            <w:r/>
            <w:r>
              <w:rPr>
                <w:rFonts w:ascii="Calibri" w:hAnsi="Calibri"/>
                <w:b/>
              </w:rPr>
              <w:t>International ADV</w:t>
            </w:r>
          </w:p>
        </w:tc>
        <w:tc>
          <w:tcPr>
            <w:tcW w:type="dxa" w:w="2160"/>
          </w:tcPr>
          <w:p>
            <w:pPr/>
            <w:r/>
            <w:r>
              <w:rPr>
                <w:rFonts w:ascii="Calibri" w:hAnsi="Calibri"/>
              </w:rPr>
              <w:t>7.8 million contracts</w:t>
            </w:r>
          </w:p>
        </w:tc>
        <w:tc>
          <w:tcPr>
            <w:tcW w:type="dxa" w:w="2160"/>
          </w:tcPr>
          <w:p>
            <w:pPr/>
            <w:r/>
            <w:r>
              <w:rPr>
                <w:rFonts w:ascii="Calibri" w:hAnsi="Calibri"/>
              </w:rPr>
              <w:t>8.4 million contracts</w:t>
            </w:r>
          </w:p>
        </w:tc>
        <w:tc>
          <w:tcPr>
            <w:tcW w:type="dxa" w:w="2160"/>
          </w:tcPr>
          <w:p>
            <w:pPr/>
            <w:r/>
            <w:r>
              <w:rPr>
                <w:rFonts w:ascii="Calibri" w:hAnsi="Calibri"/>
              </w:rPr>
              <w:t>+8%</w:t>
            </w:r>
          </w:p>
        </w:tc>
      </w:tr>
      <w:tr>
        <w:tc>
          <w:tcPr>
            <w:tcW w:type="dxa" w:w="2160"/>
          </w:tcPr>
          <w:p>
            <w:pPr/>
            <w:r/>
            <w:r>
              <w:rPr>
                <w:rFonts w:ascii="Calibri" w:hAnsi="Calibri"/>
                <w:b/>
              </w:rPr>
              <w:t>Interest Rate ADV</w:t>
            </w:r>
          </w:p>
        </w:tc>
        <w:tc>
          <w:tcPr>
            <w:tcW w:type="dxa" w:w="2160"/>
          </w:tcPr>
          <w:p>
            <w:pPr/>
            <w:r/>
            <w:r>
              <w:rPr>
                <w:rFonts w:ascii="Calibri" w:hAnsi="Calibri"/>
              </w:rPr>
              <w:t>~13.7 million</w:t>
            </w:r>
          </w:p>
        </w:tc>
        <w:tc>
          <w:tcPr>
            <w:tcW w:type="dxa" w:w="2160"/>
          </w:tcPr>
          <w:p>
            <w:pPr/>
            <w:r/>
            <w:r>
              <w:rPr>
                <w:rFonts w:ascii="Calibri" w:hAnsi="Calibri"/>
              </w:rPr>
              <w:t>14.2 million (record)</w:t>
            </w:r>
          </w:p>
        </w:tc>
        <w:tc>
          <w:tcPr>
            <w:tcW w:type="dxa" w:w="2160"/>
          </w:tcPr>
          <w:p>
            <w:pPr/>
            <w:r/>
            <w:r>
              <w:rPr>
                <w:rFonts w:ascii="Calibri" w:hAnsi="Calibri"/>
              </w:rPr>
              <w:t>+4%</w:t>
            </w:r>
          </w:p>
        </w:tc>
      </w:tr>
      <w:tr>
        <w:tc>
          <w:tcPr>
            <w:tcW w:type="dxa" w:w="2160"/>
          </w:tcPr>
          <w:p>
            <w:pPr/>
            <w:r/>
            <w:r>
              <w:rPr>
                <w:rFonts w:ascii="Calibri" w:hAnsi="Calibri"/>
                <w:b/>
              </w:rPr>
              <w:t>Metals ADV</w:t>
            </w:r>
          </w:p>
        </w:tc>
        <w:tc>
          <w:tcPr>
            <w:tcW w:type="dxa" w:w="2160"/>
          </w:tcPr>
          <w:p>
            <w:pPr/>
            <w:r/>
            <w:r>
              <w:rPr>
                <w:rFonts w:ascii="Calibri" w:hAnsi="Calibri"/>
              </w:rPr>
              <w:t>--</w:t>
            </w:r>
          </w:p>
        </w:tc>
        <w:tc>
          <w:tcPr>
            <w:tcW w:type="dxa" w:w="2160"/>
          </w:tcPr>
          <w:p>
            <w:pPr/>
            <w:r/>
            <w:r>
              <w:rPr>
                <w:rFonts w:ascii="Calibri" w:hAnsi="Calibri"/>
              </w:rPr>
              <w:t>Record (up 34% YoY)</w:t>
            </w:r>
          </w:p>
        </w:tc>
        <w:tc>
          <w:tcPr>
            <w:tcW w:type="dxa" w:w="2160"/>
          </w:tcPr>
          <w:p>
            <w:pPr/>
            <w:r/>
            <w:r>
              <w:rPr>
                <w:rFonts w:ascii="Calibri" w:hAnsi="Calibri"/>
              </w:rPr>
              <w:t>+34%</w:t>
            </w:r>
          </w:p>
        </w:tc>
      </w:tr>
      <w:tr>
        <w:tc>
          <w:tcPr>
            <w:tcW w:type="dxa" w:w="2160"/>
          </w:tcPr>
          <w:p>
            <w:pPr/>
            <w:r/>
            <w:r>
              <w:rPr>
                <w:rFonts w:ascii="Calibri" w:hAnsi="Calibri"/>
                <w:b/>
              </w:rPr>
              <w:t>Agricultural ADV</w:t>
            </w:r>
          </w:p>
        </w:tc>
        <w:tc>
          <w:tcPr>
            <w:tcW w:type="dxa" w:w="2160"/>
          </w:tcPr>
          <w:p>
            <w:pPr/>
            <w:r/>
            <w:r>
              <w:rPr>
                <w:rFonts w:ascii="Calibri" w:hAnsi="Calibri"/>
              </w:rPr>
              <w:t>--</w:t>
            </w:r>
          </w:p>
        </w:tc>
        <w:tc>
          <w:tcPr>
            <w:tcW w:type="dxa" w:w="2160"/>
          </w:tcPr>
          <w:p>
            <w:pPr/>
            <w:r/>
            <w:r>
              <w:rPr>
                <w:rFonts w:ascii="Calibri" w:hAnsi="Calibri"/>
              </w:rPr>
              <w:t>Record (up 8% YoY)</w:t>
            </w:r>
          </w:p>
        </w:tc>
        <w:tc>
          <w:tcPr>
            <w:tcW w:type="dxa" w:w="2160"/>
          </w:tcPr>
          <w:p>
            <w:pPr/>
            <w:r/>
            <w:r>
              <w:rPr>
                <w:rFonts w:ascii="Calibri" w:hAnsi="Calibri"/>
              </w:rPr>
              <w:t>+8%</w:t>
            </w:r>
          </w:p>
        </w:tc>
      </w:tr>
      <w:tr>
        <w:tc>
          <w:tcPr>
            <w:tcW w:type="dxa" w:w="2160"/>
          </w:tcPr>
          <w:p>
            <w:pPr/>
            <w:r/>
            <w:r>
              <w:rPr>
                <w:rFonts w:ascii="Calibri" w:hAnsi="Calibri"/>
                <w:b/>
              </w:rPr>
              <w:t>Energy ADV</w:t>
            </w:r>
          </w:p>
        </w:tc>
        <w:tc>
          <w:tcPr>
            <w:tcW w:type="dxa" w:w="2160"/>
          </w:tcPr>
          <w:p>
            <w:pPr/>
            <w:r/>
            <w:r>
              <w:rPr>
                <w:rFonts w:ascii="Calibri" w:hAnsi="Calibri"/>
              </w:rPr>
              <w:t>--</w:t>
            </w:r>
          </w:p>
        </w:tc>
        <w:tc>
          <w:tcPr>
            <w:tcW w:type="dxa" w:w="2160"/>
          </w:tcPr>
          <w:p>
            <w:pPr/>
            <w:r/>
            <w:r>
              <w:rPr>
                <w:rFonts w:ascii="Calibri" w:hAnsi="Calibri"/>
              </w:rPr>
              <w:t>Record (up 8% YoY)</w:t>
            </w:r>
          </w:p>
        </w:tc>
        <w:tc>
          <w:tcPr>
            <w:tcW w:type="dxa" w:w="2160"/>
          </w:tcPr>
          <w:p>
            <w:pPr/>
            <w:r/>
            <w:r>
              <w:rPr>
                <w:rFonts w:ascii="Calibri" w:hAnsi="Calibri"/>
              </w:rPr>
              <w:t>+8%</w:t>
            </w:r>
          </w:p>
        </w:tc>
      </w:tr>
      <w:tr>
        <w:tc>
          <w:tcPr>
            <w:tcW w:type="dxa" w:w="2160"/>
          </w:tcPr>
          <w:p>
            <w:pPr/>
            <w:r/>
            <w:r>
              <w:rPr>
                <w:rFonts w:ascii="Calibri" w:hAnsi="Calibri"/>
                <w:b/>
              </w:rPr>
              <w:t>Q4 2025 ADV</w:t>
            </w:r>
          </w:p>
        </w:tc>
        <w:tc>
          <w:tcPr>
            <w:tcW w:type="dxa" w:w="2160"/>
          </w:tcPr>
          <w:p>
            <w:pPr/>
            <w:r/>
            <w:r>
              <w:rPr>
                <w:rFonts w:ascii="Calibri" w:hAnsi="Calibri"/>
              </w:rPr>
              <w:t>--</w:t>
            </w:r>
          </w:p>
        </w:tc>
        <w:tc>
          <w:tcPr>
            <w:tcW w:type="dxa" w:w="2160"/>
          </w:tcPr>
          <w:p>
            <w:pPr/>
            <w:r/>
            <w:r>
              <w:rPr>
                <w:rFonts w:ascii="Calibri" w:hAnsi="Calibri"/>
              </w:rPr>
              <w:t>27.4 million (record Q4)</w:t>
            </w:r>
          </w:p>
        </w:tc>
        <w:tc>
          <w:tcPr>
            <w:tcW w:type="dxa" w:w="2160"/>
          </w:tcPr>
          <w:p>
            <w:pPr/>
            <w:r/>
            <w:r>
              <w:rPr>
                <w:rFonts w:ascii="Calibri" w:hAnsi="Calibri"/>
              </w:rPr>
              <w:t>+7% YoY</w:t>
            </w:r>
          </w:p>
        </w:tc>
      </w:tr>
    </w:tbl>
    <w:p/>
    <w:p>
      <w:r>
        <w:rPr>
          <w:rFonts w:ascii="Calibri" w:hAnsi="Calibri"/>
        </w:rPr>
        <w:t>Volume growth was broad-based across all six asset classes in both years.</w:t>
      </w:r>
    </w:p>
    <w:p>
      <w:r>
        <w:rPr>
          <w:rFonts w:ascii="Calibri" w:hAnsi="Calibri"/>
        </w:rPr>
        <w:t xml:space="preserve">Source: </w:t>
      </w:r>
      <w:r>
        <w:rPr>
          <w:rFonts w:ascii="Calibri" w:hAnsi="Calibri"/>
          <w:color w:val="0563C1"/>
          <w:u w:val="single"/>
        </w:rPr>
        <w:t>CME 2024 ADV Press Release</w:t>
      </w:r>
      <w:r>
        <w:rPr>
          <w:rFonts w:ascii="Calibri" w:hAnsi="Calibri"/>
        </w:rPr>
        <w:t xml:space="preserve">; </w:t>
      </w:r>
      <w:r>
        <w:rPr>
          <w:rFonts w:ascii="Calibri" w:hAnsi="Calibri"/>
          <w:color w:val="0563C1"/>
          <w:u w:val="single"/>
        </w:rPr>
        <w:t>CME 2025 ADV Press Release</w:t>
      </w:r>
    </w:p>
    <w:p>
      <w:pPr>
        <w:pStyle w:val="Heading3"/>
      </w:pPr>
      <w:r>
        <w:rPr>
          <w:rFonts w:ascii="Calibri" w:hAnsi="Calibri"/>
        </w:rPr>
        <w:t>9.5 24/7 Trading Expansion</w:t>
      </w:r>
    </w:p>
    <w:p>
      <w:pPr>
        <w:pStyle w:val="ListBullet"/>
      </w:pPr>
      <w:r>
        <w:rPr>
          <w:rFonts w:ascii="Calibri" w:hAnsi="Calibri"/>
          <w:b/>
        </w:rPr>
        <w:t>May 2026:</w:t>
      </w:r>
      <w:r>
        <w:rPr>
          <w:rFonts w:ascii="Calibri" w:hAnsi="Calibri"/>
        </w:rPr>
        <w:t xml:space="preserve"> CME Group launching </w:t>
      </w:r>
      <w:r>
        <w:rPr>
          <w:rFonts w:ascii="Calibri" w:hAnsi="Calibri"/>
          <w:b/>
        </w:rPr>
        <w:t>24/7 trading</w:t>
      </w:r>
      <w:r>
        <w:rPr>
          <w:rFonts w:ascii="Calibri" w:hAnsi="Calibri"/>
        </w:rPr>
        <w:t xml:space="preserve"> for cryptocurrency futures and options (Bitcoin, Ether) on CME Globex, pending regulatory review</w:t>
      </w:r>
    </w:p>
    <w:p>
      <w:pPr>
        <w:pStyle w:val="ListBullet"/>
      </w:pPr>
      <w:r>
        <w:rPr>
          <w:rFonts w:ascii="Calibri" w:hAnsi="Calibri"/>
        </w:rPr>
        <w:t>Trading will be continuous with at least a 2-hour weekly maintenance window</w:t>
      </w:r>
    </w:p>
    <w:p>
      <w:pPr>
        <w:pStyle w:val="ListBullet"/>
      </w:pPr>
      <w:r>
        <w:rPr>
          <w:rFonts w:ascii="Calibri" w:hAnsi="Calibri"/>
        </w:rPr>
        <w:t>Weekend/holiday trades carry next business day trade date for clearing, settlement, and reporting</w:t>
      </w:r>
    </w:p>
    <w:p>
      <w:pPr>
        <w:pStyle w:val="ListBullet"/>
      </w:pPr>
      <w:r>
        <w:rPr>
          <w:rFonts w:ascii="Calibri" w:hAnsi="Calibri"/>
        </w:rPr>
        <w:t>This follows record crypto derivatives volumes: $3 trillion notional in 2025 and 2026 YTD ADV of 407,200 contracts (up 46% YoY)</w:t>
      </w:r>
    </w:p>
    <w:p>
      <w:r>
        <w:rPr>
          <w:rFonts w:ascii="Calibri" w:hAnsi="Calibri"/>
        </w:rPr>
        <w:t xml:space="preserve">Source: </w:t>
      </w:r>
      <w:r>
        <w:rPr>
          <w:rFonts w:ascii="Calibri" w:hAnsi="Calibri"/>
          <w:color w:val="0563C1"/>
          <w:u w:val="single"/>
        </w:rPr>
        <w:t>CME Press Release, October 2025</w:t>
      </w:r>
    </w:p>
    <w:p>
      <w:pPr>
        <w:pStyle w:val="Heading3"/>
      </w:pPr>
      <w:r>
        <w:rPr>
          <w:rFonts w:ascii="Calibri" w:hAnsi="Calibri"/>
        </w:rPr>
        <w:t>9.6 Financial Performance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Metric</w:t>
            </w:r>
          </w:p>
        </w:tc>
        <w:tc>
          <w:tcPr>
            <w:tcW w:type="dxa" w:w="2880"/>
            <w:shd w:fill="4472C4" w:val="clear"/>
          </w:tcPr>
          <w:p>
            <w:pPr/>
            <w:r>
              <w:rPr>
                <w:b/>
                <w:color w:val="FFFFFF"/>
              </w:rPr>
            </w:r>
            <w:r>
              <w:rPr>
                <w:rFonts w:ascii="Calibri" w:hAnsi="Calibri"/>
                <w:b/>
                <w:color w:val="FFFFFF"/>
              </w:rPr>
              <w:t>2024</w:t>
            </w:r>
          </w:p>
        </w:tc>
        <w:tc>
          <w:tcPr>
            <w:tcW w:type="dxa" w:w="2880"/>
            <w:shd w:fill="4472C4" w:val="clear"/>
          </w:tcPr>
          <w:p>
            <w:pPr/>
            <w:r>
              <w:rPr>
                <w:b/>
                <w:color w:val="FFFFFF"/>
              </w:rPr>
            </w:r>
            <w:r>
              <w:rPr>
                <w:rFonts w:ascii="Calibri" w:hAnsi="Calibri"/>
                <w:b/>
                <w:color w:val="FFFFFF"/>
              </w:rPr>
              <w:t>2025</w:t>
            </w:r>
          </w:p>
        </w:tc>
      </w:tr>
      <w:tr>
        <w:tc>
          <w:tcPr>
            <w:tcW w:type="dxa" w:w="2880"/>
          </w:tcPr>
          <w:p>
            <w:pPr/>
            <w:r/>
            <w:r>
              <w:rPr>
                <w:rFonts w:ascii="Calibri" w:hAnsi="Calibri"/>
                <w:b/>
              </w:rPr>
              <w:t>Total Revenue</w:t>
            </w:r>
          </w:p>
        </w:tc>
        <w:tc>
          <w:tcPr>
            <w:tcW w:type="dxa" w:w="2880"/>
          </w:tcPr>
          <w:p>
            <w:pPr/>
            <w:r/>
            <w:r>
              <w:rPr>
                <w:rFonts w:ascii="Calibri" w:hAnsi="Calibri"/>
              </w:rPr>
              <w:t>$6.1 billion</w:t>
            </w:r>
          </w:p>
        </w:tc>
        <w:tc>
          <w:tcPr>
            <w:tcW w:type="dxa" w:w="2880"/>
          </w:tcPr>
          <w:p>
            <w:pPr/>
            <w:r/>
            <w:r>
              <w:rPr>
                <w:rFonts w:ascii="Calibri" w:hAnsi="Calibri"/>
              </w:rPr>
              <w:t>$6.5 billion</w:t>
            </w:r>
          </w:p>
        </w:tc>
      </w:tr>
      <w:tr>
        <w:tc>
          <w:tcPr>
            <w:tcW w:type="dxa" w:w="2880"/>
          </w:tcPr>
          <w:p>
            <w:pPr/>
            <w:r/>
            <w:r>
              <w:rPr>
                <w:rFonts w:ascii="Calibri" w:hAnsi="Calibri"/>
                <w:b/>
              </w:rPr>
              <w:t>Operating Income</w:t>
            </w:r>
          </w:p>
        </w:tc>
        <w:tc>
          <w:tcPr>
            <w:tcW w:type="dxa" w:w="2880"/>
          </w:tcPr>
          <w:p>
            <w:pPr/>
            <w:r/>
            <w:r>
              <w:rPr>
                <w:rFonts w:ascii="Calibri" w:hAnsi="Calibri"/>
              </w:rPr>
              <w:t>$3.9 billion</w:t>
            </w:r>
          </w:p>
        </w:tc>
        <w:tc>
          <w:tcPr>
            <w:tcW w:type="dxa" w:w="2880"/>
          </w:tcPr>
          <w:p>
            <w:pPr/>
            <w:r/>
            <w:r>
              <w:rPr>
                <w:rFonts w:ascii="Calibri" w:hAnsi="Calibri"/>
              </w:rPr>
              <w:t>$4.2 billion</w:t>
            </w:r>
          </w:p>
        </w:tc>
      </w:tr>
      <w:tr>
        <w:tc>
          <w:tcPr>
            <w:tcW w:type="dxa" w:w="2880"/>
          </w:tcPr>
          <w:p>
            <w:pPr/>
            <w:r/>
            <w:r>
              <w:rPr>
                <w:rFonts w:ascii="Calibri" w:hAnsi="Calibri"/>
                <w:b/>
              </w:rPr>
              <w:t>Net Income</w:t>
            </w:r>
          </w:p>
        </w:tc>
        <w:tc>
          <w:tcPr>
            <w:tcW w:type="dxa" w:w="2880"/>
          </w:tcPr>
          <w:p>
            <w:pPr/>
            <w:r/>
            <w:r>
              <w:rPr>
                <w:rFonts w:ascii="Calibri" w:hAnsi="Calibri"/>
              </w:rPr>
              <w:t>$3.5 billion</w:t>
            </w:r>
          </w:p>
        </w:tc>
        <w:tc>
          <w:tcPr>
            <w:tcW w:type="dxa" w:w="2880"/>
          </w:tcPr>
          <w:p>
            <w:pPr/>
            <w:r/>
            <w:r>
              <w:rPr>
                <w:rFonts w:ascii="Calibri" w:hAnsi="Calibri"/>
              </w:rPr>
              <w:t>$4.0 billion [unverified]</w:t>
            </w:r>
          </w:p>
        </w:tc>
      </w:tr>
      <w:tr>
        <w:tc>
          <w:tcPr>
            <w:tcW w:type="dxa" w:w="2880"/>
          </w:tcPr>
          <w:p>
            <w:pPr/>
            <w:r/>
            <w:r>
              <w:rPr>
                <w:rFonts w:ascii="Calibri" w:hAnsi="Calibri"/>
                <w:b/>
              </w:rPr>
              <w:t>Adjusted Operating Margin</w:t>
            </w:r>
          </w:p>
        </w:tc>
        <w:tc>
          <w:tcPr>
            <w:tcW w:type="dxa" w:w="2880"/>
          </w:tcPr>
          <w:p>
            <w:pPr/>
            <w:r/>
            <w:r>
              <w:rPr>
                <w:rFonts w:ascii="Calibri" w:hAnsi="Calibri"/>
              </w:rPr>
              <w:t>~68%</w:t>
            </w:r>
          </w:p>
        </w:tc>
        <w:tc>
          <w:tcPr>
            <w:tcW w:type="dxa" w:w="2880"/>
          </w:tcPr>
          <w:p>
            <w:pPr/>
            <w:r/>
            <w:r>
              <w:rPr>
                <w:rFonts w:ascii="Calibri" w:hAnsi="Calibri"/>
              </w:rPr>
              <w:t>69.4%</w:t>
            </w:r>
          </w:p>
        </w:tc>
      </w:tr>
      <w:tr>
        <w:tc>
          <w:tcPr>
            <w:tcW w:type="dxa" w:w="2880"/>
          </w:tcPr>
          <w:p>
            <w:pPr/>
            <w:r/>
            <w:r>
              <w:rPr>
                <w:rFonts w:ascii="Calibri" w:hAnsi="Calibri"/>
                <w:b/>
              </w:rPr>
              <w:t>Clearing &amp; Transaction Fee Revenue (Q4)</w:t>
            </w:r>
          </w:p>
        </w:tc>
        <w:tc>
          <w:tcPr>
            <w:tcW w:type="dxa" w:w="2880"/>
          </w:tcPr>
          <w:p>
            <w:pPr/>
            <w:r/>
            <w:r>
              <w:rPr>
                <w:rFonts w:ascii="Calibri" w:hAnsi="Calibri"/>
              </w:rPr>
              <w:t>--</w:t>
            </w:r>
          </w:p>
        </w:tc>
        <w:tc>
          <w:tcPr>
            <w:tcW w:type="dxa" w:w="2880"/>
          </w:tcPr>
          <w:p>
            <w:pPr/>
            <w:r/>
            <w:r>
              <w:rPr>
                <w:rFonts w:ascii="Calibri" w:hAnsi="Calibri"/>
              </w:rPr>
              <w:t>$1.3 billion</w:t>
            </w:r>
          </w:p>
        </w:tc>
      </w:tr>
    </w:tbl>
    <w:p/>
    <w:p>
      <w:r>
        <w:rPr>
          <w:rFonts w:ascii="Calibri" w:hAnsi="Calibri"/>
        </w:rPr>
        <w:t>Fourth consecutive year of record annual revenue, operating income, and EPS in 2025.</w:t>
      </w:r>
    </w:p>
    <w:p>
      <w:r>
        <w:rPr>
          <w:rFonts w:ascii="Calibri" w:hAnsi="Calibri"/>
        </w:rPr>
        <w:t xml:space="preserve">Source: </w:t>
      </w:r>
      <w:r>
        <w:rPr>
          <w:rFonts w:ascii="Calibri" w:hAnsi="Calibri"/>
          <w:color w:val="0563C1"/>
          <w:u w:val="single"/>
        </w:rPr>
        <w:t>CME 2024 Earnings</w:t>
      </w:r>
      <w:r>
        <w:rPr>
          <w:rFonts w:ascii="Calibri" w:hAnsi="Calibri"/>
        </w:rPr>
        <w:t xml:space="preserve">; </w:t>
      </w:r>
      <w:r>
        <w:rPr>
          <w:rFonts w:ascii="Calibri" w:hAnsi="Calibri"/>
          <w:color w:val="0563C1"/>
          <w:u w:val="single"/>
        </w:rPr>
        <w:t>CME 2025 Earnings</w:t>
      </w:r>
    </w:p>
    <w:p>
      <w:pPr>
        <w:pStyle w:val="Heading3"/>
      </w:pPr>
      <w:r>
        <w:rPr>
          <w:rFonts w:ascii="Calibri" w:hAnsi="Calibri"/>
        </w:rPr>
        <w:t>9.7 November 2025 Data Center Outage</w:t>
      </w:r>
    </w:p>
    <w:p>
      <w:r>
        <w:rPr>
          <w:rFonts w:ascii="Calibri" w:hAnsi="Calibri"/>
        </w:rPr>
        <w:t>On November 28, 2025, CME markets were down for more than 10 hours following a cooling system failure at the Aurora, IL data center (operated by CyrusOne). Although the New York DR site was available, the manual failover process and high activation thresholds prevented a swift switch. CyrusOne subsequently installed additional cooling redundancy. The incident prompted industry discussion about data center governance and failover procedures for critical financial infrastructure.</w:t>
      </w:r>
    </w:p>
    <w:p>
      <w:r>
        <w:rPr>
          <w:rFonts w:ascii="Calibri" w:hAnsi="Calibri"/>
        </w:rPr>
        <w:t xml:space="preserve">Source: </w:t>
      </w:r>
      <w:r>
        <w:rPr>
          <w:rFonts w:ascii="Calibri" w:hAnsi="Calibri"/>
          <w:color w:val="0563C1"/>
          <w:u w:val="single"/>
        </w:rPr>
        <w:t>Crain's Chicago Business</w:t>
      </w:r>
      <w:r>
        <w:rPr>
          <w:rFonts w:ascii="Calibri" w:hAnsi="Calibri"/>
        </w:rPr>
        <w:t xml:space="preserve">; </w:t>
      </w:r>
      <w:r>
        <w:rPr>
          <w:rFonts w:ascii="Calibri" w:hAnsi="Calibri"/>
          <w:color w:val="0563C1"/>
          <w:u w:val="single"/>
        </w:rPr>
        <w:t>Network World</w:t>
      </w:r>
    </w:p>
    <w:p>
      <w:pPr>
        <w:pBdr>
          <w:bottom w:val="single" w:sz="4" w:space="1" w:color="auto"/>
        </w:pBdr>
      </w:pPr>
    </w:p>
    <w:p>
      <w:pPr>
        <w:pStyle w:val="Heading2"/>
      </w:pPr>
      <w:r>
        <w:rPr>
          <w:rFonts w:ascii="Calibri" w:hAnsi="Calibri"/>
        </w:rPr>
        <w:t>Key Data Summary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Metric</w:t>
            </w:r>
          </w:p>
        </w:tc>
        <w:tc>
          <w:tcPr>
            <w:tcW w:type="dxa" w:w="4320"/>
            <w:shd w:fill="4472C4" w:val="clear"/>
          </w:tcPr>
          <w:p>
            <w:pPr/>
            <w:r>
              <w:rPr>
                <w:b/>
                <w:color w:val="FFFFFF"/>
              </w:rPr>
            </w:r>
            <w:r>
              <w:rPr>
                <w:rFonts w:ascii="Calibri" w:hAnsi="Calibri"/>
                <w:b/>
                <w:color w:val="FFFFFF"/>
              </w:rPr>
              <w:t>Value</w:t>
            </w:r>
          </w:p>
        </w:tc>
      </w:tr>
      <w:tr>
        <w:tc>
          <w:tcPr>
            <w:tcW w:type="dxa" w:w="4320"/>
          </w:tcPr>
          <w:p>
            <w:pPr/>
            <w:r/>
            <w:r>
              <w:rPr>
                <w:rFonts w:ascii="Calibri" w:hAnsi="Calibri"/>
              </w:rPr>
              <w:t>Products Cleared</w:t>
            </w:r>
          </w:p>
        </w:tc>
        <w:tc>
          <w:tcPr>
            <w:tcW w:type="dxa" w:w="4320"/>
          </w:tcPr>
          <w:p>
            <w:pPr/>
            <w:r/>
            <w:r>
              <w:rPr>
                <w:rFonts w:ascii="Calibri" w:hAnsi="Calibri"/>
              </w:rPr>
              <w:t>Futures, options, OTC IRS, OTC FX across CME, CBOT, NYMEX, COMEX</w:t>
            </w:r>
          </w:p>
        </w:tc>
      </w:tr>
      <w:tr>
        <w:tc>
          <w:tcPr>
            <w:tcW w:type="dxa" w:w="4320"/>
          </w:tcPr>
          <w:p>
            <w:pPr/>
            <w:r/>
            <w:r>
              <w:rPr>
                <w:rFonts w:ascii="Calibri" w:hAnsi="Calibri"/>
              </w:rPr>
              <w:t>Annual ADV (2025)</w:t>
            </w:r>
          </w:p>
        </w:tc>
        <w:tc>
          <w:tcPr>
            <w:tcW w:type="dxa" w:w="4320"/>
          </w:tcPr>
          <w:p>
            <w:pPr/>
            <w:r/>
            <w:r>
              <w:rPr>
                <w:rFonts w:ascii="Calibri" w:hAnsi="Calibri"/>
              </w:rPr>
              <w:t>28.1 million contracts</w:t>
            </w:r>
          </w:p>
        </w:tc>
      </w:tr>
      <w:tr>
        <w:tc>
          <w:tcPr>
            <w:tcW w:type="dxa" w:w="4320"/>
          </w:tcPr>
          <w:p>
            <w:pPr/>
            <w:r/>
            <w:r>
              <w:rPr>
                <w:rFonts w:ascii="Calibri" w:hAnsi="Calibri"/>
              </w:rPr>
              <w:t>Trades Processed Annually</w:t>
            </w:r>
          </w:p>
        </w:tc>
        <w:tc>
          <w:tcPr>
            <w:tcW w:type="dxa" w:w="4320"/>
          </w:tcPr>
          <w:p>
            <w:pPr/>
            <w:r/>
            <w:r>
              <w:rPr>
                <w:rFonts w:ascii="Calibri" w:hAnsi="Calibri"/>
              </w:rPr>
              <w:t>&gt;1 billion</w:t>
            </w:r>
          </w:p>
        </w:tc>
      </w:tr>
      <w:tr>
        <w:tc>
          <w:tcPr>
            <w:tcW w:type="dxa" w:w="4320"/>
          </w:tcPr>
          <w:p>
            <w:pPr/>
            <w:r/>
            <w:r>
              <w:rPr>
                <w:rFonts w:ascii="Calibri" w:hAnsi="Calibri"/>
              </w:rPr>
              <w:t>Notional Value Processed Annually</w:t>
            </w:r>
          </w:p>
        </w:tc>
        <w:tc>
          <w:tcPr>
            <w:tcW w:type="dxa" w:w="4320"/>
          </w:tcPr>
          <w:p>
            <w:pPr/>
            <w:r/>
            <w:r>
              <w:rPr>
                <w:rFonts w:ascii="Calibri" w:hAnsi="Calibri"/>
              </w:rPr>
              <w:t>&gt;$1 quadrillion</w:t>
            </w:r>
          </w:p>
        </w:tc>
      </w:tr>
      <w:tr>
        <w:tc>
          <w:tcPr>
            <w:tcW w:type="dxa" w:w="4320"/>
          </w:tcPr>
          <w:p>
            <w:pPr/>
            <w:r/>
            <w:r>
              <w:rPr>
                <w:rFonts w:ascii="Calibri" w:hAnsi="Calibri"/>
              </w:rPr>
              <w:t>Cash Held at Fed (Dec 2024)</w:t>
            </w:r>
          </w:p>
        </w:tc>
        <w:tc>
          <w:tcPr>
            <w:tcW w:type="dxa" w:w="4320"/>
          </w:tcPr>
          <w:p>
            <w:pPr/>
            <w:r/>
            <w:r>
              <w:rPr>
                <w:rFonts w:ascii="Calibri" w:hAnsi="Calibri"/>
              </w:rPr>
              <w:t>~$87.4 billion</w:t>
            </w:r>
          </w:p>
        </w:tc>
      </w:tr>
      <w:tr>
        <w:tc>
          <w:tcPr>
            <w:tcW w:type="dxa" w:w="4320"/>
          </w:tcPr>
          <w:p>
            <w:pPr/>
            <w:r/>
            <w:r>
              <w:rPr>
                <w:rFonts w:ascii="Calibri" w:hAnsi="Calibri"/>
              </w:rPr>
              <w:t>Guaranty Fund Contributions (Dec 2024)</w:t>
            </w:r>
          </w:p>
        </w:tc>
        <w:tc>
          <w:tcPr>
            <w:tcW w:type="dxa" w:w="4320"/>
          </w:tcPr>
          <w:p>
            <w:pPr/>
            <w:r/>
            <w:r>
              <w:rPr>
                <w:rFonts w:ascii="Calibri" w:hAnsi="Calibri"/>
              </w:rPr>
              <w:t>~$10.1 billion</w:t>
            </w:r>
          </w:p>
        </w:tc>
      </w:tr>
      <w:tr>
        <w:tc>
          <w:tcPr>
            <w:tcW w:type="dxa" w:w="4320"/>
          </w:tcPr>
          <w:p>
            <w:pPr/>
            <w:r/>
            <w:r>
              <w:rPr>
                <w:rFonts w:ascii="Calibri" w:hAnsi="Calibri"/>
              </w:rPr>
              <w:t>CME SITG (Base Waterfall)</w:t>
            </w:r>
          </w:p>
        </w:tc>
        <w:tc>
          <w:tcPr>
            <w:tcW w:type="dxa" w:w="4320"/>
          </w:tcPr>
          <w:p>
            <w:pPr/>
            <w:r/>
            <w:r>
              <w:rPr>
                <w:rFonts w:ascii="Calibri" w:hAnsi="Calibri"/>
              </w:rPr>
              <w:t>$100 million</w:t>
            </w:r>
          </w:p>
        </w:tc>
      </w:tr>
      <w:tr>
        <w:tc>
          <w:tcPr>
            <w:tcW w:type="dxa" w:w="4320"/>
          </w:tcPr>
          <w:p>
            <w:pPr/>
            <w:r/>
            <w:r>
              <w:rPr>
                <w:rFonts w:ascii="Calibri" w:hAnsi="Calibri"/>
              </w:rPr>
              <w:t>CME SITG (IRS Waterfall)</w:t>
            </w:r>
          </w:p>
        </w:tc>
        <w:tc>
          <w:tcPr>
            <w:tcW w:type="dxa" w:w="4320"/>
          </w:tcPr>
          <w:p>
            <w:pPr/>
            <w:r/>
            <w:r>
              <w:rPr>
                <w:rFonts w:ascii="Calibri" w:hAnsi="Calibri"/>
              </w:rPr>
              <w:t>$150 million</w:t>
            </w:r>
          </w:p>
        </w:tc>
      </w:tr>
      <w:tr>
        <w:tc>
          <w:tcPr>
            <w:tcW w:type="dxa" w:w="4320"/>
          </w:tcPr>
          <w:p>
            <w:pPr/>
            <w:r/>
            <w:r>
              <w:rPr>
                <w:rFonts w:ascii="Calibri" w:hAnsi="Calibri"/>
              </w:rPr>
              <w:t>SIFMU Designation</w:t>
            </w:r>
          </w:p>
        </w:tc>
        <w:tc>
          <w:tcPr>
            <w:tcW w:type="dxa" w:w="4320"/>
          </w:tcPr>
          <w:p>
            <w:pPr/>
            <w:r/>
            <w:r>
              <w:rPr>
                <w:rFonts w:ascii="Calibri" w:hAnsi="Calibri"/>
              </w:rPr>
              <w:t>Yes (July 2012)</w:t>
            </w:r>
          </w:p>
        </w:tc>
      </w:tr>
      <w:tr>
        <w:tc>
          <w:tcPr>
            <w:tcW w:type="dxa" w:w="4320"/>
          </w:tcPr>
          <w:p>
            <w:pPr/>
            <w:r/>
            <w:r>
              <w:rPr>
                <w:rFonts w:ascii="Calibri" w:hAnsi="Calibri"/>
              </w:rPr>
              <w:t>QCCP Status (EU)</w:t>
            </w:r>
          </w:p>
        </w:tc>
        <w:tc>
          <w:tcPr>
            <w:tcW w:type="dxa" w:w="4320"/>
          </w:tcPr>
          <w:p>
            <w:pPr/>
            <w:r/>
            <w:r>
              <w:rPr>
                <w:rFonts w:ascii="Calibri" w:hAnsi="Calibri"/>
              </w:rPr>
              <w:t>Yes (June 2016)</w:t>
            </w:r>
          </w:p>
        </w:tc>
      </w:tr>
      <w:tr>
        <w:tc>
          <w:tcPr>
            <w:tcW w:type="dxa" w:w="4320"/>
          </w:tcPr>
          <w:p>
            <w:pPr/>
            <w:r/>
            <w:r>
              <w:rPr>
                <w:rFonts w:ascii="Calibri" w:hAnsi="Calibri"/>
              </w:rPr>
              <w:t>Clearing Revenue (FY 2025)</w:t>
            </w:r>
          </w:p>
        </w:tc>
        <w:tc>
          <w:tcPr>
            <w:tcW w:type="dxa" w:w="4320"/>
          </w:tcPr>
          <w:p>
            <w:pPr/>
            <w:r/>
            <w:r>
              <w:rPr>
                <w:rFonts w:ascii="Calibri" w:hAnsi="Calibri"/>
              </w:rPr>
              <w:t>Part of $6.5 billion total revenue</w:t>
            </w:r>
          </w:p>
        </w:tc>
      </w:tr>
      <w:tr>
        <w:tc>
          <w:tcPr>
            <w:tcW w:type="dxa" w:w="4320"/>
          </w:tcPr>
          <w:p>
            <w:pPr/>
            <w:r/>
            <w:r>
              <w:rPr>
                <w:rFonts w:ascii="Calibri" w:hAnsi="Calibri"/>
              </w:rPr>
              <w:t>Margin Methodology</w:t>
            </w:r>
          </w:p>
        </w:tc>
        <w:tc>
          <w:tcPr>
            <w:tcW w:type="dxa" w:w="4320"/>
          </w:tcPr>
          <w:p>
            <w:pPr/>
            <w:r/>
            <w:r>
              <w:rPr>
                <w:rFonts w:ascii="Calibri" w:hAnsi="Calibri"/>
              </w:rPr>
              <w:t>SPAN (legacy) transitioning to SPAN 2 (HVaR + ES)</w:t>
            </w:r>
          </w:p>
        </w:tc>
      </w:tr>
      <w:tr>
        <w:tc>
          <w:tcPr>
            <w:tcW w:type="dxa" w:w="4320"/>
          </w:tcPr>
          <w:p>
            <w:pPr/>
            <w:r/>
            <w:r>
              <w:rPr>
                <w:rFonts w:ascii="Calibri" w:hAnsi="Calibri"/>
              </w:rPr>
              <w:t>Cover Standard</w:t>
            </w:r>
          </w:p>
        </w:tc>
        <w:tc>
          <w:tcPr>
            <w:tcW w:type="dxa" w:w="4320"/>
          </w:tcPr>
          <w:p>
            <w:pPr/>
            <w:r/>
            <w:r>
              <w:rPr>
                <w:rFonts w:ascii="Calibri" w:hAnsi="Calibri"/>
              </w:rPr>
              <w:t>Cover 2</w:t>
            </w:r>
          </w:p>
        </w:tc>
      </w:tr>
    </w:tbl>
    <w:p/>
    <w:p>
      <w:pPr>
        <w:pBdr>
          <w:bottom w:val="single" w:sz="4" w:space="1" w:color="auto"/>
        </w:pBdr>
      </w:pPr>
    </w:p>
    <w:p>
      <w:r>
        <w:rPr>
          <w:rFonts w:ascii="Calibri" w:hAnsi="Calibri"/>
        </w:rPr>
        <w:t>*This document is based on publicly available information from CME Group, CFTC filings, CPMI-IOSCO disclosures, and third-party sources. All figures are approximate and sourced as noted. Information marked [unverified] could not be confirmed from official sources at the time of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