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Depository Trust &amp; Clearing Corporation (DTCC)</w:t>
      </w:r>
    </w:p>
    <w:p>
      <w:pPr>
        <w:ind w:left="720"/>
        <w:shd w:fill="F0F0F0" w:val="clear"/>
      </w:pPr>
      <w:r>
        <w:rPr>
          <w:rFonts w:ascii="Calibri" w:hAnsi="Calibri"/>
          <w:i/>
        </w:rPr>
        <w:t>**Last Updated:** 2026-04-07</w:t>
      </w:r>
    </w:p>
    <w:p>
      <w:pPr>
        <w:ind w:left="720"/>
        <w:shd w:fill="F0F0F0" w:val="clear"/>
      </w:pPr>
      <w:r>
        <w:rPr>
          <w:rFonts w:ascii="Calibri" w:hAnsi="Calibri"/>
          <w:i/>
        </w:rPr>
        <w:t>**Research Tier:** Tier 1 (Deep Dive)</w:t>
      </w:r>
    </w:p>
    <w:p>
      <w:pPr>
        <w:ind w:left="720"/>
        <w:shd w:fill="F0F0F0" w:val="clear"/>
      </w:pPr>
      <w:r>
        <w:rPr>
          <w:rFonts w:ascii="Calibri" w:hAnsi="Calibri"/>
          <w:i/>
        </w:rPr>
        <w:t>**Type:** Holding Company (CCP + CSD) — encompasses DTC (CSD), NSCC (CCP for equities), FICC (CCP for fixed income)</w:t>
      </w:r>
    </w:p>
    <w:p>
      <w:pPr>
        <w:pBdr>
          <w:bottom w:val="single" w:sz="4" w:space="1" w:color="auto"/>
        </w:pBdr>
      </w:pPr>
    </w:p>
    <w:p>
      <w:pPr>
        <w:pStyle w:val="Heading2"/>
      </w:pPr>
      <w:r>
        <w:rPr>
          <w:rFonts w:ascii="Calibri" w:hAnsi="Calibri"/>
        </w:rP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The Depository Trust &amp; Clearing Corporation</w:t>
            </w:r>
          </w:p>
        </w:tc>
      </w:tr>
      <w:tr>
        <w:tc>
          <w:tcPr>
            <w:tcW w:type="dxa" w:w="4320"/>
          </w:tcPr>
          <w:p>
            <w:pPr/>
            <w:r/>
            <w:r>
              <w:rPr>
                <w:rFonts w:ascii="Calibri" w:hAnsi="Calibri"/>
              </w:rPr>
              <w:t>Abbreviation</w:t>
            </w:r>
          </w:p>
        </w:tc>
        <w:tc>
          <w:tcPr>
            <w:tcW w:type="dxa" w:w="4320"/>
          </w:tcPr>
          <w:p>
            <w:pPr/>
            <w:r/>
            <w:r>
              <w:rPr>
                <w:rFonts w:ascii="Calibri" w:hAnsi="Calibri"/>
              </w:rPr>
              <w:t>DTCC</w:t>
            </w:r>
          </w:p>
        </w:tc>
      </w:tr>
      <w:tr>
        <w:tc>
          <w:tcPr>
            <w:tcW w:type="dxa" w:w="4320"/>
          </w:tcPr>
          <w:p>
            <w:pPr/>
            <w:r/>
            <w:r>
              <w:rPr>
                <w:rFonts w:ascii="Calibri" w:hAnsi="Calibri"/>
              </w:rPr>
              <w:t>Website</w:t>
            </w:r>
          </w:p>
        </w:tc>
        <w:tc>
          <w:tcPr>
            <w:tcW w:type="dxa" w:w="4320"/>
          </w:tcPr>
          <w:p>
            <w:pPr/>
            <w:r/>
            <w:r>
              <w:rPr>
                <w:rFonts w:ascii="Calibri" w:hAnsi="Calibri"/>
                <w:color w:val="0563C1"/>
                <w:u w:val="single"/>
              </w:rPr>
              <w:t>https://www.dtcc.com</w:t>
            </w:r>
          </w:p>
        </w:tc>
      </w:tr>
      <w:tr>
        <w:tc>
          <w:tcPr>
            <w:tcW w:type="dxa" w:w="4320"/>
          </w:tcPr>
          <w:p>
            <w:pPr/>
            <w:r/>
            <w:r>
              <w:rPr>
                <w:rFonts w:ascii="Calibri" w:hAnsi="Calibri"/>
              </w:rPr>
              <w:t>Year Established</w:t>
            </w:r>
          </w:p>
        </w:tc>
        <w:tc>
          <w:tcPr>
            <w:tcW w:type="dxa" w:w="4320"/>
          </w:tcPr>
          <w:p>
            <w:pPr/>
            <w:r/>
            <w:r>
              <w:rPr>
                <w:rFonts w:ascii="Calibri" w:hAnsi="Calibri"/>
              </w:rPr>
              <w:t>1999 (as holding company combining DTC and NSCC)</w:t>
            </w:r>
          </w:p>
        </w:tc>
      </w:tr>
      <w:tr>
        <w:tc>
          <w:tcPr>
            <w:tcW w:type="dxa" w:w="4320"/>
          </w:tcPr>
          <w:p>
            <w:pPr/>
            <w:r/>
            <w:r>
              <w:rPr>
                <w:rFonts w:ascii="Calibri" w:hAnsi="Calibri"/>
              </w:rPr>
              <w:t>Country / City</w:t>
            </w:r>
          </w:p>
        </w:tc>
        <w:tc>
          <w:tcPr>
            <w:tcW w:type="dxa" w:w="4320"/>
          </w:tcPr>
          <w:p>
            <w:pPr/>
            <w:r/>
            <w:r>
              <w:rPr>
                <w:rFonts w:ascii="Calibri" w:hAnsi="Calibri"/>
              </w:rPr>
              <w:t>United States / Jersey City, NJ (570 Washington Blvd)</w:t>
            </w:r>
          </w:p>
        </w:tc>
      </w:tr>
      <w:tr>
        <w:tc>
          <w:tcPr>
            <w:tcW w:type="dxa" w:w="4320"/>
          </w:tcPr>
          <w:p>
            <w:pPr/>
            <w:r/>
            <w:r>
              <w:rPr>
                <w:rFonts w:ascii="Calibri" w:hAnsi="Calibri"/>
              </w:rPr>
              <w:t>Ownership Structure</w:t>
            </w:r>
          </w:p>
        </w:tc>
        <w:tc>
          <w:tcPr>
            <w:tcW w:type="dxa" w:w="4320"/>
          </w:tcPr>
          <w:p>
            <w:pPr/>
            <w:r/>
            <w:r>
              <w:rPr>
                <w:rFonts w:ascii="Calibri" w:hAnsi="Calibri"/>
              </w:rPr>
              <w:t>User-owned and directed; Participants of the Clearing Agencies are required or permitted to own Common Shares in proportion to their use of services. Preferred Shares owned by Stock Clearing Corporation (NYSE subsidiary), FINRA, and institutional investors.</w:t>
            </w:r>
          </w:p>
        </w:tc>
      </w:tr>
      <w:tr>
        <w:tc>
          <w:tcPr>
            <w:tcW w:type="dxa" w:w="4320"/>
          </w:tcPr>
          <w:p>
            <w:pPr/>
            <w:r/>
            <w:r>
              <w:rPr>
                <w:rFonts w:ascii="Calibri" w:hAnsi="Calibri"/>
              </w:rPr>
              <w:t>Parent Company / Group</w:t>
            </w:r>
          </w:p>
        </w:tc>
        <w:tc>
          <w:tcPr>
            <w:tcW w:type="dxa" w:w="4320"/>
          </w:tcPr>
          <w:p>
            <w:pPr/>
            <w:r/>
            <w:r>
              <w:rPr>
                <w:rFonts w:ascii="Calibri" w:hAnsi="Calibri"/>
              </w:rPr>
              <w:t>None (DTCC is the parent holding company)</w:t>
            </w:r>
          </w:p>
        </w:tc>
      </w:tr>
      <w:tr>
        <w:tc>
          <w:tcPr>
            <w:tcW w:type="dxa" w:w="4320"/>
          </w:tcPr>
          <w:p>
            <w:pPr/>
            <w:r/>
            <w:r>
              <w:rPr>
                <w:rFonts w:ascii="Calibri" w:hAnsi="Calibri"/>
              </w:rPr>
              <w:t>Regulatory Authority</w:t>
            </w:r>
          </w:p>
        </w:tc>
        <w:tc>
          <w:tcPr>
            <w:tcW w:type="dxa" w:w="4320"/>
          </w:tcPr>
          <w:p>
            <w:pPr/>
            <w:r/>
            <w:r>
              <w:rPr>
                <w:rFonts w:ascii="Calibri" w:hAnsi="Calibri"/>
              </w:rPr>
              <w:t>SEC (primary regulator for DTC, NSCC, FICC); Federal Reserve Board (oversight under Dodd-Frank Title VIII); CFTC (for certain swap-related activities)</w:t>
            </w:r>
          </w:p>
        </w:tc>
      </w:tr>
      <w:tr>
        <w:tc>
          <w:tcPr>
            <w:tcW w:type="dxa" w:w="4320"/>
          </w:tcPr>
          <w:p>
            <w:pPr/>
            <w:r/>
            <w:r>
              <w:rPr>
                <w:rFonts w:ascii="Calibri" w:hAnsi="Calibri"/>
              </w:rPr>
              <w:t>CPMI-IOSCO PFMI Compliance</w:t>
            </w:r>
          </w:p>
        </w:tc>
        <w:tc>
          <w:tcPr>
            <w:tcW w:type="dxa" w:w="4320"/>
          </w:tcPr>
          <w:p>
            <w:pPr/>
            <w:r/>
            <w:r>
              <w:rPr>
                <w:rFonts w:ascii="Calibri" w:hAnsi="Calibri"/>
              </w:rPr>
              <w:t>Yes -- DTC, NSCC, and FICC each publish PFMI Disclosure Frameworks and CPMI-IOSCO Public Quantitative Disclosures (PQD) quarterly</w:t>
            </w:r>
          </w:p>
        </w:tc>
      </w:tr>
      <w:tr>
        <w:tc>
          <w:tcPr>
            <w:tcW w:type="dxa" w:w="4320"/>
          </w:tcPr>
          <w:p>
            <w:pPr/>
            <w:r/>
            <w:r>
              <w:rPr>
                <w:rFonts w:ascii="Calibri" w:hAnsi="Calibri"/>
              </w:rPr>
              <w:t>QCCP Status</w:t>
            </w:r>
          </w:p>
        </w:tc>
        <w:tc>
          <w:tcPr>
            <w:tcW w:type="dxa" w:w="4320"/>
          </w:tcPr>
          <w:p>
            <w:pPr/>
            <w:r/>
            <w:r>
              <w:rPr>
                <w:rFonts w:ascii="Calibri" w:hAnsi="Calibri"/>
              </w:rPr>
              <w:t>Yes -- DTC, NSCC, and FICC are recognized as Qualifying CCPs under Basel III framework for bank capital purposes</w:t>
            </w:r>
          </w:p>
        </w:tc>
      </w:tr>
    </w:tbl>
    <w:p/>
    <w:p>
      <w:pPr>
        <w:pStyle w:val="Heading3"/>
      </w:pPr>
      <w:r>
        <w:rPr>
          <w:rFonts w:ascii="Calibri" w:hAnsi="Calibri"/>
        </w:rPr>
        <w:t>Key Subsidiaries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Subsidiary</w:t>
            </w:r>
          </w:p>
        </w:tc>
        <w:tc>
          <w:tcPr>
            <w:tcW w:type="dxa" w:w="2160"/>
            <w:shd w:fill="4472C4" w:val="clear"/>
          </w:tcPr>
          <w:p>
            <w:pPr/>
            <w:r>
              <w:rPr>
                <w:b/>
                <w:color w:val="FFFFFF"/>
              </w:rPr>
            </w:r>
            <w:r>
              <w:rPr>
                <w:rFonts w:ascii="Calibri" w:hAnsi="Calibri"/>
                <w:b/>
                <w:color w:val="FFFFFF"/>
              </w:rPr>
              <w:t>Type</w:t>
            </w:r>
          </w:p>
        </w:tc>
        <w:tc>
          <w:tcPr>
            <w:tcW w:type="dxa" w:w="2160"/>
            <w:shd w:fill="4472C4" w:val="clear"/>
          </w:tcPr>
          <w:p>
            <w:pPr/>
            <w:r>
              <w:rPr>
                <w:b/>
                <w:color w:val="FFFFFF"/>
              </w:rPr>
            </w:r>
            <w:r>
              <w:rPr>
                <w:rFonts w:ascii="Calibri" w:hAnsi="Calibri"/>
                <w:b/>
                <w:color w:val="FFFFFF"/>
              </w:rPr>
              <w:t>Year Est.</w:t>
            </w:r>
          </w:p>
        </w:tc>
        <w:tc>
          <w:tcPr>
            <w:tcW w:type="dxa" w:w="2160"/>
            <w:shd w:fill="4472C4" w:val="clear"/>
          </w:tcPr>
          <w:p>
            <w:pPr/>
            <w:r>
              <w:rPr>
                <w:b/>
                <w:color w:val="FFFFFF"/>
              </w:rPr>
            </w:r>
            <w:r>
              <w:rPr>
                <w:rFonts w:ascii="Calibri" w:hAnsi="Calibri"/>
                <w:b/>
                <w:color w:val="FFFFFF"/>
              </w:rPr>
              <w:t>Function</w:t>
            </w:r>
          </w:p>
        </w:tc>
      </w:tr>
      <w:tr>
        <w:tc>
          <w:tcPr>
            <w:tcW w:type="dxa" w:w="2160"/>
          </w:tcPr>
          <w:p>
            <w:pPr/>
            <w:r/>
            <w:r>
              <w:rPr>
                <w:rFonts w:ascii="Calibri" w:hAnsi="Calibri"/>
                <w:b/>
              </w:rPr>
              <w:t>DTC</w:t>
            </w:r>
            <w:r>
              <w:rPr>
                <w:rFonts w:ascii="Calibri" w:hAnsi="Calibri"/>
              </w:rPr>
              <w:t xml:space="preserve"> (Depository Trust Company)</w:t>
            </w:r>
          </w:p>
        </w:tc>
        <w:tc>
          <w:tcPr>
            <w:tcW w:type="dxa" w:w="2160"/>
          </w:tcPr>
          <w:p>
            <w:pPr/>
            <w:r/>
            <w:r>
              <w:rPr>
                <w:rFonts w:ascii="Calibri" w:hAnsi="Calibri"/>
              </w:rPr>
              <w:t>CSD / Clearing Agency</w:t>
            </w:r>
          </w:p>
        </w:tc>
        <w:tc>
          <w:tcPr>
            <w:tcW w:type="dxa" w:w="2160"/>
          </w:tcPr>
          <w:p>
            <w:pPr/>
            <w:r/>
            <w:r>
              <w:rPr>
                <w:rFonts w:ascii="Calibri" w:hAnsi="Calibri"/>
              </w:rPr>
              <w:t>1973</w:t>
            </w:r>
          </w:p>
        </w:tc>
        <w:tc>
          <w:tcPr>
            <w:tcW w:type="dxa" w:w="2160"/>
          </w:tcPr>
          <w:p>
            <w:pPr/>
            <w:r/>
            <w:r>
              <w:rPr>
                <w:rFonts w:ascii="Calibri" w:hAnsi="Calibri"/>
              </w:rPr>
              <w:t>Central securities depository; book-entry settlement for equities, corporate/municipal bonds, money market instruments</w:t>
            </w:r>
          </w:p>
        </w:tc>
      </w:tr>
      <w:tr>
        <w:tc>
          <w:tcPr>
            <w:tcW w:type="dxa" w:w="2160"/>
          </w:tcPr>
          <w:p>
            <w:pPr/>
            <w:r/>
            <w:r>
              <w:rPr>
                <w:rFonts w:ascii="Calibri" w:hAnsi="Calibri"/>
                <w:b/>
              </w:rPr>
              <w:t>NSCC</w:t>
            </w:r>
            <w:r>
              <w:rPr>
                <w:rFonts w:ascii="Calibri" w:hAnsi="Calibri"/>
              </w:rPr>
              <w:t xml:space="preserve"> (National Securities Clearing Corporation)</w:t>
            </w:r>
          </w:p>
        </w:tc>
        <w:tc>
          <w:tcPr>
            <w:tcW w:type="dxa" w:w="2160"/>
          </w:tcPr>
          <w:p>
            <w:pPr/>
            <w:r/>
            <w:r>
              <w:rPr>
                <w:rFonts w:ascii="Calibri" w:hAnsi="Calibri"/>
              </w:rPr>
              <w:t>CCP / Clearing Agency</w:t>
            </w:r>
          </w:p>
        </w:tc>
        <w:tc>
          <w:tcPr>
            <w:tcW w:type="dxa" w:w="2160"/>
          </w:tcPr>
          <w:p>
            <w:pPr/>
            <w:r/>
            <w:r>
              <w:rPr>
                <w:rFonts w:ascii="Calibri" w:hAnsi="Calibri"/>
              </w:rPr>
              <w:t>1976</w:t>
            </w:r>
          </w:p>
        </w:tc>
        <w:tc>
          <w:tcPr>
            <w:tcW w:type="dxa" w:w="2160"/>
          </w:tcPr>
          <w:p>
            <w:pPr/>
            <w:r/>
            <w:r>
              <w:rPr>
                <w:rFonts w:ascii="Calibri" w:hAnsi="Calibri"/>
              </w:rPr>
              <w:t>Clearing, settlement, risk management, and CCP guarantee for equities, ETFs, corporate/municipal bonds, UITs, ADRs</w:t>
            </w:r>
          </w:p>
        </w:tc>
      </w:tr>
      <w:tr>
        <w:tc>
          <w:tcPr>
            <w:tcW w:type="dxa" w:w="2160"/>
          </w:tcPr>
          <w:p>
            <w:pPr/>
            <w:r/>
            <w:r>
              <w:rPr>
                <w:rFonts w:ascii="Calibri" w:hAnsi="Calibri"/>
                <w:b/>
              </w:rPr>
              <w:t>FICC</w:t>
            </w:r>
            <w:r>
              <w:rPr>
                <w:rFonts w:ascii="Calibri" w:hAnsi="Calibri"/>
              </w:rPr>
              <w:t xml:space="preserve"> (Fixed Income Clearing Corporation)</w:t>
            </w:r>
          </w:p>
        </w:tc>
        <w:tc>
          <w:tcPr>
            <w:tcW w:type="dxa" w:w="2160"/>
          </w:tcPr>
          <w:p>
            <w:pPr/>
            <w:r/>
            <w:r>
              <w:rPr>
                <w:rFonts w:ascii="Calibri" w:hAnsi="Calibri"/>
              </w:rPr>
              <w:t>CCP / Clearing Agency</w:t>
            </w:r>
          </w:p>
        </w:tc>
        <w:tc>
          <w:tcPr>
            <w:tcW w:type="dxa" w:w="2160"/>
          </w:tcPr>
          <w:p>
            <w:pPr/>
            <w:r/>
            <w:r>
              <w:rPr>
                <w:rFonts w:ascii="Calibri" w:hAnsi="Calibri"/>
              </w:rPr>
              <w:t>2003</w:t>
            </w:r>
          </w:p>
        </w:tc>
        <w:tc>
          <w:tcPr>
            <w:tcW w:type="dxa" w:w="2160"/>
          </w:tcPr>
          <w:p>
            <w:pPr/>
            <w:r/>
            <w:r>
              <w:rPr>
                <w:rFonts w:ascii="Calibri" w:hAnsi="Calibri"/>
              </w:rPr>
              <w:t>Clearing and CCP for U.S. government securities (GSD division) and mortgage-backed securities (MBSD division)</w:t>
            </w:r>
          </w:p>
        </w:tc>
      </w:tr>
      <w:tr>
        <w:tc>
          <w:tcPr>
            <w:tcW w:type="dxa" w:w="2160"/>
          </w:tcPr>
          <w:p>
            <w:pPr/>
            <w:r/>
            <w:r>
              <w:rPr>
                <w:rFonts w:ascii="Calibri" w:hAnsi="Calibri"/>
              </w:rPr>
              <w:t>DTCC Solutions LLC</w:t>
            </w:r>
          </w:p>
        </w:tc>
        <w:tc>
          <w:tcPr>
            <w:tcW w:type="dxa" w:w="2160"/>
          </w:tcPr>
          <w:p>
            <w:pPr/>
            <w:r/>
            <w:r>
              <w:rPr>
                <w:rFonts w:ascii="Calibri" w:hAnsi="Calibri"/>
              </w:rPr>
              <w:t>Services</w:t>
            </w:r>
          </w:p>
        </w:tc>
        <w:tc>
          <w:tcPr>
            <w:tcW w:type="dxa" w:w="2160"/>
          </w:tcPr>
          <w:p>
            <w:pPr/>
            <w:r/>
            <w:r>
              <w:rPr>
                <w:rFonts w:ascii="Calibri" w:hAnsi="Calibri"/>
              </w:rPr>
              <w:t>--</w:t>
            </w:r>
          </w:p>
        </w:tc>
        <w:tc>
          <w:tcPr>
            <w:tcW w:type="dxa" w:w="2160"/>
          </w:tcPr>
          <w:p>
            <w:pPr/>
            <w:r/>
            <w:r>
              <w:rPr>
                <w:rFonts w:ascii="Calibri" w:hAnsi="Calibri"/>
              </w:rPr>
              <w:t>Data and post-trade services</w:t>
            </w:r>
          </w:p>
        </w:tc>
      </w:tr>
      <w:tr>
        <w:tc>
          <w:tcPr>
            <w:tcW w:type="dxa" w:w="2160"/>
          </w:tcPr>
          <w:p>
            <w:pPr/>
            <w:r/>
            <w:r>
              <w:rPr>
                <w:rFonts w:ascii="Calibri" w:hAnsi="Calibri"/>
              </w:rPr>
              <w:t>DTCC Deriv/SERV LLC</w:t>
            </w:r>
          </w:p>
        </w:tc>
        <w:tc>
          <w:tcPr>
            <w:tcW w:type="dxa" w:w="2160"/>
          </w:tcPr>
          <w:p>
            <w:pPr/>
            <w:r/>
            <w:r>
              <w:rPr>
                <w:rFonts w:ascii="Calibri" w:hAnsi="Calibri"/>
              </w:rPr>
              <w:t>Trade Repository</w:t>
            </w:r>
          </w:p>
        </w:tc>
        <w:tc>
          <w:tcPr>
            <w:tcW w:type="dxa" w:w="2160"/>
          </w:tcPr>
          <w:p>
            <w:pPr/>
            <w:r/>
            <w:r>
              <w:rPr>
                <w:rFonts w:ascii="Calibri" w:hAnsi="Calibri"/>
              </w:rPr>
              <w:t>--</w:t>
            </w:r>
          </w:p>
        </w:tc>
        <w:tc>
          <w:tcPr>
            <w:tcW w:type="dxa" w:w="2160"/>
          </w:tcPr>
          <w:p>
            <w:pPr/>
            <w:r/>
            <w:r>
              <w:rPr>
                <w:rFonts w:ascii="Calibri" w:hAnsi="Calibri"/>
              </w:rPr>
              <w:t>OTC derivatives trade information warehouse</w:t>
            </w:r>
          </w:p>
        </w:tc>
      </w:tr>
      <w:tr>
        <w:tc>
          <w:tcPr>
            <w:tcW w:type="dxa" w:w="2160"/>
          </w:tcPr>
          <w:p>
            <w:pPr/>
            <w:r/>
            <w:r>
              <w:rPr>
                <w:rFonts w:ascii="Calibri" w:hAnsi="Calibri"/>
              </w:rPr>
              <w:t>DTCC Digital Assets (formerly Securrency)</w:t>
            </w:r>
          </w:p>
        </w:tc>
        <w:tc>
          <w:tcPr>
            <w:tcW w:type="dxa" w:w="2160"/>
          </w:tcPr>
          <w:p>
            <w:pPr/>
            <w:r/>
            <w:r>
              <w:rPr>
                <w:rFonts w:ascii="Calibri" w:hAnsi="Calibri"/>
              </w:rPr>
              <w:t>Technology</w:t>
            </w:r>
          </w:p>
        </w:tc>
        <w:tc>
          <w:tcPr>
            <w:tcW w:type="dxa" w:w="2160"/>
          </w:tcPr>
          <w:p>
            <w:pPr/>
            <w:r/>
            <w:r>
              <w:rPr>
                <w:rFonts w:ascii="Calibri" w:hAnsi="Calibri"/>
              </w:rPr>
              <w:t>2023 (acquired)</w:t>
            </w:r>
          </w:p>
        </w:tc>
        <w:tc>
          <w:tcPr>
            <w:tcW w:type="dxa" w:w="2160"/>
          </w:tcPr>
          <w:p>
            <w:pPr/>
            <w:r/>
            <w:r>
              <w:rPr>
                <w:rFonts w:ascii="Calibri" w:hAnsi="Calibri"/>
              </w:rPr>
              <w:t>Digital asset infrastructure and tokenization</w:t>
            </w:r>
          </w:p>
        </w:tc>
      </w:tr>
    </w:tbl>
    <w:p/>
    <w:p>
      <w:pPr>
        <w:pStyle w:val="Heading3"/>
      </w:pPr>
      <w:r>
        <w:rPr>
          <w:rFonts w:ascii="Calibri" w:hAnsi="Calibri"/>
        </w:rPr>
        <w:t>Key Historical Milestones</w:t>
      </w:r>
    </w:p>
    <w:p>
      <w:pPr>
        <w:pStyle w:val="ListBullet"/>
      </w:pPr>
      <w:r>
        <w:rPr>
          <w:rFonts w:ascii="Calibri" w:hAnsi="Calibri"/>
          <w:b/>
        </w:rPr>
        <w:t>1973:</w:t>
      </w:r>
      <w:r>
        <w:rPr>
          <w:rFonts w:ascii="Calibri" w:hAnsi="Calibri"/>
        </w:rPr>
        <w:t xml:space="preserve"> DTC established to immobilize physical securities certificates and enable book-entry transfers, reducing the "paperwork crisis" of the late 1960s.</w:t>
      </w:r>
    </w:p>
    <w:p>
      <w:pPr>
        <w:pStyle w:val="ListBullet"/>
      </w:pPr>
      <w:r>
        <w:rPr>
          <w:rFonts w:ascii="Calibri" w:hAnsi="Calibri"/>
          <w:b/>
        </w:rPr>
        <w:t>1976:</w:t>
      </w:r>
      <w:r>
        <w:rPr>
          <w:rFonts w:ascii="Calibri" w:hAnsi="Calibri"/>
        </w:rPr>
        <w:t xml:space="preserve"> NSCC created through merger of clearing subsidiaries of NYSE, AMEX, and NASD to provide centralized equities clearing.</w:t>
      </w:r>
    </w:p>
    <w:p>
      <w:pPr>
        <w:pStyle w:val="ListBullet"/>
      </w:pPr>
      <w:r>
        <w:rPr>
          <w:rFonts w:ascii="Calibri" w:hAnsi="Calibri"/>
          <w:b/>
        </w:rPr>
        <w:t>1986:</w:t>
      </w:r>
      <w:r>
        <w:rPr>
          <w:rFonts w:ascii="Calibri" w:hAnsi="Calibri"/>
        </w:rPr>
        <w:t xml:space="preserve"> Government Securities Clearing Corporation (GSCC) established for U.S. Treasury clearing.</w:t>
      </w:r>
    </w:p>
    <w:p>
      <w:pPr>
        <w:pStyle w:val="ListBullet"/>
      </w:pPr>
      <w:r>
        <w:rPr>
          <w:rFonts w:ascii="Calibri" w:hAnsi="Calibri"/>
          <w:b/>
        </w:rPr>
        <w:t>1999:</w:t>
      </w:r>
      <w:r>
        <w:rPr>
          <w:rFonts w:ascii="Calibri" w:hAnsi="Calibri"/>
        </w:rPr>
        <w:t xml:space="preserve"> DTCC formed as holding company to combine DTC and NSCC under unified governance.</w:t>
      </w:r>
    </w:p>
    <w:p>
      <w:pPr>
        <w:pStyle w:val="ListBullet"/>
      </w:pPr>
      <w:r>
        <w:rPr>
          <w:rFonts w:ascii="Calibri" w:hAnsi="Calibri"/>
          <w:b/>
        </w:rPr>
        <w:t>2003:</w:t>
      </w:r>
      <w:r>
        <w:rPr>
          <w:rFonts w:ascii="Calibri" w:hAnsi="Calibri"/>
        </w:rPr>
        <w:t xml:space="preserve"> FICC created by merging GSCC and Mortgage-Backed Securities Clearing Corporation (MBSCC).</w:t>
      </w:r>
    </w:p>
    <w:p>
      <w:pPr>
        <w:pStyle w:val="ListBullet"/>
      </w:pPr>
      <w:r>
        <w:rPr>
          <w:rFonts w:ascii="Calibri" w:hAnsi="Calibri"/>
          <w:b/>
        </w:rPr>
        <w:t>2012:</w:t>
      </w:r>
      <w:r>
        <w:rPr>
          <w:rFonts w:ascii="Calibri" w:hAnsi="Calibri"/>
        </w:rPr>
        <w:t xml:space="preserve"> DTC, NSCC, and FICC designated as Systemically Important Financial Market Utilities (SIFMUs) by FSOC under Dodd-Frank Title VIII.</w:t>
      </w:r>
    </w:p>
    <w:p>
      <w:pPr>
        <w:pStyle w:val="ListBullet"/>
      </w:pPr>
      <w:r>
        <w:rPr>
          <w:rFonts w:ascii="Calibri" w:hAnsi="Calibri"/>
          <w:b/>
        </w:rPr>
        <w:t>2017:</w:t>
      </w:r>
      <w:r>
        <w:rPr>
          <w:rFonts w:ascii="Calibri" w:hAnsi="Calibri"/>
        </w:rPr>
        <w:t xml:space="preserve"> SEC Rule 17Ad-22(e) enhanced standards for covered clearing agencies took effect (April 2017).</w:t>
      </w:r>
    </w:p>
    <w:p>
      <w:pPr>
        <w:pStyle w:val="ListBullet"/>
      </w:pPr>
      <w:r>
        <w:rPr>
          <w:rFonts w:ascii="Calibri" w:hAnsi="Calibri"/>
          <w:b/>
        </w:rPr>
        <w:t>2017:</w:t>
      </w:r>
      <w:r>
        <w:rPr>
          <w:rFonts w:ascii="Calibri" w:hAnsi="Calibri"/>
        </w:rPr>
        <w:t xml:space="preserve"> U.S. settlement cycle shortened from T+3 to T+2 (September 2017).</w:t>
      </w:r>
    </w:p>
    <w:p>
      <w:pPr>
        <w:pStyle w:val="ListBullet"/>
      </w:pPr>
      <w:r>
        <w:rPr>
          <w:rFonts w:ascii="Calibri" w:hAnsi="Calibri"/>
          <w:b/>
        </w:rPr>
        <w:t>2019:</w:t>
      </w:r>
      <w:r>
        <w:rPr>
          <w:rFonts w:ascii="Calibri" w:hAnsi="Calibri"/>
        </w:rPr>
        <w:t xml:space="preserve"> DTCC sold EuroCCP to Cboe Global Markets.</w:t>
      </w:r>
    </w:p>
    <w:p>
      <w:pPr>
        <w:pStyle w:val="ListBullet"/>
      </w:pPr>
      <w:r>
        <w:rPr>
          <w:rFonts w:ascii="Calibri" w:hAnsi="Calibri"/>
          <w:b/>
        </w:rPr>
        <w:t>2022:</w:t>
      </w:r>
      <w:r>
        <w:rPr>
          <w:rFonts w:ascii="Calibri" w:hAnsi="Calibri"/>
        </w:rPr>
        <w:t xml:space="preserve"> Project Ion DLT-based settlement platform went live in parallel production, processing 100,000+ equity transactions daily.</w:t>
      </w:r>
    </w:p>
    <w:p>
      <w:pPr>
        <w:pStyle w:val="ListBullet"/>
      </w:pPr>
      <w:r>
        <w:rPr>
          <w:rFonts w:ascii="Calibri" w:hAnsi="Calibri"/>
          <w:b/>
        </w:rPr>
        <w:t>2023:</w:t>
      </w:r>
      <w:r>
        <w:rPr>
          <w:rFonts w:ascii="Calibri" w:hAnsi="Calibri"/>
        </w:rPr>
        <w:t xml:space="preserve"> DTCC acquired Securrency (rebranded DTCC Digital Assets) for digital asset infrastructure.</w:t>
      </w:r>
    </w:p>
    <w:p>
      <w:pPr>
        <w:pStyle w:val="ListBullet"/>
      </w:pPr>
      <w:r>
        <w:rPr>
          <w:rFonts w:ascii="Calibri" w:hAnsi="Calibri"/>
          <w:b/>
        </w:rPr>
        <w:t>2024 (May 28):</w:t>
      </w:r>
      <w:r>
        <w:rPr>
          <w:rFonts w:ascii="Calibri" w:hAnsi="Calibri"/>
        </w:rPr>
        <w:t xml:space="preserve"> U.S. settlement cycle shortened from T+2 to T+1; NSCC clearing fund reduced ~23% ($3 billion).</w:t>
      </w:r>
    </w:p>
    <w:p>
      <w:pPr>
        <w:pStyle w:val="ListBullet"/>
      </w:pPr>
      <w:r>
        <w:rPr>
          <w:rFonts w:ascii="Calibri" w:hAnsi="Calibri"/>
          <w:b/>
        </w:rPr>
        <w:t>2024 (December):</w:t>
      </w:r>
      <w:r>
        <w:rPr>
          <w:rFonts w:ascii="Calibri" w:hAnsi="Calibri"/>
        </w:rPr>
        <w:t xml:space="preserve"> SEC adopted Treasury clearing mandate (Rule 17Ad-22(e) amendments) requiring expanded central clearing of U.S. Treasury cash and repo transactions through FICC, with compliance dates December 31, 2026 (cash) and June 30, 2027 (repo).</w:t>
      </w:r>
    </w:p>
    <w:p>
      <w:pPr>
        <w:pStyle w:val="ListBullet"/>
      </w:pPr>
      <w:r>
        <w:rPr>
          <w:rFonts w:ascii="Calibri" w:hAnsi="Calibri"/>
          <w:b/>
        </w:rPr>
        <w:t>2025 (June):</w:t>
      </w:r>
      <w:r>
        <w:rPr>
          <w:rFonts w:ascii="Calibri" w:hAnsi="Calibri"/>
        </w:rPr>
        <w:t xml:space="preserve"> DTC surpassed $100 trillion in assets under custody.</w:t>
      </w:r>
    </w:p>
    <w:p>
      <w:pPr>
        <w:pStyle w:val="ListBullet"/>
      </w:pPr>
      <w:r>
        <w:rPr>
          <w:rFonts w:ascii="Calibri" w:hAnsi="Calibri"/>
          <w:b/>
        </w:rPr>
        <w:t>2025 (December):</w:t>
      </w:r>
      <w:r>
        <w:rPr>
          <w:rFonts w:ascii="Calibri" w:hAnsi="Calibri"/>
        </w:rPr>
        <w:t xml:space="preserve"> SEC issued No-Action Letter authorizing DTC to offer tokenization services on the Canton Network for DTC-custodied U.S. Treasury securities.</w:t>
      </w:r>
    </w:p>
    <w:p>
      <w:pPr>
        <w:pStyle w:val="ListBullet"/>
      </w:pPr>
      <w:r>
        <w:rPr>
          <w:rFonts w:ascii="Calibri" w:hAnsi="Calibri"/>
          <w:b/>
        </w:rPr>
        <w:t>2026:</w:t>
      </w:r>
      <w:r>
        <w:rPr>
          <w:rFonts w:ascii="Calibri" w:hAnsi="Calibri"/>
        </w:rPr>
        <w:t xml:space="preserve"> DTCC Digital Assets Solutions launched as new business line; Canton Network tokenization MVP in controlled production planned for H1 2026.</w:t>
      </w:r>
    </w:p>
    <w:p>
      <w:pPr>
        <w:pStyle w:val="Heading3"/>
      </w:pPr>
      <w:r>
        <w:rPr>
          <w:rFonts w:ascii="Calibri" w:hAnsi="Calibri"/>
        </w:rPr>
        <w:t>Key Financial Data (2024)</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Metric</w:t>
            </w:r>
          </w:p>
        </w:tc>
        <w:tc>
          <w:tcPr>
            <w:tcW w:type="dxa" w:w="4320"/>
            <w:shd w:fill="4472C4" w:val="clear"/>
          </w:tcPr>
          <w:p>
            <w:pPr/>
            <w:r>
              <w:rPr>
                <w:b/>
                <w:color w:val="FFFFFF"/>
              </w:rPr>
            </w:r>
            <w:r>
              <w:rPr>
                <w:rFonts w:ascii="Calibri" w:hAnsi="Calibri"/>
                <w:b/>
                <w:color w:val="FFFFFF"/>
              </w:rPr>
              <w:t>Value</w:t>
            </w:r>
          </w:p>
        </w:tc>
      </w:tr>
      <w:tr>
        <w:tc>
          <w:tcPr>
            <w:tcW w:type="dxa" w:w="4320"/>
          </w:tcPr>
          <w:p>
            <w:pPr/>
            <w:r/>
            <w:r>
              <w:rPr>
                <w:rFonts w:ascii="Calibri" w:hAnsi="Calibri"/>
              </w:rPr>
              <w:t>Revenue</w:t>
            </w:r>
          </w:p>
        </w:tc>
        <w:tc>
          <w:tcPr>
            <w:tcW w:type="dxa" w:w="4320"/>
          </w:tcPr>
          <w:p>
            <w:pPr/>
            <w:r/>
            <w:r>
              <w:rPr>
                <w:rFonts w:ascii="Calibri" w:hAnsi="Calibri"/>
              </w:rPr>
              <w:t>$2.49 billion</w:t>
            </w:r>
          </w:p>
        </w:tc>
      </w:tr>
      <w:tr>
        <w:tc>
          <w:tcPr>
            <w:tcW w:type="dxa" w:w="4320"/>
          </w:tcPr>
          <w:p>
            <w:pPr/>
            <w:r/>
            <w:r>
              <w:rPr>
                <w:rFonts w:ascii="Calibri" w:hAnsi="Calibri"/>
              </w:rPr>
              <w:t>Net Income</w:t>
            </w:r>
          </w:p>
        </w:tc>
        <w:tc>
          <w:tcPr>
            <w:tcW w:type="dxa" w:w="4320"/>
          </w:tcPr>
          <w:p>
            <w:pPr/>
            <w:r/>
            <w:r>
              <w:rPr>
                <w:rFonts w:ascii="Calibri" w:hAnsi="Calibri"/>
              </w:rPr>
              <w:t>$488 million</w:t>
            </w:r>
          </w:p>
        </w:tc>
      </w:tr>
      <w:tr>
        <w:tc>
          <w:tcPr>
            <w:tcW w:type="dxa" w:w="4320"/>
          </w:tcPr>
          <w:p>
            <w:pPr/>
            <w:r/>
            <w:r>
              <w:rPr>
                <w:rFonts w:ascii="Calibri" w:hAnsi="Calibri"/>
              </w:rPr>
              <w:t>EBITDA</w:t>
            </w:r>
          </w:p>
        </w:tc>
        <w:tc>
          <w:tcPr>
            <w:tcW w:type="dxa" w:w="4320"/>
          </w:tcPr>
          <w:p>
            <w:pPr/>
            <w:r/>
            <w:r>
              <w:rPr>
                <w:rFonts w:ascii="Calibri" w:hAnsi="Calibri"/>
              </w:rPr>
              <w:t>$609 million</w:t>
            </w:r>
          </w:p>
        </w:tc>
      </w:tr>
      <w:tr>
        <w:tc>
          <w:tcPr>
            <w:tcW w:type="dxa" w:w="4320"/>
          </w:tcPr>
          <w:p>
            <w:pPr/>
            <w:r/>
            <w:r>
              <w:rPr>
                <w:rFonts w:ascii="Calibri" w:hAnsi="Calibri"/>
              </w:rPr>
              <w:t>Total Assets</w:t>
            </w:r>
          </w:p>
        </w:tc>
        <w:tc>
          <w:tcPr>
            <w:tcW w:type="dxa" w:w="4320"/>
          </w:tcPr>
          <w:p>
            <w:pPr/>
            <w:r/>
            <w:r>
              <w:rPr>
                <w:rFonts w:ascii="Calibri" w:hAnsi="Calibri"/>
              </w:rPr>
              <w:t>$122.6 billion</w:t>
            </w:r>
          </w:p>
        </w:tc>
      </w:tr>
      <w:tr>
        <w:tc>
          <w:tcPr>
            <w:tcW w:type="dxa" w:w="4320"/>
          </w:tcPr>
          <w:p>
            <w:pPr/>
            <w:r/>
            <w:r>
              <w:rPr>
                <w:rFonts w:ascii="Calibri" w:hAnsi="Calibri"/>
              </w:rPr>
              <w:t>Total Equity</w:t>
            </w:r>
          </w:p>
        </w:tc>
        <w:tc>
          <w:tcPr>
            <w:tcW w:type="dxa" w:w="4320"/>
          </w:tcPr>
          <w:p>
            <w:pPr/>
            <w:r/>
            <w:r>
              <w:rPr>
                <w:rFonts w:ascii="Calibri" w:hAnsi="Calibri"/>
              </w:rPr>
              <w:t>$4.3 billion</w:t>
            </w:r>
          </w:p>
        </w:tc>
      </w:tr>
      <w:tr>
        <w:tc>
          <w:tcPr>
            <w:tcW w:type="dxa" w:w="4320"/>
          </w:tcPr>
          <w:p>
            <w:pPr/>
            <w:r/>
            <w:r>
              <w:rPr>
                <w:rFonts w:ascii="Calibri" w:hAnsi="Calibri"/>
              </w:rPr>
              <w:t>Employees</w:t>
            </w:r>
          </w:p>
        </w:tc>
        <w:tc>
          <w:tcPr>
            <w:tcW w:type="dxa" w:w="4320"/>
          </w:tcPr>
          <w:p>
            <w:pPr/>
            <w:r/>
            <w:r>
              <w:rPr>
                <w:rFonts w:ascii="Calibri" w:hAnsi="Calibri"/>
              </w:rPr>
              <w:t>~5,000</w:t>
            </w:r>
          </w:p>
        </w:tc>
      </w:tr>
      <w:tr>
        <w:tc>
          <w:tcPr>
            <w:tcW w:type="dxa" w:w="4320"/>
          </w:tcPr>
          <w:p>
            <w:pPr/>
            <w:r/>
            <w:r>
              <w:rPr>
                <w:rFonts w:ascii="Calibri" w:hAnsi="Calibri"/>
              </w:rPr>
              <w:t>Securities Transactions Processed</w:t>
            </w:r>
          </w:p>
        </w:tc>
        <w:tc>
          <w:tcPr>
            <w:tcW w:type="dxa" w:w="4320"/>
          </w:tcPr>
          <w:p>
            <w:pPr/>
            <w:r/>
            <w:r>
              <w:rPr>
                <w:rFonts w:ascii="Calibri" w:hAnsi="Calibri"/>
              </w:rPr>
              <w:t>$3.7 quadrillion (value)</w:t>
            </w:r>
          </w:p>
        </w:tc>
      </w:tr>
      <w:tr>
        <w:tc>
          <w:tcPr>
            <w:tcW w:type="dxa" w:w="4320"/>
          </w:tcPr>
          <w:p>
            <w:pPr/>
            <w:r/>
            <w:r>
              <w:rPr>
                <w:rFonts w:ascii="Calibri" w:hAnsi="Calibri"/>
              </w:rPr>
              <w:t>Assets Under Custody (DTC)</w:t>
            </w:r>
          </w:p>
        </w:tc>
        <w:tc>
          <w:tcPr>
            <w:tcW w:type="dxa" w:w="4320"/>
          </w:tcPr>
          <w:p>
            <w:pPr/>
            <w:r/>
            <w:r>
              <w:rPr>
                <w:rFonts w:ascii="Calibri" w:hAnsi="Calibri"/>
              </w:rPr>
              <w:t>$99 trillion (2024); exceeded $100 trillion in June 2025</w:t>
            </w:r>
          </w:p>
        </w:tc>
      </w:tr>
      <w:tr>
        <w:tc>
          <w:tcPr>
            <w:tcW w:type="dxa" w:w="4320"/>
          </w:tcPr>
          <w:p>
            <w:pPr/>
            <w:r/>
            <w:r>
              <w:rPr>
                <w:rFonts w:ascii="Calibri" w:hAnsi="Calibri"/>
              </w:rPr>
              <w:t>Securities Issues in Custody</w:t>
            </w:r>
          </w:p>
        </w:tc>
        <w:tc>
          <w:tcPr>
            <w:tcW w:type="dxa" w:w="4320"/>
          </w:tcPr>
          <w:p>
            <w:pPr/>
            <w:r/>
            <w:r>
              <w:rPr>
                <w:rFonts w:ascii="Calibri" w:hAnsi="Calibri"/>
              </w:rPr>
              <w:t>1.44 million+ from 170+ countries/territories</w:t>
            </w:r>
          </w:p>
        </w:tc>
      </w:tr>
    </w:tbl>
    <w:p/>
    <w:p>
      <w:r>
        <w:rPr>
          <w:rFonts w:ascii="Calibri" w:hAnsi="Calibri"/>
        </w:rPr>
        <w:t>*Sources: DTCC 2024 Annual Report (</w:t>
      </w:r>
      <w:r>
        <w:rPr>
          <w:rFonts w:ascii="Calibri" w:hAnsi="Calibri"/>
          <w:color w:val="0563C1"/>
          <w:u w:val="single"/>
        </w:rPr>
        <w:t>dtcc.com/annuals/2024</w:t>
      </w:r>
      <w:r>
        <w:rPr>
          <w:rFonts w:ascii="Calibri" w:hAnsi="Calibri"/>
        </w:rPr>
        <w:t>); DTCC Wikipedia (</w:t>
      </w:r>
      <w:r>
        <w:rPr>
          <w:rFonts w:ascii="Calibri" w:hAnsi="Calibri"/>
          <w:color w:val="0563C1"/>
          <w:u w:val="single"/>
        </w:rPr>
        <w:t>en.wikipedia.org</w:t>
      </w:r>
      <w:r>
        <w:rPr>
          <w:rFonts w:ascii="Calibri" w:hAnsi="Calibri"/>
        </w:rPr>
        <w:t>)*</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DTCC provides CCP services through two subsidiaries: NSCC (equities and related products) and FICC (fixed income). DTC functions as the CSD and settlement platform.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Sub-entity</w:t>
            </w:r>
          </w:p>
        </w:tc>
        <w:tc>
          <w:tcPr>
            <w:tcW w:type="dxa" w:w="2160"/>
            <w:shd w:fill="4472C4" w:val="clear"/>
          </w:tcPr>
          <w:p>
            <w:pPr/>
            <w:r>
              <w:rPr>
                <w:b/>
                <w:color w:val="FFFFFF"/>
              </w:rPr>
            </w:r>
            <w:r>
              <w:rPr>
                <w:rFonts w:ascii="Calibri" w:hAnsi="Calibri"/>
                <w:b/>
                <w:color w:val="FFFFFF"/>
              </w:rPr>
              <w:t>Product Class</w:t>
            </w:r>
          </w:p>
        </w:tc>
        <w:tc>
          <w:tcPr>
            <w:tcW w:type="dxa" w:w="2160"/>
            <w:shd w:fill="4472C4" w:val="clear"/>
          </w:tcPr>
          <w:p>
            <w:pPr/>
            <w:r>
              <w:rPr>
                <w:b/>
                <w:color w:val="FFFFFF"/>
              </w:rPr>
            </w:r>
            <w:r>
              <w:rPr>
                <w:rFonts w:ascii="Calibri" w:hAnsi="Calibri"/>
                <w:b/>
                <w:color w:val="FFFFFF"/>
              </w:rPr>
              <w:t>Service Description</w:t>
            </w:r>
          </w:p>
        </w:tc>
        <w:tc>
          <w:tcPr>
            <w:tcW w:type="dxa" w:w="2160"/>
            <w:shd w:fill="4472C4" w:val="clear"/>
          </w:tcPr>
          <w:p>
            <w:pPr/>
            <w:r>
              <w:rPr>
                <w:b/>
                <w:color w:val="FFFFFF"/>
              </w:rPr>
            </w:r>
            <w:r>
              <w:rPr>
                <w:rFonts w:ascii="Calibri" w:hAnsi="Calibri"/>
                <w:b/>
                <w:color w:val="FFFFFF"/>
              </w:rPr>
              <w:t>Volume / Scale</w:t>
            </w:r>
          </w:p>
        </w:tc>
      </w:tr>
      <w:tr>
        <w:tc>
          <w:tcPr>
            <w:tcW w:type="dxa" w:w="2160"/>
          </w:tcPr>
          <w:p>
            <w:pPr/>
            <w:r/>
            <w:r>
              <w:rPr>
                <w:rFonts w:ascii="Calibri" w:hAnsi="Calibri"/>
                <w:b/>
              </w:rPr>
              <w:t>NSCC</w:t>
            </w:r>
          </w:p>
        </w:tc>
        <w:tc>
          <w:tcPr>
            <w:tcW w:type="dxa" w:w="2160"/>
          </w:tcPr>
          <w:p>
            <w:pPr/>
            <w:r/>
            <w:r>
              <w:rPr>
                <w:rFonts w:ascii="Calibri" w:hAnsi="Calibri"/>
              </w:rPr>
              <w:t>Equities, ETFs, ADRs</w:t>
            </w:r>
          </w:p>
        </w:tc>
        <w:tc>
          <w:tcPr>
            <w:tcW w:type="dxa" w:w="2160"/>
          </w:tcPr>
          <w:p>
            <w:pPr/>
            <w:r/>
            <w:r>
              <w:rPr>
                <w:rFonts w:ascii="Calibri" w:hAnsi="Calibri"/>
              </w:rPr>
              <w:t>Trade comparison, netting, CCP guarantee via CNS system</w:t>
            </w:r>
          </w:p>
        </w:tc>
        <w:tc>
          <w:tcPr>
            <w:tcW w:type="dxa" w:w="2160"/>
          </w:tcPr>
          <w:p>
            <w:pPr/>
            <w:r/>
            <w:r>
              <w:rPr>
                <w:rFonts w:ascii="Calibri" w:hAnsi="Calibri"/>
              </w:rPr>
              <w:t>Peak daily value: $5.55 trillion (April 9, 2025); ~4,000 participants</w:t>
            </w:r>
          </w:p>
        </w:tc>
      </w:tr>
      <w:tr>
        <w:tc>
          <w:tcPr>
            <w:tcW w:type="dxa" w:w="2160"/>
          </w:tcPr>
          <w:p>
            <w:pPr/>
            <w:r/>
            <w:r>
              <w:rPr>
                <w:rFonts w:ascii="Calibri" w:hAnsi="Calibri"/>
                <w:b/>
              </w:rPr>
              <w:t>NSCC</w:t>
            </w:r>
          </w:p>
        </w:tc>
        <w:tc>
          <w:tcPr>
            <w:tcW w:type="dxa" w:w="2160"/>
          </w:tcPr>
          <w:p>
            <w:pPr/>
            <w:r/>
            <w:r>
              <w:rPr>
                <w:rFonts w:ascii="Calibri" w:hAnsi="Calibri"/>
              </w:rPr>
              <w:t>Corporate &amp; Municipal Bonds</w:t>
            </w:r>
          </w:p>
        </w:tc>
        <w:tc>
          <w:tcPr>
            <w:tcW w:type="dxa" w:w="2160"/>
          </w:tcPr>
          <w:p>
            <w:pPr/>
            <w:r/>
            <w:r>
              <w:rPr>
                <w:rFonts w:ascii="Calibri" w:hAnsi="Calibri"/>
              </w:rPr>
              <w:t>Clearing and settlement for corporate and municipal debt</w:t>
            </w:r>
          </w:p>
        </w:tc>
        <w:tc>
          <w:tcPr>
            <w:tcW w:type="dxa" w:w="2160"/>
          </w:tcPr>
          <w:p>
            <w:pPr/>
            <w:r/>
            <w:r>
              <w:rPr>
                <w:rFonts w:ascii="Calibri" w:hAnsi="Calibri"/>
              </w:rPr>
              <w:t>Included in NSCC volumes</w:t>
            </w:r>
          </w:p>
        </w:tc>
      </w:tr>
      <w:tr>
        <w:tc>
          <w:tcPr>
            <w:tcW w:type="dxa" w:w="2160"/>
          </w:tcPr>
          <w:p>
            <w:pPr/>
            <w:r/>
            <w:r>
              <w:rPr>
                <w:rFonts w:ascii="Calibri" w:hAnsi="Calibri"/>
                <w:b/>
              </w:rPr>
              <w:t>NSCC</w:t>
            </w:r>
          </w:p>
        </w:tc>
        <w:tc>
          <w:tcPr>
            <w:tcW w:type="dxa" w:w="2160"/>
          </w:tcPr>
          <w:p>
            <w:pPr/>
            <w:r/>
            <w:r>
              <w:rPr>
                <w:rFonts w:ascii="Calibri" w:hAnsi="Calibri"/>
              </w:rPr>
              <w:t>UITs, Mutual Funds</w:t>
            </w:r>
          </w:p>
        </w:tc>
        <w:tc>
          <w:tcPr>
            <w:tcW w:type="dxa" w:w="2160"/>
          </w:tcPr>
          <w:p>
            <w:pPr/>
            <w:r/>
            <w:r>
              <w:rPr>
                <w:rFonts w:ascii="Calibri" w:hAnsi="Calibri"/>
              </w:rPr>
              <w:t>Fund/SERV and Networking services for mutual fund processing</w:t>
            </w:r>
          </w:p>
        </w:tc>
        <w:tc>
          <w:tcPr>
            <w:tcW w:type="dxa" w:w="2160"/>
          </w:tcPr>
          <w:p>
            <w:pPr/>
            <w:r/>
            <w:r>
              <w:rPr>
                <w:rFonts w:ascii="Calibri" w:hAnsi="Calibri"/>
              </w:rPr>
              <w:t>--</w:t>
            </w:r>
          </w:p>
        </w:tc>
      </w:tr>
      <w:tr>
        <w:tc>
          <w:tcPr>
            <w:tcW w:type="dxa" w:w="2160"/>
          </w:tcPr>
          <w:p>
            <w:pPr/>
            <w:r/>
            <w:r>
              <w:rPr>
                <w:rFonts w:ascii="Calibri" w:hAnsi="Calibri"/>
                <w:b/>
              </w:rPr>
              <w:t>FICC-GSD</w:t>
            </w:r>
          </w:p>
        </w:tc>
        <w:tc>
          <w:tcPr>
            <w:tcW w:type="dxa" w:w="2160"/>
          </w:tcPr>
          <w:p>
            <w:pPr/>
            <w:r/>
            <w:r>
              <w:rPr>
                <w:rFonts w:ascii="Calibri" w:hAnsi="Calibri"/>
              </w:rPr>
              <w:t>U.S. Government Securities</w:t>
            </w:r>
          </w:p>
        </w:tc>
        <w:tc>
          <w:tcPr>
            <w:tcW w:type="dxa" w:w="2160"/>
          </w:tcPr>
          <w:p>
            <w:pPr/>
            <w:r/>
            <w:r>
              <w:rPr>
                <w:rFonts w:ascii="Calibri" w:hAnsi="Calibri"/>
              </w:rPr>
              <w:t>Trade comparison, netting, settlement, CCP for Treasuries and agency debt</w:t>
            </w:r>
          </w:p>
        </w:tc>
        <w:tc>
          <w:tcPr>
            <w:tcW w:type="dxa" w:w="2160"/>
          </w:tcPr>
          <w:p>
            <w:pPr/>
            <w:r/>
            <w:r>
              <w:rPr>
                <w:rFonts w:ascii="Calibri" w:hAnsi="Calibri"/>
              </w:rPr>
              <w:t>Peak daily volume: $13.2 trillion (Dec 1, 2025); 42% YoY activity increase in 2024</w:t>
            </w:r>
          </w:p>
        </w:tc>
      </w:tr>
      <w:tr>
        <w:tc>
          <w:tcPr>
            <w:tcW w:type="dxa" w:w="2160"/>
          </w:tcPr>
          <w:p>
            <w:pPr/>
            <w:r/>
            <w:r>
              <w:rPr>
                <w:rFonts w:ascii="Calibri" w:hAnsi="Calibri"/>
                <w:b/>
              </w:rPr>
              <w:t>FICC-GSD</w:t>
            </w:r>
          </w:p>
        </w:tc>
        <w:tc>
          <w:tcPr>
            <w:tcW w:type="dxa" w:w="2160"/>
          </w:tcPr>
          <w:p>
            <w:pPr/>
            <w:r/>
            <w:r>
              <w:rPr>
                <w:rFonts w:ascii="Calibri" w:hAnsi="Calibri"/>
              </w:rPr>
              <w:t>Repos (incl. GCF Repo, Sponsored GC, Triparty)</w:t>
            </w:r>
          </w:p>
        </w:tc>
        <w:tc>
          <w:tcPr>
            <w:tcW w:type="dxa" w:w="2160"/>
          </w:tcPr>
          <w:p>
            <w:pPr/>
            <w:r/>
            <w:r>
              <w:rPr>
                <w:rFonts w:ascii="Calibri" w:hAnsi="Calibri"/>
              </w:rPr>
              <w:t>CCP clearing for repo transactions; Sponsored Member access for buy-side</w:t>
            </w:r>
          </w:p>
        </w:tc>
        <w:tc>
          <w:tcPr>
            <w:tcW w:type="dxa" w:w="2160"/>
          </w:tcPr>
          <w:p>
            <w:pPr/>
            <w:r/>
            <w:r>
              <w:rPr>
                <w:rFonts w:ascii="Calibri" w:hAnsi="Calibri"/>
              </w:rPr>
              <w:t>Peak buy-side activity: $3.1 trillion (Dec 31, 2025)</w:t>
            </w:r>
          </w:p>
        </w:tc>
      </w:tr>
      <w:tr>
        <w:tc>
          <w:tcPr>
            <w:tcW w:type="dxa" w:w="2160"/>
          </w:tcPr>
          <w:p>
            <w:pPr/>
            <w:r/>
            <w:r>
              <w:rPr>
                <w:rFonts w:ascii="Calibri" w:hAnsi="Calibri"/>
                <w:b/>
              </w:rPr>
              <w:t>FICC-MBSD</w:t>
            </w:r>
          </w:p>
        </w:tc>
        <w:tc>
          <w:tcPr>
            <w:tcW w:type="dxa" w:w="2160"/>
          </w:tcPr>
          <w:p>
            <w:pPr/>
            <w:r/>
            <w:r>
              <w:rPr>
                <w:rFonts w:ascii="Calibri" w:hAnsi="Calibri"/>
              </w:rPr>
              <w:t>Mortgage-Backed Securities (MBS)</w:t>
            </w:r>
          </w:p>
        </w:tc>
        <w:tc>
          <w:tcPr>
            <w:tcW w:type="dxa" w:w="2160"/>
          </w:tcPr>
          <w:p>
            <w:pPr/>
            <w:r/>
            <w:r>
              <w:rPr>
                <w:rFonts w:ascii="Calibri" w:hAnsi="Calibri"/>
              </w:rPr>
              <w:t>Trade comparison, netting, pool notification for TBA and specified pool MBS</w:t>
            </w:r>
          </w:p>
        </w:tc>
        <w:tc>
          <w:tcPr>
            <w:tcW w:type="dxa" w:w="2160"/>
          </w:tcPr>
          <w:p>
            <w:pPr/>
            <w:r/>
            <w:r>
              <w:rPr>
                <w:rFonts w:ascii="Calibri" w:hAnsi="Calibri"/>
              </w:rPr>
              <w:t>--</w:t>
            </w:r>
          </w:p>
        </w:tc>
      </w:tr>
      <w:tr>
        <w:tc>
          <w:tcPr>
            <w:tcW w:type="dxa" w:w="2160"/>
          </w:tcPr>
          <w:p>
            <w:pPr/>
            <w:r/>
            <w:r>
              <w:rPr>
                <w:rFonts w:ascii="Calibri" w:hAnsi="Calibri"/>
                <w:b/>
              </w:rPr>
              <w:t>DTC</w:t>
            </w:r>
          </w:p>
        </w:tc>
        <w:tc>
          <w:tcPr>
            <w:tcW w:type="dxa" w:w="2160"/>
          </w:tcPr>
          <w:p>
            <w:pPr/>
            <w:r/>
            <w:r>
              <w:rPr>
                <w:rFonts w:ascii="Calibri" w:hAnsi="Calibri"/>
              </w:rPr>
              <w:t>All eligible securities</w:t>
            </w:r>
          </w:p>
        </w:tc>
        <w:tc>
          <w:tcPr>
            <w:tcW w:type="dxa" w:w="2160"/>
          </w:tcPr>
          <w:p>
            <w:pPr/>
            <w:r/>
            <w:r>
              <w:rPr>
                <w:rFonts w:ascii="Calibri" w:hAnsi="Calibri"/>
              </w:rPr>
              <w:t>Central depository, book-entry ownership transfer, custody, asset servicing, corporate actions</w:t>
            </w:r>
          </w:p>
        </w:tc>
        <w:tc>
          <w:tcPr>
            <w:tcW w:type="dxa" w:w="2160"/>
          </w:tcPr>
          <w:p>
            <w:pPr/>
            <w:r/>
            <w:r>
              <w:rPr>
                <w:rFonts w:ascii="Calibri" w:hAnsi="Calibri"/>
              </w:rPr>
              <w:t>$100+ trillion in assets under custody (2025)</w:t>
            </w:r>
          </w:p>
        </w:tc>
      </w:tr>
    </w:tbl>
    <w:p/>
    <w:p>
      <w:r>
        <w:rPr>
          <w:rFonts w:ascii="Calibri" w:hAnsi="Calibri"/>
        </w:rPr>
        <w:t>*Sources: DTCC 2024 Annual Report; DTCC press releases (</w:t>
      </w:r>
      <w:r>
        <w:rPr>
          <w:rFonts w:ascii="Calibri" w:hAnsi="Calibri"/>
          <w:color w:val="0563C1"/>
          <w:u w:val="single"/>
        </w:rPr>
        <w:t>dtcc.com/news</w:t>
      </w:r>
      <w:r>
        <w:rPr>
          <w:rFonts w:ascii="Calibri" w:hAnsi="Calibri"/>
        </w:rPr>
        <w:t>); FICC GSD FAQ (</w:t>
      </w:r>
      <w:r>
        <w:rPr>
          <w:rFonts w:ascii="Calibri" w:hAnsi="Calibri"/>
          <w:color w:val="0563C1"/>
          <w:u w:val="single"/>
        </w:rPr>
        <w:t>dtcc.com/ustclearing</w:t>
      </w:r>
      <w:r>
        <w:rPr>
          <w:rFonts w:ascii="Calibri" w:hAnsi="Calibri"/>
        </w:rPr>
        <w:t>)*</w:t>
      </w:r>
    </w:p>
    <w:p>
      <w:pPr>
        <w:pStyle w:val="Heading3"/>
      </w:pPr>
      <w:r>
        <w:rPr>
          <w:rFonts w:ascii="Calibri" w:hAnsi="Calibri"/>
        </w:rPr>
        <w:t>2.2 Novation Process</w:t>
      </w:r>
    </w:p>
    <w:p>
      <w:r>
        <w:rPr>
          <w:rFonts w:ascii="Calibri" w:hAnsi="Calibri"/>
          <w:b/>
        </w:rPr>
        <w:t>NSCC (CNS System):</w:t>
      </w:r>
    </w:p>
    <w:p>
      <w:pPr>
        <w:pStyle w:val="ListBullet"/>
      </w:pPr>
      <w:r>
        <w:rPr>
          <w:rFonts w:ascii="Calibri" w:hAnsi="Calibri"/>
        </w:rPr>
        <w:t xml:space="preserve">NSCC interposes itself as CCP through </w:t>
      </w:r>
      <w:r>
        <w:rPr>
          <w:rFonts w:ascii="Calibri" w:hAnsi="Calibri"/>
          <w:b/>
        </w:rPr>
        <w:t>novation</w:t>
      </w:r>
      <w:r>
        <w:rPr>
          <w:rFonts w:ascii="Calibri" w:hAnsi="Calibri"/>
        </w:rPr>
        <w:t xml:space="preserve"> -- upon trade comparison and recording, NSCC becomes the legal counterparty to both buyer and seller.</w:t>
      </w:r>
    </w:p>
    <w:p>
      <w:pPr>
        <w:pStyle w:val="ListBullet"/>
      </w:pPr>
      <w:r>
        <w:rPr>
          <w:rFonts w:ascii="Calibri" w:hAnsi="Calibri"/>
        </w:rPr>
        <w:t xml:space="preserve">The </w:t>
      </w:r>
      <w:r>
        <w:rPr>
          <w:rFonts w:ascii="Calibri" w:hAnsi="Calibri"/>
          <w:b/>
        </w:rPr>
        <w:t>Continuous Net Settlement (CNS)</w:t>
      </w:r>
      <w:r>
        <w:rPr>
          <w:rFonts w:ascii="Calibri" w:hAnsi="Calibri"/>
        </w:rPr>
        <w:t xml:space="preserve"> system is NSCC's core netting and settlement engine. All compared trades in CNS-eligible securities are netted by CUSIP into a single net long (buy) or net short (sell) position per participant per settlement date.</w:t>
      </w:r>
    </w:p>
    <w:p>
      <w:pPr>
        <w:pStyle w:val="ListBullet"/>
      </w:pPr>
      <w:r>
        <w:rPr>
          <w:rFonts w:ascii="Calibri" w:hAnsi="Calibri"/>
        </w:rPr>
        <w:t>NSCC guarantees completion of settlement for trades accepted into the CNS system.</w:t>
      </w:r>
    </w:p>
    <w:p>
      <w:r>
        <w:rPr>
          <w:rFonts w:ascii="Calibri" w:hAnsi="Calibri"/>
          <w:b/>
        </w:rPr>
        <w:t>FICC (GSD and MBSD):</w:t>
      </w:r>
    </w:p>
    <w:p>
      <w:pPr>
        <w:pStyle w:val="ListBullet"/>
      </w:pPr>
      <w:r>
        <w:rPr>
          <w:rFonts w:ascii="Calibri" w:hAnsi="Calibri"/>
        </w:rPr>
        <w:t>FICC similarly novates trades, becoming the CCP to each Netting Member.</w:t>
      </w:r>
    </w:p>
    <w:p>
      <w:pPr>
        <w:pStyle w:val="ListBullet"/>
      </w:pPr>
      <w:r>
        <w:rPr>
          <w:rFonts w:ascii="Calibri" w:hAnsi="Calibri"/>
        </w:rPr>
        <w:t>GSD uses a real-time trade comparison system and nets trades for settlement.</w:t>
      </w:r>
    </w:p>
    <w:p>
      <w:pPr>
        <w:pStyle w:val="ListBullet"/>
      </w:pPr>
      <w:r>
        <w:rPr>
          <w:rFonts w:ascii="Calibri" w:hAnsi="Calibri"/>
        </w:rPr>
        <w:t>MBSD provides Electronic Pool Notification (EPN) and processes TBA (To-Be-Announced) trades.</w:t>
      </w:r>
    </w:p>
    <w:p>
      <w:r>
        <w:rPr>
          <w:rFonts w:ascii="Calibri" w:hAnsi="Calibri"/>
        </w:rPr>
        <w:t>*Sources: NSCC Disclosure Framework (</w:t>
      </w:r>
      <w:r>
        <w:rPr>
          <w:rFonts w:ascii="Calibri" w:hAnsi="Calibri"/>
          <w:color w:val="0563C1"/>
          <w:u w:val="single"/>
        </w:rPr>
        <w:t>dtcc.com</w:t>
      </w:r>
      <w:r>
        <w:rPr>
          <w:rFonts w:ascii="Calibri" w:hAnsi="Calibri"/>
        </w:rPr>
        <w:t>); CNS overview (</w:t>
      </w:r>
      <w:r>
        <w:rPr>
          <w:rFonts w:ascii="Calibri" w:hAnsi="Calibri"/>
          <w:color w:val="0563C1"/>
          <w:u w:val="single"/>
        </w:rPr>
        <w:t>dtcclearning.com</w:t>
      </w:r>
      <w:r>
        <w:rPr>
          <w:rFonts w:ascii="Calibri" w:hAnsi="Calibri"/>
        </w:rPr>
        <w:t>)*</w:t>
      </w:r>
    </w:p>
    <w:p>
      <w:pPr>
        <w:pStyle w:val="Heading3"/>
      </w:pPr>
      <w:r>
        <w:rPr>
          <w:rFonts w:ascii="Calibri" w:hAnsi="Calibri"/>
        </w:rPr>
        <w:t>2.3 Netting</w:t>
      </w:r>
    </w:p>
    <w:p>
      <w:r>
        <w:rPr>
          <w:rFonts w:ascii="Calibri" w:hAnsi="Calibri"/>
          <w:b/>
        </w:rPr>
        <w:t>NSCC:</w:t>
      </w:r>
    </w:p>
    <w:p>
      <w:pPr>
        <w:pStyle w:val="ListBullet"/>
      </w:pPr>
      <w:r>
        <w:rPr>
          <w:rFonts w:ascii="Calibri" w:hAnsi="Calibri"/>
          <w:b/>
        </w:rPr>
        <w:t>Multilateral netting</w:t>
      </w:r>
      <w:r>
        <w:rPr>
          <w:rFonts w:ascii="Calibri" w:hAnsi="Calibri"/>
        </w:rPr>
        <w:t xml:space="preserve"> through CNS reduces the value of payments that need to be exchanged by an average of </w:t>
      </w:r>
      <w:r>
        <w:rPr>
          <w:rFonts w:ascii="Calibri" w:hAnsi="Calibri"/>
          <w:b/>
        </w:rPr>
        <w:t>98% each day</w:t>
      </w:r>
      <w:r>
        <w:rPr>
          <w:rFonts w:ascii="Calibri" w:hAnsi="Calibri"/>
        </w:rPr>
        <w:t>.</w:t>
      </w:r>
    </w:p>
    <w:p>
      <w:pPr>
        <w:pStyle w:val="ListBullet"/>
      </w:pPr>
      <w:r>
        <w:rPr>
          <w:rFonts w:ascii="Calibri" w:hAnsi="Calibri"/>
        </w:rPr>
        <w:t>Each security is netted to one position per participant, dramatically reducing the number of settlement obligations.</w:t>
      </w:r>
    </w:p>
    <w:p>
      <w:r>
        <w:rPr>
          <w:rFonts w:ascii="Calibri" w:hAnsi="Calibri"/>
          <w:b/>
        </w:rPr>
        <w:t>FICC-GSD:</w:t>
      </w:r>
    </w:p>
    <w:p>
      <w:pPr>
        <w:pStyle w:val="ListBullet"/>
      </w:pPr>
      <w:r>
        <w:rPr>
          <w:rFonts w:ascii="Calibri" w:hAnsi="Calibri"/>
        </w:rPr>
        <w:t>Multilateral netting of U.S. government securities trades among Netting Members.</w:t>
      </w:r>
    </w:p>
    <w:p>
      <w:pPr>
        <w:pStyle w:val="ListBullet"/>
      </w:pPr>
      <w:r>
        <w:rPr>
          <w:rFonts w:ascii="Calibri" w:hAnsi="Calibri"/>
        </w:rPr>
        <w:t>Netting efficiency is critical given daily volumes exceeding $10 trillion.</w:t>
      </w:r>
    </w:p>
    <w:p>
      <w:r>
        <w:rPr>
          <w:rFonts w:ascii="Calibri" w:hAnsi="Calibri"/>
          <w:b/>
        </w:rPr>
        <w:t>FICC-MBSD:</w:t>
      </w:r>
    </w:p>
    <w:p>
      <w:pPr>
        <w:pStyle w:val="ListBullet"/>
      </w:pPr>
      <w:r>
        <w:rPr>
          <w:rFonts w:ascii="Calibri" w:hAnsi="Calibri"/>
        </w:rPr>
        <w:t>Nets TBA and specified pool MBS trades, producing net delivery obligations.</w:t>
      </w:r>
    </w:p>
    <w:p>
      <w:r>
        <w:rPr>
          <w:rFonts w:ascii="Calibri" w:hAnsi="Calibri"/>
        </w:rPr>
        <w:t>*Sources: DTCC CNS page (</w:t>
      </w:r>
      <w:r>
        <w:rPr>
          <w:rFonts w:ascii="Calibri" w:hAnsi="Calibri"/>
          <w:color w:val="0563C1"/>
          <w:u w:val="single"/>
        </w:rPr>
        <w:t>dtcc.com</w:t>
      </w:r>
      <w:r>
        <w:rPr>
          <w:rFonts w:ascii="Calibri" w:hAnsi="Calibri"/>
        </w:rPr>
        <w:t>); SIFMA Insights (</w:t>
      </w:r>
      <w:r>
        <w:rPr>
          <w:rFonts w:ascii="Calibri" w:hAnsi="Calibri"/>
          <w:color w:val="0563C1"/>
          <w:u w:val="single"/>
        </w:rPr>
        <w:t>sifma.org</w:t>
      </w:r>
      <w:r>
        <w:rPr>
          <w:rFonts w:ascii="Calibri" w:hAnsi="Calibri"/>
        </w:rPr>
        <w:t>)*</w:t>
      </w:r>
    </w:p>
    <w:p>
      <w:pPr>
        <w:pStyle w:val="Heading3"/>
      </w:pPr>
      <w:r>
        <w:rPr>
          <w:rFonts w:ascii="Calibri" w:hAnsi="Calibri"/>
        </w:rPr>
        <w:t>2.4 Clearing Membership</w:t>
      </w:r>
    </w:p>
    <w:p>
      <w:pPr>
        <w:pStyle w:val="Heading3"/>
      </w:pPr>
      <w:r>
        <w:rPr>
          <w:rFonts w:ascii="Calibri" w:hAnsi="Calibri"/>
        </w:rPr>
        <w:t>NSCC Membership</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Tier</w:t>
            </w:r>
          </w:p>
        </w:tc>
        <w:tc>
          <w:tcPr>
            <w:tcW w:type="dxa" w:w="2880"/>
            <w:shd w:fill="4472C4" w:val="clear"/>
          </w:tcPr>
          <w:p>
            <w:pPr/>
            <w:r>
              <w:rPr>
                <w:b/>
                <w:color w:val="FFFFFF"/>
              </w:rPr>
            </w:r>
            <w:r>
              <w:rPr>
                <w:rFonts w:ascii="Calibri" w:hAnsi="Calibri"/>
                <w:b/>
                <w:color w:val="FFFFFF"/>
              </w:rPr>
              <w:t>Requirements</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Full-Service Clearing Member</w:t>
            </w:r>
          </w:p>
        </w:tc>
        <w:tc>
          <w:tcPr>
            <w:tcW w:type="dxa" w:w="2880"/>
          </w:tcPr>
          <w:p>
            <w:pPr/>
            <w:r/>
            <w:r>
              <w:rPr>
                <w:rFonts w:ascii="Calibri" w:hAnsi="Calibri"/>
              </w:rPr>
              <w:t>SEC-registered broker-dealer; minimum Excess Net Capital based on tiered VaR-based approach (effective Aug 2023); minimum Required Fund Deposit of $250,000</w:t>
            </w:r>
          </w:p>
        </w:tc>
        <w:tc>
          <w:tcPr>
            <w:tcW w:type="dxa" w:w="2880"/>
          </w:tcPr>
          <w:p>
            <w:pPr/>
            <w:r/>
            <w:r>
              <w:rPr>
                <w:rFonts w:ascii="Calibri" w:hAnsi="Calibri"/>
              </w:rPr>
              <w:t>Clears for self and can clear for correspondents</w:t>
            </w:r>
          </w:p>
        </w:tc>
      </w:tr>
      <w:tr>
        <w:tc>
          <w:tcPr>
            <w:tcW w:type="dxa" w:w="2880"/>
          </w:tcPr>
          <w:p>
            <w:pPr/>
            <w:r/>
            <w:r>
              <w:rPr>
                <w:rFonts w:ascii="Calibri" w:hAnsi="Calibri"/>
              </w:rPr>
              <w:t>Correspondent Clearing Member</w:t>
            </w:r>
          </w:p>
        </w:tc>
        <w:tc>
          <w:tcPr>
            <w:tcW w:type="dxa" w:w="2880"/>
          </w:tcPr>
          <w:p>
            <w:pPr/>
            <w:r/>
            <w:r>
              <w:rPr>
                <w:rFonts w:ascii="Calibri" w:hAnsi="Calibri"/>
              </w:rPr>
              <w:t>Clears through a full-service member</w:t>
            </w:r>
          </w:p>
        </w:tc>
        <w:tc>
          <w:tcPr>
            <w:tcW w:type="dxa" w:w="2880"/>
          </w:tcPr>
          <w:p>
            <w:pPr/>
            <w:r/>
            <w:r>
              <w:rPr>
                <w:rFonts w:ascii="Calibri" w:hAnsi="Calibri"/>
              </w:rPr>
              <w:t>Does not directly access NSCC</w:t>
            </w:r>
          </w:p>
        </w:tc>
      </w:tr>
      <w:tr>
        <w:tc>
          <w:tcPr>
            <w:tcW w:type="dxa" w:w="2880"/>
          </w:tcPr>
          <w:p>
            <w:pPr/>
            <w:r/>
            <w:r>
              <w:rPr>
                <w:rFonts w:ascii="Calibri" w:hAnsi="Calibri"/>
              </w:rPr>
              <w:t>Fund Member</w:t>
            </w:r>
          </w:p>
        </w:tc>
        <w:tc>
          <w:tcPr>
            <w:tcW w:type="dxa" w:w="2880"/>
          </w:tcPr>
          <w:p>
            <w:pPr/>
            <w:r/>
            <w:r>
              <w:rPr>
                <w:rFonts w:ascii="Calibri" w:hAnsi="Calibri"/>
              </w:rPr>
              <w:t>Investment companies using Fund/SERV</w:t>
            </w:r>
          </w:p>
        </w:tc>
        <w:tc>
          <w:tcPr>
            <w:tcW w:type="dxa" w:w="2880"/>
          </w:tcPr>
          <w:p>
            <w:pPr/>
            <w:r/>
            <w:r>
              <w:rPr>
                <w:rFonts w:ascii="Calibri" w:hAnsi="Calibri"/>
              </w:rPr>
              <w:t>--</w:t>
            </w:r>
          </w:p>
        </w:tc>
      </w:tr>
      <w:tr>
        <w:tc>
          <w:tcPr>
            <w:tcW w:type="dxa" w:w="2880"/>
          </w:tcPr>
          <w:p>
            <w:pPr/>
            <w:r/>
            <w:r>
              <w:rPr>
                <w:rFonts w:ascii="Calibri" w:hAnsi="Calibri"/>
              </w:rPr>
              <w:t>Insurance Carrier/Agent Member</w:t>
            </w:r>
          </w:p>
        </w:tc>
        <w:tc>
          <w:tcPr>
            <w:tcW w:type="dxa" w:w="2880"/>
          </w:tcPr>
          <w:p>
            <w:pPr/>
            <w:r/>
            <w:r>
              <w:rPr>
                <w:rFonts w:ascii="Calibri" w:hAnsi="Calibri"/>
              </w:rPr>
              <w:t>For insurance and retirement product processing</w:t>
            </w:r>
          </w:p>
        </w:tc>
        <w:tc>
          <w:tcPr>
            <w:tcW w:type="dxa" w:w="2880"/>
          </w:tcPr>
          <w:p>
            <w:pPr/>
            <w:r/>
            <w:r>
              <w:rPr>
                <w:rFonts w:ascii="Calibri" w:hAnsi="Calibri"/>
              </w:rPr>
              <w:t>--</w:t>
            </w:r>
          </w:p>
        </w:tc>
      </w:tr>
      <w:tr>
        <w:tc>
          <w:tcPr>
            <w:tcW w:type="dxa" w:w="2880"/>
          </w:tcPr>
          <w:p>
            <w:pPr/>
            <w:r/>
            <w:r>
              <w:rPr>
                <w:rFonts w:ascii="Calibri" w:hAnsi="Calibri"/>
              </w:rPr>
              <w:t>Municipal Comparison Only Member</w:t>
            </w:r>
          </w:p>
        </w:tc>
        <w:tc>
          <w:tcPr>
            <w:tcW w:type="dxa" w:w="2880"/>
          </w:tcPr>
          <w:p>
            <w:pPr/>
            <w:r/>
            <w:r>
              <w:rPr>
                <w:rFonts w:ascii="Calibri" w:hAnsi="Calibri"/>
              </w:rPr>
              <w:t>Municipal bond comparison services only</w:t>
            </w:r>
          </w:p>
        </w:tc>
        <w:tc>
          <w:tcPr>
            <w:tcW w:type="dxa" w:w="2880"/>
          </w:tcPr>
          <w:p>
            <w:pPr/>
            <w:r/>
            <w:r>
              <w:rPr>
                <w:rFonts w:ascii="Calibri" w:hAnsi="Calibri"/>
              </w:rPr>
              <w:t>--</w:t>
            </w:r>
          </w:p>
        </w:tc>
      </w:tr>
    </w:tbl>
    <w:p/>
    <w:p>
      <w:pPr>
        <w:pStyle w:val="ListBullet"/>
      </w:pPr>
      <w:r>
        <w:rPr>
          <w:rFonts w:ascii="Calibri" w:hAnsi="Calibri"/>
          <w:b/>
        </w:rPr>
        <w:t>Total NSCC participants:</w:t>
      </w:r>
      <w:r>
        <w:rPr>
          <w:rFonts w:ascii="Calibri" w:hAnsi="Calibri"/>
        </w:rPr>
        <w:t xml:space="preserve"> ~4,000</w:t>
      </w:r>
    </w:p>
    <w:p>
      <w:pPr>
        <w:pStyle w:val="ListBullet"/>
      </w:pPr>
      <w:r>
        <w:rPr>
          <w:rFonts w:ascii="Calibri" w:hAnsi="Calibri"/>
        </w:rPr>
        <w:t>Net capital requirements use tiered approach based on whether member self-clears or clears for others, and the member's daily VaR calculations.</w:t>
      </w:r>
    </w:p>
    <w:p>
      <w:pPr>
        <w:pStyle w:val="Heading3"/>
      </w:pPr>
      <w:r>
        <w:rPr>
          <w:rFonts w:ascii="Calibri" w:hAnsi="Calibri"/>
        </w:rPr>
        <w:t>FICC-GSD Membership</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Tier</w:t>
            </w:r>
          </w:p>
        </w:tc>
        <w:tc>
          <w:tcPr>
            <w:tcW w:type="dxa" w:w="2880"/>
            <w:shd w:fill="4472C4" w:val="clear"/>
          </w:tcPr>
          <w:p>
            <w:pPr/>
            <w:r>
              <w:rPr>
                <w:b/>
                <w:color w:val="FFFFFF"/>
              </w:rPr>
            </w:r>
            <w:r>
              <w:rPr>
                <w:rFonts w:ascii="Calibri" w:hAnsi="Calibri"/>
                <w:b/>
                <w:color w:val="FFFFFF"/>
              </w:rPr>
              <w:t>Requirements</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Netting Member</w:t>
            </w:r>
          </w:p>
        </w:tc>
        <w:tc>
          <w:tcPr>
            <w:tcW w:type="dxa" w:w="2880"/>
          </w:tcPr>
          <w:p>
            <w:pPr/>
            <w:r/>
            <w:r>
              <w:rPr>
                <w:rFonts w:ascii="Calibri" w:hAnsi="Calibri"/>
              </w:rPr>
              <w:t>Bank: minimum $100 million equity capital; Broker-dealer: SEC net capital requirements; Minimum Required Fund Deposit of $1,000,000 (increased from prior levels in 2022)</w:t>
            </w:r>
          </w:p>
        </w:tc>
        <w:tc>
          <w:tcPr>
            <w:tcW w:type="dxa" w:w="2880"/>
          </w:tcPr>
          <w:p>
            <w:pPr/>
            <w:r/>
            <w:r>
              <w:rPr>
                <w:rFonts w:ascii="Calibri" w:hAnsi="Calibri"/>
              </w:rPr>
              <w:t>Full clearing and netting</w:t>
            </w:r>
          </w:p>
        </w:tc>
      </w:tr>
      <w:tr>
        <w:tc>
          <w:tcPr>
            <w:tcW w:type="dxa" w:w="2880"/>
          </w:tcPr>
          <w:p>
            <w:pPr/>
            <w:r/>
            <w:r>
              <w:rPr>
                <w:rFonts w:ascii="Calibri" w:hAnsi="Calibri"/>
              </w:rPr>
              <w:t>Sponsoring Member</w:t>
            </w:r>
          </w:p>
        </w:tc>
        <w:tc>
          <w:tcPr>
            <w:tcW w:type="dxa" w:w="2880"/>
          </w:tcPr>
          <w:p>
            <w:pPr/>
            <w:r/>
            <w:r>
              <w:rPr>
                <w:rFonts w:ascii="Calibri" w:hAnsi="Calibri"/>
              </w:rPr>
              <w:t>Must be a Netting Member; sponsors institutional firms (Sponsored Members) into GSD</w:t>
            </w:r>
          </w:p>
        </w:tc>
        <w:tc>
          <w:tcPr>
            <w:tcW w:type="dxa" w:w="2880"/>
          </w:tcPr>
          <w:p>
            <w:pPr/>
            <w:r/>
            <w:r>
              <w:rPr>
                <w:rFonts w:ascii="Calibri" w:hAnsi="Calibri"/>
              </w:rPr>
              <w:t>Separate clearing fund deposits for netting and sponsoring activity</w:t>
            </w:r>
          </w:p>
        </w:tc>
      </w:tr>
      <w:tr>
        <w:tc>
          <w:tcPr>
            <w:tcW w:type="dxa" w:w="2880"/>
          </w:tcPr>
          <w:p>
            <w:pPr/>
            <w:r/>
            <w:r>
              <w:rPr>
                <w:rFonts w:ascii="Calibri" w:hAnsi="Calibri"/>
              </w:rPr>
              <w:t>Sponsored Member</w:t>
            </w:r>
          </w:p>
        </w:tc>
        <w:tc>
          <w:tcPr>
            <w:tcW w:type="dxa" w:w="2880"/>
          </w:tcPr>
          <w:p>
            <w:pPr/>
            <w:r/>
            <w:r>
              <w:rPr>
                <w:rFonts w:ascii="Calibri" w:hAnsi="Calibri"/>
              </w:rPr>
              <w:t>Institutional firm sponsored by a Sponsoring Member</w:t>
            </w:r>
          </w:p>
        </w:tc>
        <w:tc>
          <w:tcPr>
            <w:tcW w:type="dxa" w:w="2880"/>
          </w:tcPr>
          <w:p>
            <w:pPr/>
            <w:r/>
            <w:r>
              <w:rPr>
                <w:rFonts w:ascii="Calibri" w:hAnsi="Calibri"/>
              </w:rPr>
              <w:t>Access to GSD clearing without full netting membership</w:t>
            </w:r>
          </w:p>
        </w:tc>
      </w:tr>
      <w:tr>
        <w:tc>
          <w:tcPr>
            <w:tcW w:type="dxa" w:w="2880"/>
          </w:tcPr>
          <w:p>
            <w:pPr/>
            <w:r/>
            <w:r>
              <w:rPr>
                <w:rFonts w:ascii="Calibri" w:hAnsi="Calibri"/>
              </w:rPr>
              <w:t>Comparison-Only Member</w:t>
            </w:r>
          </w:p>
        </w:tc>
        <w:tc>
          <w:tcPr>
            <w:tcW w:type="dxa" w:w="2880"/>
          </w:tcPr>
          <w:p>
            <w:pPr/>
            <w:r/>
            <w:r>
              <w:rPr>
                <w:rFonts w:ascii="Calibri" w:hAnsi="Calibri"/>
              </w:rPr>
              <w:t>Trade comparison services only</w:t>
            </w:r>
          </w:p>
        </w:tc>
        <w:tc>
          <w:tcPr>
            <w:tcW w:type="dxa" w:w="2880"/>
          </w:tcPr>
          <w:p>
            <w:pPr/>
            <w:r/>
            <w:r>
              <w:rPr>
                <w:rFonts w:ascii="Calibri" w:hAnsi="Calibri"/>
              </w:rPr>
              <w:t>No netting or CCP guarantee</w:t>
            </w:r>
          </w:p>
        </w:tc>
      </w:tr>
    </w:tbl>
    <w:p/>
    <w:p>
      <w:pPr>
        <w:pStyle w:val="Heading3"/>
      </w:pPr>
      <w:r>
        <w:rPr>
          <w:rFonts w:ascii="Calibri" w:hAnsi="Calibri"/>
        </w:rPr>
        <w:t>FICC-MBSD Membership</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Tier</w:t>
            </w:r>
          </w:p>
        </w:tc>
        <w:tc>
          <w:tcPr>
            <w:tcW w:type="dxa" w:w="2880"/>
            <w:shd w:fill="4472C4" w:val="clear"/>
          </w:tcPr>
          <w:p>
            <w:pPr/>
            <w:r>
              <w:rPr>
                <w:b/>
                <w:color w:val="FFFFFF"/>
              </w:rPr>
            </w:r>
            <w:r>
              <w:rPr>
                <w:rFonts w:ascii="Calibri" w:hAnsi="Calibri"/>
                <w:b/>
                <w:color w:val="FFFFFF"/>
              </w:rPr>
              <w:t>Requirements</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Clearing Member</w:t>
            </w:r>
          </w:p>
        </w:tc>
        <w:tc>
          <w:tcPr>
            <w:tcW w:type="dxa" w:w="2880"/>
          </w:tcPr>
          <w:p>
            <w:pPr/>
            <w:r/>
            <w:r>
              <w:rPr>
                <w:rFonts w:ascii="Calibri" w:hAnsi="Calibri"/>
              </w:rPr>
              <w:t>Minimum net capital and clearing fund deposit requirements</w:t>
            </w:r>
          </w:p>
        </w:tc>
        <w:tc>
          <w:tcPr>
            <w:tcW w:type="dxa" w:w="2880"/>
          </w:tcPr>
          <w:p>
            <w:pPr/>
            <w:r/>
            <w:r>
              <w:rPr>
                <w:rFonts w:ascii="Calibri" w:hAnsi="Calibri"/>
              </w:rPr>
              <w:t>Full netting and settlement</w:t>
            </w:r>
          </w:p>
        </w:tc>
      </w:tr>
    </w:tbl>
    <w:p/>
    <w:p>
      <w:r>
        <w:rPr>
          <w:rFonts w:ascii="Calibri" w:hAnsi="Calibri"/>
        </w:rPr>
        <w:t>*Sources: NSCC Rules &amp; Procedures (</w:t>
      </w:r>
      <w:r>
        <w:rPr>
          <w:rFonts w:ascii="Calibri" w:hAnsi="Calibri"/>
          <w:color w:val="0563C1"/>
          <w:u w:val="single"/>
        </w:rPr>
        <w:t>dtcc.com</w:t>
      </w:r>
      <w:r>
        <w:rPr>
          <w:rFonts w:ascii="Calibri" w:hAnsi="Calibri"/>
        </w:rPr>
        <w:t>); FICC GSD Membership Types (</w:t>
      </w:r>
      <w:r>
        <w:rPr>
          <w:rFonts w:ascii="Calibri" w:hAnsi="Calibri"/>
          <w:color w:val="0563C1"/>
          <w:u w:val="single"/>
        </w:rPr>
        <w:t>dtcc.com</w:t>
      </w:r>
      <w:r>
        <w:rPr>
          <w:rFonts w:ascii="Calibri" w:hAnsi="Calibri"/>
        </w:rPr>
        <w:t>); SEC Order SR-FICC-2022-007 (</w:t>
      </w:r>
      <w:r>
        <w:rPr>
          <w:rFonts w:ascii="Calibri" w:hAnsi="Calibri"/>
          <w:color w:val="0563C1"/>
          <w:u w:val="single"/>
        </w:rPr>
        <w:t>federalregister.gov</w:t>
      </w:r>
      <w:r>
        <w:rPr>
          <w:rFonts w:ascii="Calibri" w:hAnsi="Calibri"/>
        </w:rPr>
        <w:t>); SEC Order SR-NSCC-2021-013 (</w:t>
      </w:r>
      <w:r>
        <w:rPr>
          <w:rFonts w:ascii="Calibri" w:hAnsi="Calibri"/>
          <w:color w:val="0563C1"/>
          <w:u w:val="single"/>
        </w:rPr>
        <w:t>federalregister.gov</w:t>
      </w:r>
      <w:r>
        <w:rPr>
          <w:rFonts w:ascii="Calibri" w:hAnsi="Calibri"/>
        </w:rPr>
        <w: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pPr>
        <w:pStyle w:val="Heading3"/>
      </w:pPr>
      <w:r>
        <w:rPr>
          <w:rFonts w:ascii="Calibri" w:hAnsi="Calibri"/>
        </w:rPr>
        <w:t>NSCC Margin (Required Fund Deposit)</w:t>
      </w:r>
    </w:p>
    <w:p>
      <w:r>
        <w:rPr>
          <w:rFonts w:ascii="Calibri" w:hAnsi="Calibri"/>
        </w:rPr>
        <w:t xml:space="preserve">Each NSCC Member's </w:t>
      </w:r>
      <w:r>
        <w:rPr>
          <w:rFonts w:ascii="Calibri" w:hAnsi="Calibri"/>
          <w:b/>
        </w:rPr>
        <w:t>Required Fund Deposit</w:t>
      </w:r>
      <w:r>
        <w:rPr>
          <w:rFonts w:ascii="Calibri" w:hAnsi="Calibri"/>
        </w:rPr>
        <w:t xml:space="preserve"> serves as margin. The deposit consists of multiple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Volatility Charge (VaR Charge)</w:t>
            </w:r>
          </w:p>
        </w:tc>
        <w:tc>
          <w:tcPr>
            <w:tcW w:type="dxa" w:w="2880"/>
          </w:tcPr>
          <w:p>
            <w:pPr/>
            <w:r/>
            <w:r>
              <w:rPr>
                <w:rFonts w:ascii="Calibri" w:hAnsi="Calibri"/>
              </w:rPr>
              <w:t>Parametric Value-at-Risk</w:t>
            </w:r>
          </w:p>
        </w:tc>
        <w:tc>
          <w:tcPr>
            <w:tcW w:type="dxa" w:w="2880"/>
          </w:tcPr>
          <w:p>
            <w:pPr/>
            <w:r/>
            <w:r>
              <w:rPr>
                <w:rFonts w:ascii="Calibri" w:hAnsi="Calibri"/>
              </w:rPr>
              <w:t xml:space="preserve">Calculated as the greatest of: (1) the larger of two VaR model calculations, (2) a gap risk measure based on the largest non-index position exceeding a concentration threshold, or (3) a portfolio margin floor based on long/short market values. VaR is designed to cover potential losses at a </w:t>
            </w:r>
            <w:r>
              <w:rPr>
                <w:rFonts w:ascii="Calibri" w:hAnsi="Calibri"/>
                <w:b/>
              </w:rPr>
              <w:t>99% confidence level</w:t>
            </w:r>
            <w:r>
              <w:rPr>
                <w:rFonts w:ascii="Calibri" w:hAnsi="Calibri"/>
              </w:rPr>
              <w:t xml:space="preserve"> over a </w:t>
            </w:r>
            <w:r>
              <w:rPr>
                <w:rFonts w:ascii="Calibri" w:hAnsi="Calibri"/>
                <w:b/>
              </w:rPr>
              <w:t>3-day liquidation period (MPOR)</w:t>
            </w:r>
            <w:r>
              <w:rPr>
                <w:rFonts w:ascii="Calibri" w:hAnsi="Calibri"/>
              </w:rPr>
              <w:t>. Uses a lookback period of historical price data.</w:t>
            </w:r>
          </w:p>
        </w:tc>
      </w:tr>
      <w:tr>
        <w:tc>
          <w:tcPr>
            <w:tcW w:type="dxa" w:w="2880"/>
          </w:tcPr>
          <w:p>
            <w:pPr/>
            <w:r/>
            <w:r>
              <w:rPr>
                <w:rFonts w:ascii="Calibri" w:hAnsi="Calibri"/>
                <w:b/>
              </w:rPr>
              <w:t>Mark-to-Market Charge</w:t>
            </w:r>
          </w:p>
        </w:tc>
        <w:tc>
          <w:tcPr>
            <w:tcW w:type="dxa" w:w="2880"/>
          </w:tcPr>
          <w:p>
            <w:pPr/>
            <w:r/>
            <w:r>
              <w:rPr>
                <w:rFonts w:ascii="Calibri" w:hAnsi="Calibri"/>
              </w:rPr>
              <w:t>Current market value</w:t>
            </w:r>
          </w:p>
        </w:tc>
        <w:tc>
          <w:tcPr>
            <w:tcW w:type="dxa" w:w="2880"/>
          </w:tcPr>
          <w:p>
            <w:pPr/>
            <w:r/>
            <w:r>
              <w:rPr>
                <w:rFonts w:ascii="Calibri" w:hAnsi="Calibri"/>
              </w:rPr>
              <w:t>Reflects unrealized gains/losses on net unsettled positions (Regular MTM and ID Net MTM)</w:t>
            </w:r>
          </w:p>
        </w:tc>
      </w:tr>
      <w:tr>
        <w:tc>
          <w:tcPr>
            <w:tcW w:type="dxa" w:w="2880"/>
          </w:tcPr>
          <w:p>
            <w:pPr/>
            <w:r/>
            <w:r>
              <w:rPr>
                <w:rFonts w:ascii="Calibri" w:hAnsi="Calibri"/>
                <w:b/>
              </w:rPr>
              <w:t>Margin Requirement Differential (MRD)</w:t>
            </w:r>
          </w:p>
        </w:tc>
        <w:tc>
          <w:tcPr>
            <w:tcW w:type="dxa" w:w="2880"/>
          </w:tcPr>
          <w:p>
            <w:pPr/>
            <w:r/>
            <w:r>
              <w:rPr>
                <w:rFonts w:ascii="Calibri" w:hAnsi="Calibri"/>
              </w:rPr>
              <w:t>Supplemental</w:t>
            </w:r>
          </w:p>
        </w:tc>
        <w:tc>
          <w:tcPr>
            <w:tcW w:type="dxa" w:w="2880"/>
          </w:tcPr>
          <w:p>
            <w:pPr/>
            <w:r/>
            <w:r>
              <w:rPr>
                <w:rFonts w:ascii="Calibri" w:hAnsi="Calibri"/>
              </w:rPr>
              <w:t>Addresses differences between NSCC margin and exchange/OCC margin for certain positions</w:t>
            </w:r>
          </w:p>
        </w:tc>
      </w:tr>
      <w:tr>
        <w:tc>
          <w:tcPr>
            <w:tcW w:type="dxa" w:w="2880"/>
          </w:tcPr>
          <w:p>
            <w:pPr/>
            <w:r/>
            <w:r>
              <w:rPr>
                <w:rFonts w:ascii="Calibri" w:hAnsi="Calibri"/>
                <w:b/>
              </w:rPr>
              <w:t>Margin Liquidity Adjustment (MLA)</w:t>
            </w:r>
          </w:p>
        </w:tc>
        <w:tc>
          <w:tcPr>
            <w:tcW w:type="dxa" w:w="2880"/>
          </w:tcPr>
          <w:p>
            <w:pPr/>
            <w:r/>
            <w:r>
              <w:rPr>
                <w:rFonts w:ascii="Calibri" w:hAnsi="Calibri"/>
              </w:rPr>
              <w:t>Liquidity-based</w:t>
            </w:r>
          </w:p>
        </w:tc>
        <w:tc>
          <w:tcPr>
            <w:tcW w:type="dxa" w:w="2880"/>
          </w:tcPr>
          <w:p>
            <w:pPr/>
            <w:r/>
            <w:r>
              <w:rPr>
                <w:rFonts w:ascii="Calibri" w:hAnsi="Calibri"/>
              </w:rPr>
              <w:t>Addresses liquidity risk for less liquid securities</w:t>
            </w:r>
          </w:p>
        </w:tc>
      </w:tr>
      <w:tr>
        <w:tc>
          <w:tcPr>
            <w:tcW w:type="dxa" w:w="2880"/>
          </w:tcPr>
          <w:p>
            <w:pPr/>
            <w:r/>
            <w:r>
              <w:rPr>
                <w:rFonts w:ascii="Calibri" w:hAnsi="Calibri"/>
                <w:b/>
              </w:rPr>
              <w:t>Excess Capital Premium</w:t>
            </w:r>
          </w:p>
        </w:tc>
        <w:tc>
          <w:tcPr>
            <w:tcW w:type="dxa" w:w="2880"/>
          </w:tcPr>
          <w:p>
            <w:pPr/>
            <w:r/>
            <w:r>
              <w:rPr>
                <w:rFonts w:ascii="Calibri" w:hAnsi="Calibri"/>
              </w:rPr>
              <w:t>Capital-based</w:t>
            </w:r>
          </w:p>
        </w:tc>
        <w:tc>
          <w:tcPr>
            <w:tcW w:type="dxa" w:w="2880"/>
          </w:tcPr>
          <w:p>
            <w:pPr/>
            <w:r/>
            <w:r>
              <w:rPr>
                <w:rFonts w:ascii="Calibri" w:hAnsi="Calibri"/>
              </w:rPr>
              <w:t>Additional charge for members whose exposure is large relative to their capital</w:t>
            </w:r>
          </w:p>
        </w:tc>
      </w:tr>
      <w:tr>
        <w:tc>
          <w:tcPr>
            <w:tcW w:type="dxa" w:w="2880"/>
          </w:tcPr>
          <w:p>
            <w:pPr/>
            <w:r/>
            <w:r>
              <w:rPr>
                <w:rFonts w:ascii="Calibri" w:hAnsi="Calibri"/>
                <w:b/>
              </w:rPr>
              <w:t>Special Charges</w:t>
            </w:r>
          </w:p>
        </w:tc>
        <w:tc>
          <w:tcPr>
            <w:tcW w:type="dxa" w:w="2880"/>
          </w:tcPr>
          <w:p>
            <w:pPr/>
            <w:r/>
            <w:r>
              <w:rPr>
                <w:rFonts w:ascii="Calibri" w:hAnsi="Calibri"/>
              </w:rPr>
              <w:t>Various</w:t>
            </w:r>
          </w:p>
        </w:tc>
        <w:tc>
          <w:tcPr>
            <w:tcW w:type="dxa" w:w="2880"/>
          </w:tcPr>
          <w:p>
            <w:pPr/>
            <w:r/>
            <w:r>
              <w:rPr>
                <w:rFonts w:ascii="Calibri" w:hAnsi="Calibri"/>
              </w:rPr>
              <w:t>Including municipal bond haircut charge, anti-cicyclical charges</w:t>
            </w:r>
          </w:p>
        </w:tc>
      </w:tr>
      <w:tr>
        <w:tc>
          <w:tcPr>
            <w:tcW w:type="dxa" w:w="2880"/>
          </w:tcPr>
          <w:p>
            <w:pPr/>
            <w:r/>
            <w:r>
              <w:rPr>
                <w:rFonts w:ascii="Calibri" w:hAnsi="Calibri"/>
                <w:b/>
              </w:rPr>
              <w:t>Intraday Volatility Charge</w:t>
            </w:r>
          </w:p>
        </w:tc>
        <w:tc>
          <w:tcPr>
            <w:tcW w:type="dxa" w:w="2880"/>
          </w:tcPr>
          <w:p>
            <w:pPr/>
            <w:r/>
            <w:r>
              <w:rPr>
                <w:rFonts w:ascii="Calibri" w:hAnsi="Calibri"/>
              </w:rPr>
              <w:t>Intraday VaR</w:t>
            </w:r>
          </w:p>
        </w:tc>
        <w:tc>
          <w:tcPr>
            <w:tcW w:type="dxa" w:w="2880"/>
          </w:tcPr>
          <w:p>
            <w:pPr/>
            <w:r/>
            <w:r>
              <w:rPr>
                <w:rFonts w:ascii="Calibri" w:hAnsi="Calibri"/>
              </w:rPr>
              <w:t>Imposed if intraday volatility change exceeds 100% of start-of-day charge AND exceeds $250,000 (adopted March 2023)</w:t>
            </w:r>
          </w:p>
        </w:tc>
      </w:tr>
      <w:tr>
        <w:tc>
          <w:tcPr>
            <w:tcW w:type="dxa" w:w="2880"/>
          </w:tcPr>
          <w:p>
            <w:pPr/>
            <w:r/>
            <w:r>
              <w:rPr>
                <w:rFonts w:ascii="Calibri" w:hAnsi="Calibri"/>
                <w:b/>
              </w:rPr>
              <w:t>Intraday Mark-to-Market Charge</w:t>
            </w:r>
          </w:p>
        </w:tc>
        <w:tc>
          <w:tcPr>
            <w:tcW w:type="dxa" w:w="2880"/>
          </w:tcPr>
          <w:p>
            <w:pPr/>
            <w:r/>
            <w:r>
              <w:rPr>
                <w:rFonts w:ascii="Calibri" w:hAnsi="Calibri"/>
              </w:rPr>
              <w:t>Intraday MTM</w:t>
            </w:r>
          </w:p>
        </w:tc>
        <w:tc>
          <w:tcPr>
            <w:tcW w:type="dxa" w:w="2880"/>
          </w:tcPr>
          <w:p>
            <w:pPr/>
            <w:r/>
            <w:r>
              <w:rPr>
                <w:rFonts w:ascii="Calibri" w:hAnsi="Calibri"/>
              </w:rPr>
              <w:t>Discretionary intraday collection based on MTM exposure changes</w:t>
            </w:r>
          </w:p>
        </w:tc>
      </w:tr>
    </w:tbl>
    <w:p/>
    <w:p>
      <w:r>
        <w:rPr>
          <w:rFonts w:ascii="Calibri" w:hAnsi="Calibri"/>
          <w:b/>
        </w:rPr>
        <w:t>Minimum Required Fund Deposit:</w:t>
      </w:r>
      <w:r>
        <w:rPr>
          <w:rFonts w:ascii="Calibri" w:hAnsi="Calibri"/>
        </w:rPr>
        <w:t xml:space="preserve"> $250,000 per member.</w:t>
      </w:r>
    </w:p>
    <w:p>
      <w:pPr>
        <w:pStyle w:val="Heading3"/>
      </w:pPr>
      <w:r>
        <w:rPr>
          <w:rFonts w:ascii="Calibri" w:hAnsi="Calibri"/>
        </w:rPr>
        <w:t>FICC-GSD Margin (Required Fund Deposit)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VaR Charge</w:t>
            </w:r>
          </w:p>
        </w:tc>
        <w:tc>
          <w:tcPr>
            <w:tcW w:type="dxa" w:w="2880"/>
          </w:tcPr>
          <w:p>
            <w:pPr/>
            <w:r/>
            <w:r>
              <w:rPr>
                <w:rFonts w:ascii="Calibri" w:hAnsi="Calibri"/>
              </w:rPr>
              <w:t>Value-at-Risk</w:t>
            </w:r>
          </w:p>
        </w:tc>
        <w:tc>
          <w:tcPr>
            <w:tcW w:type="dxa" w:w="2880"/>
          </w:tcPr>
          <w:p>
            <w:pPr/>
            <w:r/>
            <w:r>
              <w:rPr>
                <w:rFonts w:ascii="Calibri" w:hAnsi="Calibri"/>
              </w:rPr>
              <w:t xml:space="preserve">Covers potential losses during a </w:t>
            </w:r>
            <w:r>
              <w:rPr>
                <w:rFonts w:ascii="Calibri" w:hAnsi="Calibri"/>
                <w:b/>
              </w:rPr>
              <w:t>3-day liquidation period</w:t>
            </w:r>
            <w:r>
              <w:rPr>
                <w:rFonts w:ascii="Calibri" w:hAnsi="Calibri"/>
              </w:rPr>
              <w:t xml:space="preserve"> in normal market conditions; uses historical simulation methodology; confidence level targets Cover 1 standard</w:t>
            </w:r>
          </w:p>
        </w:tc>
      </w:tr>
      <w:tr>
        <w:tc>
          <w:tcPr>
            <w:tcW w:type="dxa" w:w="2880"/>
          </w:tcPr>
          <w:p>
            <w:pPr/>
            <w:r/>
            <w:r>
              <w:rPr>
                <w:rFonts w:ascii="Calibri" w:hAnsi="Calibri"/>
                <w:b/>
              </w:rPr>
              <w:t>Mark-to-Market</w:t>
            </w:r>
          </w:p>
        </w:tc>
        <w:tc>
          <w:tcPr>
            <w:tcW w:type="dxa" w:w="2880"/>
          </w:tcPr>
          <w:p>
            <w:pPr/>
            <w:r/>
            <w:r>
              <w:rPr>
                <w:rFonts w:ascii="Calibri" w:hAnsi="Calibri"/>
              </w:rPr>
              <w:t>Current market value</w:t>
            </w:r>
          </w:p>
        </w:tc>
        <w:tc>
          <w:tcPr>
            <w:tcW w:type="dxa" w:w="2880"/>
          </w:tcPr>
          <w:p>
            <w:pPr/>
            <w:r/>
            <w:r>
              <w:rPr>
                <w:rFonts w:ascii="Calibri" w:hAnsi="Calibri"/>
              </w:rPr>
              <w:t>Daily settlement of unrealized gains/losses</w:t>
            </w:r>
          </w:p>
        </w:tc>
      </w:tr>
      <w:tr>
        <w:tc>
          <w:tcPr>
            <w:tcW w:type="dxa" w:w="2880"/>
          </w:tcPr>
          <w:p>
            <w:pPr/>
            <w:r/>
            <w:r>
              <w:rPr>
                <w:rFonts w:ascii="Calibri" w:hAnsi="Calibri"/>
                <w:b/>
              </w:rPr>
              <w:t>Volatility Event Charge</w:t>
            </w:r>
          </w:p>
        </w:tc>
        <w:tc>
          <w:tcPr>
            <w:tcW w:type="dxa" w:w="2880"/>
          </w:tcPr>
          <w:p>
            <w:pPr/>
            <w:r/>
            <w:r>
              <w:rPr>
                <w:rFonts w:ascii="Calibri" w:hAnsi="Calibri"/>
              </w:rPr>
              <w:t>Event-driven</w:t>
            </w:r>
          </w:p>
        </w:tc>
        <w:tc>
          <w:tcPr>
            <w:tcW w:type="dxa" w:w="2880"/>
          </w:tcPr>
          <w:p>
            <w:pPr/>
            <w:r/>
            <w:r>
              <w:rPr>
                <w:rFonts w:ascii="Calibri" w:hAnsi="Calibri"/>
              </w:rPr>
              <w:t>Additional charge during periods of elevated market volatility (approved April 2025)</w:t>
            </w:r>
          </w:p>
        </w:tc>
      </w:tr>
      <w:tr>
        <w:tc>
          <w:tcPr>
            <w:tcW w:type="dxa" w:w="2880"/>
          </w:tcPr>
          <w:p>
            <w:pPr/>
            <w:r/>
            <w:r>
              <w:rPr>
                <w:rFonts w:ascii="Calibri" w:hAnsi="Calibri"/>
                <w:b/>
              </w:rPr>
              <w:t>Minimum Margin Amount</w:t>
            </w:r>
          </w:p>
        </w:tc>
        <w:tc>
          <w:tcPr>
            <w:tcW w:type="dxa" w:w="2880"/>
          </w:tcPr>
          <w:p>
            <w:pPr/>
            <w:r/>
            <w:r>
              <w:rPr>
                <w:rFonts w:ascii="Calibri" w:hAnsi="Calibri"/>
              </w:rPr>
              <w:t>Floor</w:t>
            </w:r>
          </w:p>
        </w:tc>
        <w:tc>
          <w:tcPr>
            <w:tcW w:type="dxa" w:w="2880"/>
          </w:tcPr>
          <w:p>
            <w:pPr/>
            <w:r/>
            <w:r>
              <w:rPr>
                <w:rFonts w:ascii="Calibri" w:hAnsi="Calibri"/>
              </w:rPr>
              <w:t>Minimum margin level irrespective of VaR calculation (approved November 2024)</w:t>
            </w:r>
          </w:p>
        </w:tc>
      </w:tr>
      <w:tr>
        <w:tc>
          <w:tcPr>
            <w:tcW w:type="dxa" w:w="2880"/>
          </w:tcPr>
          <w:p>
            <w:pPr/>
            <w:r/>
            <w:r>
              <w:rPr>
                <w:rFonts w:ascii="Calibri" w:hAnsi="Calibri"/>
                <w:b/>
              </w:rPr>
              <w:t>Coverage Charge</w:t>
            </w:r>
          </w:p>
        </w:tc>
        <w:tc>
          <w:tcPr>
            <w:tcW w:type="dxa" w:w="2880"/>
          </w:tcPr>
          <w:p>
            <w:pPr/>
            <w:r/>
            <w:r>
              <w:rPr>
                <w:rFonts w:ascii="Calibri" w:hAnsi="Calibri"/>
              </w:rPr>
              <w:t>Backtesting-based</w:t>
            </w:r>
          </w:p>
        </w:tc>
        <w:tc>
          <w:tcPr>
            <w:tcW w:type="dxa" w:w="2880"/>
          </w:tcPr>
          <w:p>
            <w:pPr/>
            <w:r/>
            <w:r>
              <w:rPr>
                <w:rFonts w:ascii="Calibri" w:hAnsi="Calibri"/>
              </w:rPr>
              <w:t>Imposed when backtesting shows insufficient coverage</w:t>
            </w:r>
          </w:p>
        </w:tc>
      </w:tr>
      <w:tr>
        <w:tc>
          <w:tcPr>
            <w:tcW w:type="dxa" w:w="2880"/>
          </w:tcPr>
          <w:p>
            <w:pPr/>
            <w:r/>
            <w:r>
              <w:rPr>
                <w:rFonts w:ascii="Calibri" w:hAnsi="Calibri"/>
                <w:b/>
              </w:rPr>
              <w:t>Blackout Period Exposure Charge</w:t>
            </w:r>
          </w:p>
        </w:tc>
        <w:tc>
          <w:tcPr>
            <w:tcW w:type="dxa" w:w="2880"/>
          </w:tcPr>
          <w:p>
            <w:pPr/>
            <w:r/>
            <w:r>
              <w:rPr>
                <w:rFonts w:ascii="Calibri" w:hAnsi="Calibri"/>
              </w:rPr>
              <w:t>Temporal</w:t>
            </w:r>
          </w:p>
        </w:tc>
        <w:tc>
          <w:tcPr>
            <w:tcW w:type="dxa" w:w="2880"/>
          </w:tcPr>
          <w:p>
            <w:pPr/>
            <w:r/>
            <w:r>
              <w:rPr>
                <w:rFonts w:ascii="Calibri" w:hAnsi="Calibri"/>
              </w:rPr>
              <w:t>Addresses risk during GSD settlement blackout periods</w:t>
            </w:r>
          </w:p>
        </w:tc>
      </w:tr>
    </w:tbl>
    <w:p/>
    <w:p>
      <w:r>
        <w:rPr>
          <w:rFonts w:ascii="Calibri" w:hAnsi="Calibri"/>
          <w:b/>
        </w:rPr>
        <w:t>Minimum Required Fund Deposit (GSD):</w:t>
      </w:r>
      <w:r>
        <w:rPr>
          <w:rFonts w:ascii="Calibri" w:hAnsi="Calibri"/>
        </w:rPr>
        <w:t xml:space="preserve"> $1,000,000 per Netting Member (increased in 2022).</w:t>
      </w:r>
    </w:p>
    <w:p>
      <w:pPr>
        <w:pStyle w:val="Heading3"/>
      </w:pPr>
      <w:r>
        <w:rPr>
          <w:rFonts w:ascii="Calibri" w:hAnsi="Calibri"/>
        </w:rPr>
        <w:t>FICC-MBSD Margin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Component</w:t>
            </w:r>
          </w:p>
        </w:tc>
        <w:tc>
          <w:tcPr>
            <w:tcW w:type="dxa" w:w="2880"/>
            <w:shd w:fill="4472C4" w:val="clear"/>
          </w:tcPr>
          <w:p>
            <w:pPr/>
            <w:r>
              <w:rPr>
                <w:b/>
                <w:color w:val="FFFFFF"/>
              </w:rPr>
            </w:r>
            <w:r>
              <w:rPr>
                <w:rFonts w:ascii="Calibri" w:hAnsi="Calibri"/>
                <w:b/>
                <w:color w:val="FFFFFF"/>
              </w:rPr>
              <w:t>Methodology</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VaR Charge</w:t>
            </w:r>
          </w:p>
        </w:tc>
        <w:tc>
          <w:tcPr>
            <w:tcW w:type="dxa" w:w="2880"/>
          </w:tcPr>
          <w:p>
            <w:pPr/>
            <w:r/>
            <w:r>
              <w:rPr>
                <w:rFonts w:ascii="Calibri" w:hAnsi="Calibri"/>
              </w:rPr>
              <w:t>Value-at-Risk</w:t>
            </w:r>
          </w:p>
        </w:tc>
        <w:tc>
          <w:tcPr>
            <w:tcW w:type="dxa" w:w="2880"/>
          </w:tcPr>
          <w:p>
            <w:pPr/>
            <w:r/>
            <w:r>
              <w:rPr>
                <w:rFonts w:ascii="Calibri" w:hAnsi="Calibri"/>
              </w:rPr>
              <w:t>Portfolio-level VaR calculation for MBS positions</w:t>
            </w:r>
          </w:p>
        </w:tc>
      </w:tr>
      <w:tr>
        <w:tc>
          <w:tcPr>
            <w:tcW w:type="dxa" w:w="2880"/>
          </w:tcPr>
          <w:p>
            <w:pPr/>
            <w:r/>
            <w:r>
              <w:rPr>
                <w:rFonts w:ascii="Calibri" w:hAnsi="Calibri"/>
                <w:b/>
              </w:rPr>
              <w:t>Mark-to-Market</w:t>
            </w:r>
          </w:p>
        </w:tc>
        <w:tc>
          <w:tcPr>
            <w:tcW w:type="dxa" w:w="2880"/>
          </w:tcPr>
          <w:p>
            <w:pPr/>
            <w:r/>
            <w:r>
              <w:rPr>
                <w:rFonts w:ascii="Calibri" w:hAnsi="Calibri"/>
              </w:rPr>
              <w:t>Current market value</w:t>
            </w:r>
          </w:p>
        </w:tc>
        <w:tc>
          <w:tcPr>
            <w:tcW w:type="dxa" w:w="2880"/>
          </w:tcPr>
          <w:p>
            <w:pPr/>
            <w:r/>
            <w:r>
              <w:rPr>
                <w:rFonts w:ascii="Calibri" w:hAnsi="Calibri"/>
              </w:rPr>
              <w:t>Daily MTM settlement</w:t>
            </w:r>
          </w:p>
        </w:tc>
      </w:tr>
      <w:tr>
        <w:tc>
          <w:tcPr>
            <w:tcW w:type="dxa" w:w="2880"/>
          </w:tcPr>
          <w:p>
            <w:pPr/>
            <w:r/>
            <w:r>
              <w:rPr>
                <w:rFonts w:ascii="Calibri" w:hAnsi="Calibri"/>
                <w:b/>
              </w:rPr>
              <w:t>Additional charges</w:t>
            </w:r>
          </w:p>
        </w:tc>
        <w:tc>
          <w:tcPr>
            <w:tcW w:type="dxa" w:w="2880"/>
          </w:tcPr>
          <w:p>
            <w:pPr/>
            <w:r/>
            <w:r>
              <w:rPr>
                <w:rFonts w:ascii="Calibri" w:hAnsi="Calibri"/>
              </w:rPr>
              <w:t>Various</w:t>
            </w:r>
          </w:p>
        </w:tc>
        <w:tc>
          <w:tcPr>
            <w:tcW w:type="dxa" w:w="2880"/>
          </w:tcPr>
          <w:p>
            <w:pPr/>
            <w:r/>
            <w:r>
              <w:rPr>
                <w:rFonts w:ascii="Calibri" w:hAnsi="Calibri"/>
              </w:rPr>
              <w:t>Including concentration charges and coverage charges</w:t>
            </w:r>
          </w:p>
        </w:tc>
      </w:tr>
    </w:tbl>
    <w:p/>
    <w:p>
      <w:r>
        <w:rPr>
          <w:rFonts w:ascii="Calibri" w:hAnsi="Calibri"/>
        </w:rPr>
        <w:t>*Sources: NSCC Disclosure Framework; SEC Rule Filings SR-NSCC-2023-003 (</w:t>
      </w:r>
      <w:r>
        <w:rPr>
          <w:rFonts w:ascii="Calibri" w:hAnsi="Calibri"/>
          <w:color w:val="0563C1"/>
          <w:u w:val="single"/>
        </w:rPr>
        <w:t>federalregister.gov</w:t>
      </w:r>
      <w:r>
        <w:rPr>
          <w:rFonts w:ascii="Calibri" w:hAnsi="Calibri"/>
        </w:rPr>
        <w:t>); SR-NSCC-2023-013 (</w:t>
      </w:r>
      <w:r>
        <w:rPr>
          <w:rFonts w:ascii="Calibri" w:hAnsi="Calibri"/>
          <w:color w:val="0563C1"/>
          <w:u w:val="single"/>
        </w:rPr>
        <w:t>federalregister.gov</w:t>
      </w:r>
      <w:r>
        <w:rPr>
          <w:rFonts w:ascii="Calibri" w:hAnsi="Calibri"/>
        </w:rPr>
        <w:t>); GSD Clearing Fund Methodology Overview (</w:t>
      </w:r>
      <w:r>
        <w:rPr>
          <w:rFonts w:ascii="Calibri" w:hAnsi="Calibri"/>
          <w:color w:val="0563C1"/>
          <w:u w:val="single"/>
        </w:rPr>
        <w:t>dtcc.com</w:t>
      </w:r>
      <w:r>
        <w:rPr>
          <w:rFonts w:ascii="Calibri" w:hAnsi="Calibri"/>
        </w:rPr>
        <w:t>); SR-FICC-2024-005 (</w:t>
      </w:r>
      <w:r>
        <w:rPr>
          <w:rFonts w:ascii="Calibri" w:hAnsi="Calibri"/>
          <w:color w:val="0563C1"/>
          <w:u w:val="single"/>
        </w:rPr>
        <w:t>federalregister.gov</w:t>
      </w:r>
      <w:r>
        <w:rPr>
          <w:rFonts w:ascii="Calibri" w:hAnsi="Calibri"/>
        </w:rPr>
        <w:t>); SR-FICC-2025-008 (</w:t>
      </w:r>
      <w:r>
        <w:rPr>
          <w:rFonts w:ascii="Calibri" w:hAnsi="Calibri"/>
          <w:color w:val="0563C1"/>
          <w:u w:val="single"/>
        </w:rPr>
        <w:t>federalregister.gov</w:t>
      </w:r>
      <w:r>
        <w:rPr>
          <w:rFonts w:ascii="Calibri" w:hAnsi="Calibri"/>
        </w:rPr>
        <w:t>)*</w:t>
      </w:r>
    </w:p>
    <w:p>
      <w:pPr>
        <w:pStyle w:val="Heading3"/>
      </w:pPr>
      <w:r>
        <w:rPr>
          <w:rFonts w:ascii="Calibri" w:hAnsi="Calibri"/>
        </w:rPr>
        <w:t>3.2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Call Type</w:t>
            </w:r>
          </w:p>
        </w:tc>
        <w:tc>
          <w:tcPr>
            <w:tcW w:type="dxa" w:w="2880"/>
            <w:shd w:fill="4472C4" w:val="clear"/>
          </w:tcPr>
          <w:p>
            <w:pPr/>
            <w:r>
              <w:rPr>
                <w:b/>
                <w:color w:val="FFFFFF"/>
              </w:rPr>
            </w:r>
            <w:r>
              <w:rPr>
                <w:rFonts w:ascii="Calibri" w:hAnsi="Calibri"/>
                <w:b/>
                <w:color w:val="FFFFFF"/>
              </w:rPr>
              <w:t>NSCC</w:t>
            </w:r>
          </w:p>
        </w:tc>
        <w:tc>
          <w:tcPr>
            <w:tcW w:type="dxa" w:w="2880"/>
            <w:shd w:fill="4472C4" w:val="clear"/>
          </w:tcPr>
          <w:p>
            <w:pPr/>
            <w:r>
              <w:rPr>
                <w:b/>
                <w:color w:val="FFFFFF"/>
              </w:rPr>
            </w:r>
            <w:r>
              <w:rPr>
                <w:rFonts w:ascii="Calibri" w:hAnsi="Calibri"/>
                <w:b/>
                <w:color w:val="FFFFFF"/>
              </w:rPr>
              <w:t>FICC (GSD/MBSD)</w:t>
            </w:r>
          </w:p>
        </w:tc>
      </w:tr>
      <w:tr>
        <w:tc>
          <w:tcPr>
            <w:tcW w:type="dxa" w:w="2880"/>
          </w:tcPr>
          <w:p>
            <w:pPr/>
            <w:r/>
            <w:r>
              <w:rPr>
                <w:rFonts w:ascii="Calibri" w:hAnsi="Calibri"/>
                <w:b/>
              </w:rPr>
              <w:t>Regular (Start-of-Day)</w:t>
            </w:r>
          </w:p>
        </w:tc>
        <w:tc>
          <w:tcPr>
            <w:tcW w:type="dxa" w:w="2880"/>
          </w:tcPr>
          <w:p>
            <w:pPr/>
            <w:r/>
            <w:r>
              <w:rPr>
                <w:rFonts w:ascii="Calibri" w:hAnsi="Calibri"/>
              </w:rPr>
              <w:t>Daily calculation and collection of Required Fund Deposit prior to start of business</w:t>
            </w:r>
          </w:p>
        </w:tc>
        <w:tc>
          <w:tcPr>
            <w:tcW w:type="dxa" w:w="2880"/>
          </w:tcPr>
          <w:p>
            <w:pPr/>
            <w:r/>
            <w:r>
              <w:rPr>
                <w:rFonts w:ascii="Calibri" w:hAnsi="Calibri"/>
              </w:rPr>
              <w:t>Daily calculation and collection of Required Fund Deposit</w:t>
            </w:r>
          </w:p>
        </w:tc>
      </w:tr>
      <w:tr>
        <w:tc>
          <w:tcPr>
            <w:tcW w:type="dxa" w:w="2880"/>
          </w:tcPr>
          <w:p>
            <w:pPr/>
            <w:r/>
            <w:r>
              <w:rPr>
                <w:rFonts w:ascii="Calibri" w:hAnsi="Calibri"/>
                <w:b/>
              </w:rPr>
              <w:t>Intraday</w:t>
            </w:r>
          </w:p>
        </w:tc>
        <w:tc>
          <w:tcPr>
            <w:tcW w:type="dxa" w:w="2880"/>
          </w:tcPr>
          <w:p>
            <w:pPr/>
            <w:r/>
            <w:r>
              <w:rPr>
                <w:rFonts w:ascii="Calibri" w:hAnsi="Calibri"/>
              </w:rPr>
              <w:t>Discretionary intraday collection: Intraday Volatility Charge (triggered when exposure &gt;= 100% increase and &gt; $250K) and Intraday MTM Charge</w:t>
            </w:r>
          </w:p>
        </w:tc>
        <w:tc>
          <w:tcPr>
            <w:tcW w:type="dxa" w:w="2880"/>
          </w:tcPr>
          <w:p>
            <w:pPr/>
            <w:r/>
            <w:r>
              <w:rPr>
                <w:rFonts w:ascii="Calibri" w:hAnsi="Calibri"/>
              </w:rPr>
              <w:t>Intraday margin calls as warranted by market conditions</w:t>
            </w:r>
          </w:p>
        </w:tc>
      </w:tr>
      <w:tr>
        <w:tc>
          <w:tcPr>
            <w:tcW w:type="dxa" w:w="2880"/>
          </w:tcPr>
          <w:p>
            <w:pPr/>
            <w:r/>
            <w:r>
              <w:rPr>
                <w:rFonts w:ascii="Calibri" w:hAnsi="Calibri"/>
                <w:b/>
              </w:rPr>
              <w:t>Ad-hoc / Extraordinary</w:t>
            </w:r>
          </w:p>
        </w:tc>
        <w:tc>
          <w:tcPr>
            <w:tcW w:type="dxa" w:w="2880"/>
          </w:tcPr>
          <w:p>
            <w:pPr/>
            <w:r/>
            <w:r>
              <w:rPr>
                <w:rFonts w:ascii="Calibri" w:hAnsi="Calibri"/>
              </w:rPr>
              <w:t>NSCC has authority to demand additional deposits at any time under Rule 15 when member's operational capability or financial responsibility is in question</w:t>
            </w:r>
          </w:p>
        </w:tc>
        <w:tc>
          <w:tcPr>
            <w:tcW w:type="dxa" w:w="2880"/>
          </w:tcPr>
          <w:p>
            <w:pPr/>
            <w:r/>
            <w:r>
              <w:rPr>
                <w:rFonts w:ascii="Calibri" w:hAnsi="Calibri"/>
              </w:rPr>
              <w:t>FICC may require additional deposits under stressed conditions</w:t>
            </w:r>
          </w:p>
        </w:tc>
      </w:tr>
    </w:tbl>
    <w:p/>
    <w:p>
      <w:pPr>
        <w:pStyle w:val="Heading3"/>
      </w:pPr>
      <w:r>
        <w:rPr>
          <w:rFonts w:ascii="Calibri" w:hAnsi="Calibri"/>
        </w:rPr>
        <w:t>3.3 Default Waterfall</w:t>
      </w:r>
    </w:p>
    <w:p>
      <w:r>
        <w:rPr>
          <w:rFonts w:ascii="Calibri" w:hAnsi="Calibri"/>
        </w:rPr>
        <w:t>The default waterfall follows a similar structure across NSCC and FICC, with separate clearing funds for each entity. Cross-guaranty arrangements exist between subsidiaries.</w:t>
      </w:r>
    </w:p>
    <w:p>
      <w:pPr>
        <w:pStyle w:val="Heading3"/>
      </w:pPr>
      <w:r>
        <w:rPr>
          <w:rFonts w:ascii="Calibri" w:hAnsi="Calibri"/>
        </w:rPr>
        <w:t>NSCC Default Waterfall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Size (approx.)</w:t>
            </w:r>
          </w:p>
        </w:tc>
      </w:tr>
      <w:tr>
        <w:tc>
          <w:tcPr>
            <w:tcW w:type="dxa" w:w="2880"/>
          </w:tcPr>
          <w:p>
            <w:pPr/>
            <w:r/>
            <w:r>
              <w:rPr>
                <w:rFonts w:ascii="Calibri" w:hAnsi="Calibri"/>
              </w:rPr>
              <w:t>1</w:t>
            </w:r>
          </w:p>
        </w:tc>
        <w:tc>
          <w:tcPr>
            <w:tcW w:type="dxa" w:w="2880"/>
          </w:tcPr>
          <w:p>
            <w:pPr/>
            <w:r/>
            <w:r>
              <w:rPr>
                <w:rFonts w:ascii="Calibri" w:hAnsi="Calibri"/>
                <w:b/>
              </w:rPr>
              <w:t>Defaulter's margin</w:t>
            </w:r>
            <w:r>
              <w:rPr>
                <w:rFonts w:ascii="Calibri" w:hAnsi="Calibri"/>
              </w:rPr>
              <w:t xml:space="preserve"> (Required Fund Deposit)</w:t>
            </w:r>
          </w:p>
        </w:tc>
        <w:tc>
          <w:tcPr>
            <w:tcW w:type="dxa" w:w="2880"/>
          </w:tcPr>
          <w:p>
            <w:pPr/>
            <w:r/>
            <w:r>
              <w:rPr>
                <w:rFonts w:ascii="Calibri" w:hAnsi="Calibri"/>
              </w:rPr>
              <w:t>Portion of ~$9.8-11 billion total Clearing Fund attributable to defaulter</w:t>
            </w:r>
          </w:p>
        </w:tc>
      </w:tr>
      <w:tr>
        <w:tc>
          <w:tcPr>
            <w:tcW w:type="dxa" w:w="2880"/>
          </w:tcPr>
          <w:p>
            <w:pPr/>
            <w:r/>
            <w:r>
              <w:rPr>
                <w:rFonts w:ascii="Calibri" w:hAnsi="Calibri"/>
              </w:rPr>
              <w:t>2</w:t>
            </w:r>
          </w:p>
        </w:tc>
        <w:tc>
          <w:tcPr>
            <w:tcW w:type="dxa" w:w="2880"/>
          </w:tcPr>
          <w:p>
            <w:pPr/>
            <w:r/>
            <w:r>
              <w:rPr>
                <w:rFonts w:ascii="Calibri" w:hAnsi="Calibri"/>
                <w:b/>
              </w:rPr>
              <w:t>Defaulter's Clearing Fund contribution</w:t>
            </w:r>
          </w:p>
        </w:tc>
        <w:tc>
          <w:tcPr>
            <w:tcW w:type="dxa" w:w="2880"/>
          </w:tcPr>
          <w:p>
            <w:pPr/>
            <w:r/>
            <w:r>
              <w:rPr>
                <w:rFonts w:ascii="Calibri" w:hAnsi="Calibri"/>
              </w:rPr>
              <w:t>Included in Layer 1 (Required Fund Deposit serves as both margin and default fund contribution at NSCC)</w:t>
            </w:r>
          </w:p>
        </w:tc>
      </w:tr>
      <w:tr>
        <w:tc>
          <w:tcPr>
            <w:tcW w:type="dxa" w:w="2880"/>
          </w:tcPr>
          <w:p>
            <w:pPr/>
            <w:r/>
            <w:r>
              <w:rPr>
                <w:rFonts w:ascii="Calibri" w:hAnsi="Calibri"/>
              </w:rPr>
              <w:t>3</w:t>
            </w:r>
          </w:p>
        </w:tc>
        <w:tc>
          <w:tcPr>
            <w:tcW w:type="dxa" w:w="2880"/>
          </w:tcPr>
          <w:p>
            <w:pPr/>
            <w:r/>
            <w:r>
              <w:rPr>
                <w:rFonts w:ascii="Calibri" w:hAnsi="Calibri"/>
                <w:b/>
              </w:rPr>
              <w:t>NSCC's corporate contribution (SITG)</w:t>
            </w:r>
          </w:p>
        </w:tc>
        <w:tc>
          <w:tcPr>
            <w:tcW w:type="dxa" w:w="2880"/>
          </w:tcPr>
          <w:p>
            <w:pPr/>
            <w:r/>
            <w:r>
              <w:rPr>
                <w:rFonts w:ascii="Calibri" w:hAnsi="Calibri"/>
              </w:rPr>
              <w:t>Generally equal to 50% of NSCC's general business risk capital requirement [unverified exact dollar amount; estimated in the range of $25-50 million based on typical CCP SITG sizing]</w:t>
            </w:r>
          </w:p>
        </w:tc>
      </w:tr>
      <w:tr>
        <w:tc>
          <w:tcPr>
            <w:tcW w:type="dxa" w:w="2880"/>
          </w:tcPr>
          <w:p>
            <w:pPr/>
            <w:r/>
            <w:r>
              <w:rPr>
                <w:rFonts w:ascii="Calibri" w:hAnsi="Calibri"/>
              </w:rPr>
              <w:t>4</w:t>
            </w:r>
          </w:p>
        </w:tc>
        <w:tc>
          <w:tcPr>
            <w:tcW w:type="dxa" w:w="2880"/>
          </w:tcPr>
          <w:p>
            <w:pPr/>
            <w:r/>
            <w:r>
              <w:rPr>
                <w:rFonts w:ascii="Calibri" w:hAnsi="Calibri"/>
                <w:b/>
              </w:rPr>
              <w:t>Non-defaulting members' Clearing Fund</w:t>
            </w:r>
          </w:p>
        </w:tc>
        <w:tc>
          <w:tcPr>
            <w:tcW w:type="dxa" w:w="2880"/>
          </w:tcPr>
          <w:p>
            <w:pPr/>
            <w:r/>
            <w:r>
              <w:rPr>
                <w:rFonts w:ascii="Calibri" w:hAnsi="Calibri"/>
              </w:rPr>
              <w:t>Remainder of ~$9.8-11 billion total Clearing Fund</w:t>
            </w:r>
          </w:p>
        </w:tc>
      </w:tr>
      <w:tr>
        <w:tc>
          <w:tcPr>
            <w:tcW w:type="dxa" w:w="2880"/>
          </w:tcPr>
          <w:p>
            <w:pPr/>
            <w:r/>
            <w:r>
              <w:rPr>
                <w:rFonts w:ascii="Calibri" w:hAnsi="Calibri"/>
              </w:rPr>
              <w:t>5</w:t>
            </w:r>
          </w:p>
        </w:tc>
        <w:tc>
          <w:tcPr>
            <w:tcW w:type="dxa" w:w="2880"/>
          </w:tcPr>
          <w:p>
            <w:pPr/>
            <w:r/>
            <w:r>
              <w:rPr>
                <w:rFonts w:ascii="Calibri" w:hAnsi="Calibri"/>
                <w:b/>
              </w:rPr>
              <w:t>Assessment powers</w:t>
            </w:r>
            <w:r>
              <w:rPr>
                <w:rFonts w:ascii="Calibri" w:hAnsi="Calibri"/>
              </w:rPr>
              <w:t xml:space="preserve"> (Loss Allocation)</w:t>
            </w:r>
          </w:p>
        </w:tc>
        <w:tc>
          <w:tcPr>
            <w:tcW w:type="dxa" w:w="2880"/>
          </w:tcPr>
          <w:p>
            <w:pPr/>
            <w:r/>
            <w:r>
              <w:rPr>
                <w:rFonts w:ascii="Calibri" w:hAnsi="Calibri"/>
              </w:rPr>
              <w:t>NSCC may assess non-defaulting members for additional contributions in successive rounds until all losses are covered. Loss Allocation Caps apply per member per Event Period.</w:t>
            </w:r>
          </w:p>
        </w:tc>
      </w:tr>
      <w:tr>
        <w:tc>
          <w:tcPr>
            <w:tcW w:type="dxa" w:w="2880"/>
          </w:tcPr>
          <w:p>
            <w:pPr/>
            <w:r/>
            <w:r>
              <w:rPr>
                <w:rFonts w:ascii="Calibri" w:hAnsi="Calibri"/>
              </w:rPr>
              <w:t>6</w:t>
            </w:r>
          </w:p>
        </w:tc>
        <w:tc>
          <w:tcPr>
            <w:tcW w:type="dxa" w:w="2880"/>
          </w:tcPr>
          <w:p>
            <w:pPr/>
            <w:r/>
            <w:r>
              <w:rPr>
                <w:rFonts w:ascii="Calibri" w:hAnsi="Calibri"/>
                <w:b/>
              </w:rPr>
              <w:t>Cross-guaranty arrangements</w:t>
            </w:r>
          </w:p>
        </w:tc>
        <w:tc>
          <w:tcPr>
            <w:tcW w:type="dxa" w:w="2880"/>
          </w:tcPr>
          <w:p>
            <w:pPr/>
            <w:r/>
            <w:r>
              <w:rPr>
                <w:rFonts w:ascii="Calibri" w:hAnsi="Calibri"/>
              </w:rPr>
              <w:t>Cross-guaranty agreements between NSCC, FICC, and DTC; also with OCC. Excess collateral from a defaulting member at one subsidiary can cover shortfalls at another.</w:t>
            </w:r>
          </w:p>
        </w:tc>
      </w:tr>
    </w:tbl>
    <w:p/>
    <w:p>
      <w:r>
        <w:rPr>
          <w:rFonts w:ascii="Calibri" w:hAnsi="Calibri"/>
          <w:b/>
        </w:rPr>
        <w:t>Total NSCC Clearing Fund:</w:t>
      </w:r>
    </w:p>
    <w:p>
      <w:pPr>
        <w:pStyle w:val="ListBullet"/>
      </w:pPr>
      <w:r>
        <w:rPr>
          <w:rFonts w:ascii="Calibri" w:hAnsi="Calibri"/>
        </w:rPr>
        <w:t>Pre-T+1 average: ~$12.2-12.8 billion</w:t>
      </w:r>
    </w:p>
    <w:p>
      <w:pPr>
        <w:pStyle w:val="ListBullet"/>
      </w:pPr>
      <w:r>
        <w:rPr>
          <w:rFonts w:ascii="Calibri" w:hAnsi="Calibri"/>
        </w:rPr>
        <w:t>Post-T+1 average (from June 2024): ~$9.8 billion (23% reduction)</w:t>
      </w:r>
    </w:p>
    <w:p>
      <w:pPr>
        <w:pStyle w:val="ListBullet"/>
      </w:pPr>
      <w:r>
        <w:rPr>
          <w:rFonts w:ascii="Calibri" w:hAnsi="Calibri"/>
        </w:rPr>
        <w:t>Daily average in 2024: $11.24 billion</w:t>
      </w:r>
    </w:p>
    <w:p>
      <w:r>
        <w:rPr>
          <w:rFonts w:ascii="Calibri" w:hAnsi="Calibri"/>
          <w:b/>
        </w:rPr>
        <w:t>NSCC Liquidity Resources:</w:t>
      </w:r>
    </w:p>
    <w:p>
      <w:pPr>
        <w:pStyle w:val="ListBullet"/>
      </w:pPr>
      <w:r>
        <w:rPr>
          <w:rFonts w:ascii="Calibri" w:hAnsi="Calibri"/>
        </w:rPr>
        <w:t>$9.6 billion committed line of credit (renewed annually; matures July 27, 2026)</w:t>
      </w:r>
    </w:p>
    <w:p>
      <w:pPr>
        <w:pStyle w:val="Heading3"/>
      </w:pPr>
      <w:r>
        <w:rPr>
          <w:rFonts w:ascii="Calibri" w:hAnsi="Calibri"/>
        </w:rPr>
        <w:t>FICC Default Waterfall (GSD and MBSD have separate clearing funds)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Size (approx.)</w:t>
            </w:r>
          </w:p>
        </w:tc>
      </w:tr>
      <w:tr>
        <w:tc>
          <w:tcPr>
            <w:tcW w:type="dxa" w:w="2880"/>
          </w:tcPr>
          <w:p>
            <w:pPr/>
            <w:r/>
            <w:r>
              <w:rPr>
                <w:rFonts w:ascii="Calibri" w:hAnsi="Calibri"/>
              </w:rPr>
              <w:t>1</w:t>
            </w:r>
          </w:p>
        </w:tc>
        <w:tc>
          <w:tcPr>
            <w:tcW w:type="dxa" w:w="2880"/>
          </w:tcPr>
          <w:p>
            <w:pPr/>
            <w:r/>
            <w:r>
              <w:rPr>
                <w:rFonts w:ascii="Calibri" w:hAnsi="Calibri"/>
                <w:b/>
              </w:rPr>
              <w:t>Defaulter's margin</w:t>
            </w:r>
            <w:r>
              <w:rPr>
                <w:rFonts w:ascii="Calibri" w:hAnsi="Calibri"/>
              </w:rPr>
              <w:t xml:space="preserve"> (Required Fund Deposit in applicable division)</w:t>
            </w:r>
          </w:p>
        </w:tc>
        <w:tc>
          <w:tcPr>
            <w:tcW w:type="dxa" w:w="2880"/>
          </w:tcPr>
          <w:p>
            <w:pPr/>
            <w:r/>
            <w:r>
              <w:rPr>
                <w:rFonts w:ascii="Calibri" w:hAnsi="Calibri"/>
              </w:rPr>
              <w:t>Portion of GSD/MBSD Clearing Fund attributable to defaulter</w:t>
            </w:r>
          </w:p>
        </w:tc>
      </w:tr>
      <w:tr>
        <w:tc>
          <w:tcPr>
            <w:tcW w:type="dxa" w:w="2880"/>
          </w:tcPr>
          <w:p>
            <w:pPr/>
            <w:r/>
            <w:r>
              <w:rPr>
                <w:rFonts w:ascii="Calibri" w:hAnsi="Calibri"/>
              </w:rPr>
              <w:t>2</w:t>
            </w:r>
          </w:p>
        </w:tc>
        <w:tc>
          <w:tcPr>
            <w:tcW w:type="dxa" w:w="2880"/>
          </w:tcPr>
          <w:p>
            <w:pPr/>
            <w:r/>
            <w:r>
              <w:rPr>
                <w:rFonts w:ascii="Calibri" w:hAnsi="Calibri"/>
                <w:b/>
              </w:rPr>
              <w:t>FICC's corporate contribution (SITG)</w:t>
            </w:r>
          </w:p>
        </w:tc>
        <w:tc>
          <w:tcPr>
            <w:tcW w:type="dxa" w:w="2880"/>
          </w:tcPr>
          <w:p>
            <w:pPr/>
            <w:r/>
            <w:r>
              <w:rPr>
                <w:rFonts w:ascii="Calibri" w:hAnsi="Calibri"/>
              </w:rPr>
              <w:t>Generally equal to 50% of FICC's general business risk capital requirement [unverified exact amount]</w:t>
            </w:r>
          </w:p>
        </w:tc>
      </w:tr>
      <w:tr>
        <w:tc>
          <w:tcPr>
            <w:tcW w:type="dxa" w:w="2880"/>
          </w:tcPr>
          <w:p>
            <w:pPr/>
            <w:r/>
            <w:r>
              <w:rPr>
                <w:rFonts w:ascii="Calibri" w:hAnsi="Calibri"/>
              </w:rPr>
              <w:t>3</w:t>
            </w:r>
          </w:p>
        </w:tc>
        <w:tc>
          <w:tcPr>
            <w:tcW w:type="dxa" w:w="2880"/>
          </w:tcPr>
          <w:p>
            <w:pPr/>
            <w:r/>
            <w:r>
              <w:rPr>
                <w:rFonts w:ascii="Calibri" w:hAnsi="Calibri"/>
                <w:b/>
              </w:rPr>
              <w:t>Non-defaulting members' Clearing Fund</w:t>
            </w:r>
            <w:r>
              <w:rPr>
                <w:rFonts w:ascii="Calibri" w:hAnsi="Calibri"/>
              </w:rPr>
              <w:t xml:space="preserve"> (of the applicable division)</w:t>
            </w:r>
          </w:p>
        </w:tc>
        <w:tc>
          <w:tcPr>
            <w:tcW w:type="dxa" w:w="2880"/>
          </w:tcPr>
          <w:p>
            <w:pPr/>
            <w:r/>
            <w:r>
              <w:rPr>
                <w:rFonts w:ascii="Calibri" w:hAnsi="Calibri"/>
              </w:rPr>
              <w:t>GSD Clearing Fund total: [unverified; estimated $15-20+ billion given $65.5 billion total IM at GSD as of Q4 2024 PQD]</w:t>
            </w:r>
          </w:p>
        </w:tc>
      </w:tr>
      <w:tr>
        <w:tc>
          <w:tcPr>
            <w:tcW w:type="dxa" w:w="2880"/>
          </w:tcPr>
          <w:p>
            <w:pPr/>
            <w:r/>
            <w:r>
              <w:rPr>
                <w:rFonts w:ascii="Calibri" w:hAnsi="Calibri"/>
              </w:rPr>
              <w:t>4</w:t>
            </w:r>
          </w:p>
        </w:tc>
        <w:tc>
          <w:tcPr>
            <w:tcW w:type="dxa" w:w="2880"/>
          </w:tcPr>
          <w:p>
            <w:pPr/>
            <w:r/>
            <w:r>
              <w:rPr>
                <w:rFonts w:ascii="Calibri" w:hAnsi="Calibri"/>
                <w:b/>
              </w:rPr>
              <w:t>Cross-division offset</w:t>
            </w:r>
          </w:p>
        </w:tc>
        <w:tc>
          <w:tcPr>
            <w:tcW w:type="dxa" w:w="2880"/>
          </w:tcPr>
          <w:p>
            <w:pPr/>
            <w:r/>
            <w:r>
              <w:rPr>
                <w:rFonts w:ascii="Calibri" w:hAnsi="Calibri"/>
              </w:rPr>
              <w:t>FICC may offset available net resources of GSD with MBSD</w:t>
            </w:r>
          </w:p>
        </w:tc>
      </w:tr>
      <w:tr>
        <w:tc>
          <w:tcPr>
            <w:tcW w:type="dxa" w:w="2880"/>
          </w:tcPr>
          <w:p>
            <w:pPr/>
            <w:r/>
            <w:r>
              <w:rPr>
                <w:rFonts w:ascii="Calibri" w:hAnsi="Calibri"/>
              </w:rPr>
              <w:t>5</w:t>
            </w:r>
          </w:p>
        </w:tc>
        <w:tc>
          <w:tcPr>
            <w:tcW w:type="dxa" w:w="2880"/>
          </w:tcPr>
          <w:p>
            <w:pPr/>
            <w:r/>
            <w:r>
              <w:rPr>
                <w:rFonts w:ascii="Calibri" w:hAnsi="Calibri"/>
                <w:b/>
              </w:rPr>
              <w:t>Assessment powers</w:t>
            </w:r>
          </w:p>
        </w:tc>
        <w:tc>
          <w:tcPr>
            <w:tcW w:type="dxa" w:w="2880"/>
          </w:tcPr>
          <w:p>
            <w:pPr/>
            <w:r/>
            <w:r>
              <w:rPr>
                <w:rFonts w:ascii="Calibri" w:hAnsi="Calibri"/>
              </w:rPr>
              <w:t>FICC may assess non-defaulting members for additional contributions</w:t>
            </w:r>
          </w:p>
        </w:tc>
      </w:tr>
      <w:tr>
        <w:tc>
          <w:tcPr>
            <w:tcW w:type="dxa" w:w="2880"/>
          </w:tcPr>
          <w:p>
            <w:pPr/>
            <w:r/>
            <w:r>
              <w:rPr>
                <w:rFonts w:ascii="Calibri" w:hAnsi="Calibri"/>
              </w:rPr>
              <w:t>6</w:t>
            </w:r>
          </w:p>
        </w:tc>
        <w:tc>
          <w:tcPr>
            <w:tcW w:type="dxa" w:w="2880"/>
          </w:tcPr>
          <w:p>
            <w:pPr/>
            <w:r/>
            <w:r>
              <w:rPr>
                <w:rFonts w:ascii="Calibri" w:hAnsi="Calibri"/>
                <w:b/>
              </w:rPr>
              <w:t>Cross-guaranty / Cross-margining</w:t>
            </w:r>
          </w:p>
        </w:tc>
        <w:tc>
          <w:tcPr>
            <w:tcW w:type="dxa" w:w="2880"/>
          </w:tcPr>
          <w:p>
            <w:pPr/>
            <w:r/>
            <w:r>
              <w:rPr>
                <w:rFonts w:ascii="Calibri" w:hAnsi="Calibri"/>
              </w:rPr>
              <w:t>Cross-guaranty with NSCC and DTC; cross-margining agreement with CME for members participating in both</w:t>
            </w:r>
          </w:p>
        </w:tc>
      </w:tr>
    </w:tbl>
    <w:p/>
    <w:p>
      <w:r>
        <w:rPr>
          <w:rFonts w:ascii="Calibri" w:hAnsi="Calibri"/>
          <w:b/>
        </w:rPr>
        <w:t>FICC-GSD Total Initial Margin Required:</w:t>
      </w:r>
      <w:r>
        <w:rPr>
          <w:rFonts w:ascii="Calibri" w:hAnsi="Calibri"/>
        </w:rPr>
        <w:t xml:space="preserve"> $65.5 billion (Q4 2024 PQD data; up 16% QoQ, 36% YoY)</w:t>
      </w:r>
    </w:p>
    <w:p>
      <w:pPr>
        <w:pStyle w:val="Heading3"/>
      </w:pPr>
      <w:r>
        <w:rPr>
          <w:rFonts w:ascii="Calibri" w:hAnsi="Calibri"/>
        </w:rPr>
        <w:t>DTC Default Resources (Participants Fund)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Layer</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Size (approx.)</w:t>
            </w:r>
          </w:p>
        </w:tc>
      </w:tr>
      <w:tr>
        <w:tc>
          <w:tcPr>
            <w:tcW w:type="dxa" w:w="2880"/>
          </w:tcPr>
          <w:p>
            <w:pPr/>
            <w:r/>
            <w:r>
              <w:rPr>
                <w:rFonts w:ascii="Calibri" w:hAnsi="Calibri"/>
              </w:rPr>
              <w:t>1</w:t>
            </w:r>
          </w:p>
        </w:tc>
        <w:tc>
          <w:tcPr>
            <w:tcW w:type="dxa" w:w="2880"/>
          </w:tcPr>
          <w:p>
            <w:pPr/>
            <w:r/>
            <w:r>
              <w:rPr>
                <w:rFonts w:ascii="Calibri" w:hAnsi="Calibri"/>
                <w:b/>
              </w:rPr>
              <w:t>Defaulter's collateral and Participants Fund deposit</w:t>
            </w:r>
          </w:p>
        </w:tc>
        <w:tc>
          <w:tcPr>
            <w:tcW w:type="dxa" w:w="2880"/>
          </w:tcPr>
          <w:p>
            <w:pPr/>
            <w:r/>
            <w:r>
              <w:rPr>
                <w:rFonts w:ascii="Calibri" w:hAnsi="Calibri"/>
              </w:rPr>
              <w:t>Portion of ~$600 million Participants Fund goal</w:t>
            </w:r>
          </w:p>
        </w:tc>
      </w:tr>
      <w:tr>
        <w:tc>
          <w:tcPr>
            <w:tcW w:type="dxa" w:w="2880"/>
          </w:tcPr>
          <w:p>
            <w:pPr/>
            <w:r/>
            <w:r>
              <w:rPr>
                <w:rFonts w:ascii="Calibri" w:hAnsi="Calibri"/>
              </w:rPr>
              <w:t>2</w:t>
            </w:r>
          </w:p>
        </w:tc>
        <w:tc>
          <w:tcPr>
            <w:tcW w:type="dxa" w:w="2880"/>
          </w:tcPr>
          <w:p>
            <w:pPr/>
            <w:r/>
            <w:r>
              <w:rPr>
                <w:rFonts w:ascii="Calibri" w:hAnsi="Calibri"/>
                <w:b/>
              </w:rPr>
              <w:t>DTC's corporate contribution</w:t>
            </w:r>
          </w:p>
        </w:tc>
        <w:tc>
          <w:tcPr>
            <w:tcW w:type="dxa" w:w="2880"/>
          </w:tcPr>
          <w:p>
            <w:pPr/>
            <w:r/>
            <w:r>
              <w:rPr>
                <w:rFonts w:ascii="Calibri" w:hAnsi="Calibri"/>
              </w:rPr>
              <w:t>50% of general business risk capital requirement</w:t>
            </w:r>
          </w:p>
        </w:tc>
      </w:tr>
      <w:tr>
        <w:tc>
          <w:tcPr>
            <w:tcW w:type="dxa" w:w="2880"/>
          </w:tcPr>
          <w:p>
            <w:pPr/>
            <w:r/>
            <w:r>
              <w:rPr>
                <w:rFonts w:ascii="Calibri" w:hAnsi="Calibri"/>
              </w:rPr>
              <w:t>3</w:t>
            </w:r>
          </w:p>
        </w:tc>
        <w:tc>
          <w:tcPr>
            <w:tcW w:type="dxa" w:w="2880"/>
          </w:tcPr>
          <w:p>
            <w:pPr/>
            <w:r/>
            <w:r>
              <w:rPr>
                <w:rFonts w:ascii="Calibri" w:hAnsi="Calibri"/>
                <w:b/>
              </w:rPr>
              <w:t>Non-defaulting Participants' Fund</w:t>
            </w:r>
          </w:p>
        </w:tc>
        <w:tc>
          <w:tcPr>
            <w:tcW w:type="dxa" w:w="2880"/>
          </w:tcPr>
          <w:p>
            <w:pPr/>
            <w:r/>
            <w:r>
              <w:rPr>
                <w:rFonts w:ascii="Calibri" w:hAnsi="Calibri"/>
              </w:rPr>
              <w:t>Remainder of Participants Fund</w:t>
            </w:r>
          </w:p>
        </w:tc>
      </w:tr>
      <w:tr>
        <w:tc>
          <w:tcPr>
            <w:tcW w:type="dxa" w:w="2880"/>
          </w:tcPr>
          <w:p>
            <w:pPr/>
            <w:r/>
            <w:r>
              <w:rPr>
                <w:rFonts w:ascii="Calibri" w:hAnsi="Calibri"/>
              </w:rPr>
              <w:t>4</w:t>
            </w:r>
          </w:p>
        </w:tc>
        <w:tc>
          <w:tcPr>
            <w:tcW w:type="dxa" w:w="2880"/>
          </w:tcPr>
          <w:p>
            <w:pPr/>
            <w:r/>
            <w:r>
              <w:rPr>
                <w:rFonts w:ascii="Calibri" w:hAnsi="Calibri"/>
                <w:b/>
              </w:rPr>
              <w:t>Assessment powers</w:t>
            </w:r>
          </w:p>
        </w:tc>
        <w:tc>
          <w:tcPr>
            <w:tcW w:type="dxa" w:w="2880"/>
          </w:tcPr>
          <w:p>
            <w:pPr/>
            <w:r/>
            <w:r>
              <w:rPr>
                <w:rFonts w:ascii="Calibri" w:hAnsi="Calibri"/>
              </w:rPr>
              <w:t>DTC may assess Participants for additional contributions</w:t>
            </w:r>
          </w:p>
        </w:tc>
      </w:tr>
    </w:tbl>
    <w:p/>
    <w:p>
      <w:pPr>
        <w:pStyle w:val="ListBullet"/>
      </w:pPr>
      <w:r>
        <w:rPr>
          <w:rFonts w:ascii="Calibri" w:hAnsi="Calibri"/>
          <w:b/>
        </w:rPr>
        <w:t>Target Participants Fund:</w:t>
      </w:r>
      <w:r>
        <w:rPr>
          <w:rFonts w:ascii="Calibri" w:hAnsi="Calibri"/>
        </w:rPr>
        <w:t xml:space="preserve"> $600 million</w:t>
      </w:r>
    </w:p>
    <w:p>
      <w:pPr>
        <w:pStyle w:val="ListBullet"/>
      </w:pPr>
      <w:r>
        <w:rPr>
          <w:rFonts w:ascii="Calibri" w:hAnsi="Calibri"/>
          <w:b/>
        </w:rPr>
        <w:t>Minimum individual deposit:</w:t>
      </w:r>
      <w:r>
        <w:rPr>
          <w:rFonts w:ascii="Calibri" w:hAnsi="Calibri"/>
        </w:rPr>
        <w:t xml:space="preserve"> $10,000; additional amounts based on rolling 60-business-day average of six highest intraday net debit peaks</w:t>
      </w:r>
    </w:p>
    <w:p>
      <w:r>
        <w:rPr>
          <w:rFonts w:ascii="Calibri" w:hAnsi="Calibri"/>
        </w:rPr>
        <w:t>*Sources: NSCC Disclosure Framework; SIFMA Insights Spotlight DTCC (</w:t>
      </w:r>
      <w:r>
        <w:rPr>
          <w:rFonts w:ascii="Calibri" w:hAnsi="Calibri"/>
          <w:color w:val="0563C1"/>
          <w:u w:val="single"/>
        </w:rPr>
        <w:t>sifma.org</w:t>
      </w:r>
      <w:r>
        <w:rPr>
          <w:rFonts w:ascii="Calibri" w:hAnsi="Calibri"/>
        </w:rPr>
        <w:t>); CPMI-IOSCO PQD Q4 2024 (</w:t>
      </w:r>
      <w:r>
        <w:rPr>
          <w:rFonts w:ascii="Calibri" w:hAnsi="Calibri"/>
          <w:color w:val="0563C1"/>
          <w:u w:val="single"/>
        </w:rPr>
        <w:t>dtcc.com</w:t>
      </w:r>
      <w:r>
        <w:rPr>
          <w:rFonts w:ascii="Calibri" w:hAnsi="Calibri"/>
        </w:rPr>
        <w:t>); NSCC Financial Statements Annual 2024 (</w:t>
      </w:r>
      <w:r>
        <w:rPr>
          <w:rFonts w:ascii="Calibri" w:hAnsi="Calibri"/>
          <w:color w:val="0563C1"/>
          <w:u w:val="single"/>
        </w:rPr>
        <w:t>dtcc.com</w:t>
      </w:r>
      <w:r>
        <w:rPr>
          <w:rFonts w:ascii="Calibri" w:hAnsi="Calibri"/>
        </w:rPr>
        <w:t>); Finadium analysis (</w:t>
      </w:r>
      <w:r>
        <w:rPr>
          <w:rFonts w:ascii="Calibri" w:hAnsi="Calibri"/>
          <w:color w:val="0563C1"/>
          <w:u w:val="single"/>
        </w:rPr>
        <w:t>finadium.com</w:t>
      </w:r>
      <w:r>
        <w:rPr>
          <w:rFonts w:ascii="Calibri" w:hAnsi="Calibri"/>
        </w:rPr>
        <w:t>); SIFMA/ICI/DTCC T+1 After Action Report (</w:t>
      </w:r>
      <w:r>
        <w:rPr>
          <w:rFonts w:ascii="Calibri" w:hAnsi="Calibri"/>
          <w:color w:val="0563C1"/>
          <w:u w:val="single"/>
        </w:rPr>
        <w:t>sifma.org</w:t>
      </w:r>
      <w:r>
        <w:rPr>
          <w:rFonts w:ascii="Calibri" w:hAnsi="Calibri"/>
        </w:rPr>
        <w:t>)*</w:t>
      </w:r>
    </w:p>
    <w:p>
      <w:pPr>
        <w:pStyle w:val="Heading3"/>
      </w:pPr>
      <w:r>
        <w:rPr>
          <w:rFonts w:ascii="Calibri" w:hAnsi="Calibri"/>
        </w:rPr>
        <w:t>3.4 Default Fund / Guarantee Fund</w:t>
      </w:r>
    </w:p>
    <w:p>
      <w:r>
        <w:rPr>
          <w:rFonts w:ascii="Calibri" w:hAnsi="Calibri"/>
          <w:b/>
        </w:rPr>
        <w:t>NSCC Clearing Fund:</w:t>
      </w:r>
    </w:p>
    <w:p>
      <w:pPr>
        <w:pStyle w:val="ListBullet"/>
      </w:pPr>
      <w:r>
        <w:rPr>
          <w:rFonts w:ascii="Calibri" w:hAnsi="Calibri"/>
        </w:rPr>
        <w:t>Total size (daily average 2024): ~$11.24 billion</w:t>
      </w:r>
    </w:p>
    <w:p>
      <w:pPr>
        <w:pStyle w:val="ListBullet"/>
      </w:pPr>
      <w:r>
        <w:rPr>
          <w:rFonts w:ascii="Calibri" w:hAnsi="Calibri"/>
        </w:rPr>
        <w:t>Post-T+1 average: ~$9.8 billion</w:t>
      </w:r>
    </w:p>
    <w:p>
      <w:pPr>
        <w:pStyle w:val="ListBullet"/>
      </w:pPr>
      <w:r>
        <w:rPr>
          <w:rFonts w:ascii="Calibri" w:hAnsi="Calibri"/>
        </w:rPr>
        <w:t>Methodology for sizing: Risk-based; each member's Required Fund Deposit calculated based on VaR Charge, MTM, and supplemental components. Aggregate fund designed to cover the default of the member (including affiliates) presenting the largest exposure (Cover 1 standard).</w:t>
      </w:r>
    </w:p>
    <w:p>
      <w:pPr>
        <w:pStyle w:val="ListBullet"/>
      </w:pPr>
      <w:r>
        <w:rPr>
          <w:rFonts w:ascii="Calibri" w:hAnsi="Calibri"/>
        </w:rPr>
        <w:t>Contribution methodology: Each member contributes proportionally based on their calculated Required Fund Deposit.</w:t>
      </w:r>
    </w:p>
    <w:p>
      <w:pPr>
        <w:pStyle w:val="ListBullet"/>
      </w:pPr>
      <w:r>
        <w:rPr>
          <w:rFonts w:ascii="Calibri" w:hAnsi="Calibri"/>
        </w:rPr>
        <w:t>Eligible collateral: Cash, U.S. Treasury securities, and certain other eligible securities (subject to haircuts).</w:t>
      </w:r>
    </w:p>
    <w:p>
      <w:pPr>
        <w:pStyle w:val="ListBullet"/>
      </w:pPr>
      <w:r>
        <w:rPr>
          <w:rFonts w:ascii="Calibri" w:hAnsi="Calibri"/>
        </w:rPr>
        <w:t>Review frequency: Daily recalculation of Required Fund Deposits; periodic model validation and stress testing.</w:t>
      </w:r>
    </w:p>
    <w:p>
      <w:r>
        <w:rPr>
          <w:rFonts w:ascii="Calibri" w:hAnsi="Calibri"/>
          <w:b/>
        </w:rPr>
        <w:t>FICC Clearing Funds (GSD and MBSD separate):</w:t>
      </w:r>
    </w:p>
    <w:p>
      <w:pPr>
        <w:pStyle w:val="ListBullet"/>
      </w:pPr>
      <w:r>
        <w:rPr>
          <w:rFonts w:ascii="Calibri" w:hAnsi="Calibri"/>
        </w:rPr>
        <w:t>Methodology: Risk-based margining using VaR methodology; designed to cover liquidation of a defaulting member's portfolio over a 3-day liquidation period.</w:t>
      </w:r>
    </w:p>
    <w:p>
      <w:pPr>
        <w:pStyle w:val="ListBullet"/>
      </w:pPr>
      <w:r>
        <w:rPr>
          <w:rFonts w:ascii="Calibri" w:hAnsi="Calibri"/>
        </w:rPr>
        <w:t>GSD minimum Required Fund Deposit: $1,000,000 per Netting Member.</w:t>
      </w:r>
    </w:p>
    <w:p>
      <w:pPr>
        <w:pStyle w:val="ListBullet"/>
      </w:pPr>
      <w:r>
        <w:rPr>
          <w:rFonts w:ascii="Calibri" w:hAnsi="Calibri"/>
        </w:rPr>
        <w:t>MBSD: Separate clearing fund with similar methodology.</w:t>
      </w:r>
    </w:p>
    <w:p>
      <w:pPr>
        <w:pStyle w:val="ListBullet"/>
      </w:pPr>
      <w:r>
        <w:rPr>
          <w:rFonts w:ascii="Calibri" w:hAnsi="Calibri"/>
        </w:rPr>
        <w:t>Maintenance fee: 0.25% per annum of average cash deposit balance (charged monthly).</w:t>
      </w:r>
    </w:p>
    <w:p>
      <w:pPr>
        <w:pStyle w:val="ListBullet"/>
      </w:pPr>
      <w:r>
        <w:rPr>
          <w:rFonts w:ascii="Calibri" w:hAnsi="Calibri"/>
        </w:rPr>
        <w:t>Review frequency: Daily recalculation; model validation as required by Rule 17Ad-22(e).</w:t>
      </w:r>
    </w:p>
    <w:p>
      <w:r>
        <w:rPr>
          <w:rFonts w:ascii="Calibri" w:hAnsi="Calibri"/>
          <w:b/>
        </w:rPr>
        <w:t>CCLF (Committed Liquidity Clearing Facility):</w:t>
      </w:r>
    </w:p>
    <w:p>
      <w:pPr>
        <w:pStyle w:val="ListBullet"/>
      </w:pPr>
      <w:r>
        <w:rPr>
          <w:rFonts w:ascii="Calibri" w:hAnsi="Calibri"/>
        </w:rPr>
        <w:t>Both GSD and MBSD maintain CCLF to address liquidity needs in a default scenario.</w:t>
      </w:r>
    </w:p>
    <w:p>
      <w:pPr>
        <w:pStyle w:val="ListBullet"/>
      </w:pPr>
      <w:r>
        <w:rPr>
          <w:rFonts w:ascii="Calibri" w:hAnsi="Calibri"/>
        </w:rPr>
        <w:t>Members must attest that they understand their CCLF obligations and incorporate them into liquidity planning.</w:t>
      </w:r>
    </w:p>
    <w:p>
      <w:pPr>
        <w:pStyle w:val="ListBullet"/>
      </w:pPr>
      <w:r>
        <w:rPr>
          <w:rFonts w:ascii="Calibri" w:hAnsi="Calibri"/>
        </w:rPr>
        <w:t>CCLF sized based on the largest liquidity need from the default of the member (including affiliates) presenting the greatest liquidity exposure over a specified lookback period, plus a buffer.</w:t>
      </w:r>
    </w:p>
    <w:p>
      <w:r>
        <w:rPr>
          <w:rFonts w:ascii="Calibri" w:hAnsi="Calibri"/>
        </w:rPr>
        <w:t>*Sources: NSCC Financial Statements; GSD Clearing Fund Methodology Overview (</w:t>
      </w:r>
      <w:r>
        <w:rPr>
          <w:rFonts w:ascii="Calibri" w:hAnsi="Calibri"/>
          <w:color w:val="0563C1"/>
          <w:u w:val="single"/>
        </w:rPr>
        <w:t>dtcc.com</w:t>
      </w:r>
      <w:r>
        <w:rPr>
          <w:rFonts w:ascii="Calibri" w:hAnsi="Calibri"/>
        </w:rPr>
        <w:t>); SR-FICC-2024-003 (</w:t>
      </w:r>
      <w:r>
        <w:rPr>
          <w:rFonts w:ascii="Calibri" w:hAnsi="Calibri"/>
          <w:color w:val="0563C1"/>
          <w:u w:val="single"/>
        </w:rPr>
        <w:t>federalregister.gov</w:t>
      </w:r>
      <w:r>
        <w:rPr>
          <w:rFonts w:ascii="Calibri" w:hAnsi="Calibri"/>
        </w:rPr>
        <w:t>)*</w:t>
      </w:r>
    </w:p>
    <w:p>
      <w:pPr>
        <w:pStyle w:val="Heading3"/>
      </w:pPr>
      <w:r>
        <w:rPr>
          <w:rFonts w:ascii="Calibri" w:hAnsi="Calibri"/>
        </w:rPr>
        <w:t>3.5 Stress Testing &amp; Back-testing</w:t>
      </w:r>
    </w:p>
    <w:p>
      <w:r>
        <w:rPr>
          <w:rFonts w:ascii="Calibri" w:hAnsi="Calibri"/>
          <w:b/>
        </w:rPr>
        <w:t>Stress Testing:</w:t>
      </w:r>
    </w:p>
    <w:p>
      <w:pPr>
        <w:pStyle w:val="ListBullet"/>
      </w:pPr>
      <w:r>
        <w:rPr>
          <w:rFonts w:ascii="Calibri" w:hAnsi="Calibri"/>
        </w:rPr>
        <w:t xml:space="preserve">NSCC, FICC, and DTC conduct </w:t>
      </w:r>
      <w:r>
        <w:rPr>
          <w:rFonts w:ascii="Calibri" w:hAnsi="Calibri"/>
          <w:b/>
        </w:rPr>
        <w:t>daily stress testing</w:t>
      </w:r>
      <w:r>
        <w:rPr>
          <w:rFonts w:ascii="Calibri" w:hAnsi="Calibri"/>
        </w:rPr>
        <w:t xml:space="preserve"> of their margin and clearing fund adequacy.</w:t>
      </w:r>
    </w:p>
    <w:p>
      <w:pPr>
        <w:pStyle w:val="ListBullet"/>
      </w:pPr>
      <w:r>
        <w:rPr>
          <w:rFonts w:ascii="Calibri" w:hAnsi="Calibri"/>
        </w:rPr>
        <w:t>Scenarios include historical stress events, hypothetical scenarios, and combined scenarios.</w:t>
      </w:r>
    </w:p>
    <w:p>
      <w:pPr>
        <w:pStyle w:val="ListBullet"/>
      </w:pPr>
      <w:r>
        <w:rPr>
          <w:rFonts w:ascii="Calibri" w:hAnsi="Calibri"/>
          <w:b/>
        </w:rPr>
        <w:t>Cover 1 standard:</w:t>
      </w:r>
      <w:r>
        <w:rPr>
          <w:rFonts w:ascii="Calibri" w:hAnsi="Calibri"/>
        </w:rPr>
        <w:t xml:space="preserve"> Each CCP's pre-funded resources (including margin and clearing fund) must be sufficient to cover the default of the single member (and its affiliates) presenting the largest aggregate exposure under extreme but plausible market conditions.</w:t>
      </w:r>
    </w:p>
    <w:p>
      <w:pPr>
        <w:pStyle w:val="ListBullet"/>
      </w:pPr>
      <w:r>
        <w:rPr>
          <w:rFonts w:ascii="Calibri" w:hAnsi="Calibri"/>
        </w:rPr>
        <w:t>NSCC stress tests cover equity market crashes, interest rate shocks, credit events, and combined scenarios.</w:t>
      </w:r>
    </w:p>
    <w:p>
      <w:pPr>
        <w:pStyle w:val="ListBullet"/>
      </w:pPr>
      <w:r>
        <w:rPr>
          <w:rFonts w:ascii="Calibri" w:hAnsi="Calibri"/>
        </w:rPr>
        <w:t>FICC stress tests cover interest rate and yield curve movements, spread widening, and prepayment risk for MBS.</w:t>
      </w:r>
    </w:p>
    <w:p>
      <w:r>
        <w:rPr>
          <w:rFonts w:ascii="Calibri" w:hAnsi="Calibri"/>
          <w:b/>
        </w:rPr>
        <w:t>Back-testing:</w:t>
      </w:r>
    </w:p>
    <w:p>
      <w:pPr>
        <w:pStyle w:val="ListBullet"/>
      </w:pPr>
      <w:r>
        <w:rPr>
          <w:rFonts w:ascii="Calibri" w:hAnsi="Calibri"/>
        </w:rPr>
        <w:t>Daily back-testing of margin model coverage.</w:t>
      </w:r>
    </w:p>
    <w:p>
      <w:pPr>
        <w:pStyle w:val="ListBullet"/>
      </w:pPr>
      <w:r>
        <w:rPr>
          <w:rFonts w:ascii="Calibri" w:hAnsi="Calibri"/>
          <w:b/>
        </w:rPr>
        <w:t>NSCC Q4 2024 PQD:</w:t>
      </w:r>
      <w:r>
        <w:rPr>
          <w:rFonts w:ascii="Calibri" w:hAnsi="Calibri"/>
        </w:rPr>
        <w:t xml:space="preserve"> 12-month backtesting coverage level of </w:t>
      </w:r>
      <w:r>
        <w:rPr>
          <w:rFonts w:ascii="Calibri" w:hAnsi="Calibri"/>
          <w:b/>
        </w:rPr>
        <w:t>99.9%</w:t>
      </w:r>
      <w:r>
        <w:rPr>
          <w:rFonts w:ascii="Calibri" w:hAnsi="Calibri"/>
        </w:rPr>
        <w:t xml:space="preserve">; largest deficiency in Q4 2024 was </w:t>
      </w:r>
      <w:r>
        <w:rPr>
          <w:rFonts w:ascii="Calibri" w:hAnsi="Calibri"/>
          <w:b/>
        </w:rPr>
        <w:t>$129.6 million</w:t>
      </w:r>
      <w:r>
        <w:rPr>
          <w:rFonts w:ascii="Calibri" w:hAnsi="Calibri"/>
        </w:rPr>
        <w:t xml:space="preserve"> on December 11, 2024.</w:t>
      </w:r>
    </w:p>
    <w:p>
      <w:pPr>
        <w:pStyle w:val="ListBullet"/>
      </w:pPr>
      <w:r>
        <w:rPr>
          <w:rFonts w:ascii="Calibri" w:hAnsi="Calibri"/>
        </w:rPr>
        <w:t>Results reviewed by risk management and reported to the Board Risk Committee.</w:t>
      </w:r>
    </w:p>
    <w:p>
      <w:pPr>
        <w:pStyle w:val="ListBullet"/>
      </w:pPr>
      <w:r>
        <w:rPr>
          <w:rFonts w:ascii="Calibri" w:hAnsi="Calibri"/>
        </w:rPr>
        <w:t>Model performance metrics trigger reviews and potential recalibration when coverage drops below target thresholds.</w:t>
      </w:r>
    </w:p>
    <w:p>
      <w:r>
        <w:rPr>
          <w:rFonts w:ascii="Calibri" w:hAnsi="Calibri"/>
          <w:b/>
        </w:rPr>
        <w:t>Model Validation:</w:t>
      </w:r>
    </w:p>
    <w:p>
      <w:pPr>
        <w:pStyle w:val="ListBullet"/>
      </w:pPr>
      <w:r>
        <w:rPr>
          <w:rFonts w:ascii="Calibri" w:hAnsi="Calibri"/>
        </w:rPr>
        <w:t>Independent model validation conducted at least annually, as required by SEC Rule 17Ad-22(e)(6).</w:t>
      </w:r>
    </w:p>
    <w:p>
      <w:pPr>
        <w:pStyle w:val="ListBullet"/>
      </w:pPr>
      <w:r>
        <w:rPr>
          <w:rFonts w:ascii="Calibri" w:hAnsi="Calibri"/>
        </w:rPr>
        <w:t>External validation by independent parties.</w:t>
      </w:r>
    </w:p>
    <w:p>
      <w:r>
        <w:rPr>
          <w:rFonts w:ascii="Calibri" w:hAnsi="Calibri"/>
        </w:rPr>
        <w:t>*Sources: CPMI-IOSCO PQD Q4 2024; NSCC Disclosure Framework; SEC Rule 17Ad-22(e)*</w:t>
      </w:r>
    </w:p>
    <w:p>
      <w:pPr>
        <w:pStyle w:val="Heading3"/>
      </w:pPr>
      <w:r>
        <w:rPr>
          <w:rFonts w:ascii="Calibri" w:hAnsi="Calibri"/>
        </w:rPr>
        <w:t>3.6 Recovery &amp; Resolution</w:t>
      </w:r>
    </w:p>
    <w:p>
      <w:r>
        <w:rPr>
          <w:rFonts w:ascii="Calibri" w:hAnsi="Calibri"/>
          <w:b/>
        </w:rPr>
        <w:t>Recovery &amp; Wind-Down (R&amp;W) Plan:</w:t>
      </w:r>
    </w:p>
    <w:p>
      <w:pPr>
        <w:pStyle w:val="ListBullet"/>
      </w:pPr>
      <w:r>
        <w:rPr>
          <w:rFonts w:ascii="Calibri" w:hAnsi="Calibri"/>
        </w:rPr>
        <w:t>DTC, NSCC, and FICC each maintain a comprehensive Recovery &amp; Wind-Down Plan, managed by DTCC's Office of Recovery &amp; Resolution Planning (R&amp;R Team).</w:t>
      </w:r>
    </w:p>
    <w:p>
      <w:pPr>
        <w:pStyle w:val="ListBullet"/>
      </w:pPr>
      <w:r>
        <w:rPr>
          <w:rFonts w:ascii="Calibri" w:hAnsi="Calibri"/>
        </w:rPr>
        <w:t>Plans are reviewed and overseen by the DTCC Executive Committee and Board.</w:t>
      </w:r>
    </w:p>
    <w:p>
      <w:pPr>
        <w:pStyle w:val="ListBullet"/>
      </w:pPr>
      <w:r>
        <w:rPr>
          <w:rFonts w:ascii="Calibri" w:hAnsi="Calibri"/>
        </w:rPr>
        <w:t>Most recent review completed in 2024; amended in April-June 2025 to comply with SEC Rule 17ad-26 (compliance date: December 15, 2025).</w:t>
      </w:r>
    </w:p>
    <w:p>
      <w:r>
        <w:rPr>
          <w:rFonts w:ascii="Calibri" w:hAnsi="Calibri"/>
          <w:b/>
        </w:rPr>
        <w:t>Recovery Scenarios:</w:t>
      </w:r>
    </w:p>
    <w:p>
      <w:pPr>
        <w:pStyle w:val="ListBullet"/>
      </w:pPr>
      <w:r>
        <w:rPr>
          <w:rFonts w:ascii="Calibri" w:hAnsi="Calibri"/>
          <w:b/>
        </w:rPr>
        <w:t>Uncovered credit losses</w:t>
      </w:r>
      <w:r>
        <w:rPr>
          <w:rFonts w:ascii="Calibri" w:hAnsi="Calibri"/>
        </w:rPr>
        <w:t xml:space="preserve"> -- losses exceeding defaulter's margin and clearing fund contribution</w:t>
      </w:r>
    </w:p>
    <w:p>
      <w:pPr>
        <w:pStyle w:val="ListBullet"/>
      </w:pPr>
      <w:r>
        <w:rPr>
          <w:rFonts w:ascii="Calibri" w:hAnsi="Calibri"/>
          <w:b/>
        </w:rPr>
        <w:t>Uncovered liquidity shortfalls</w:t>
      </w:r>
      <w:r>
        <w:rPr>
          <w:rFonts w:ascii="Calibri" w:hAnsi="Calibri"/>
        </w:rPr>
        <w:t xml:space="preserve"> -- inability to meet payment obligations despite available resources</w:t>
      </w:r>
    </w:p>
    <w:p>
      <w:pPr>
        <w:pStyle w:val="ListBullet"/>
      </w:pPr>
      <w:r>
        <w:rPr>
          <w:rFonts w:ascii="Calibri" w:hAnsi="Calibri"/>
          <w:b/>
        </w:rPr>
        <w:t>General business losses</w:t>
      </w:r>
      <w:r>
        <w:rPr>
          <w:rFonts w:ascii="Calibri" w:hAnsi="Calibri"/>
        </w:rPr>
        <w:t xml:space="preserve"> -- including multi-member default, significant internal operational incident, and third-party failure scenarios</w:t>
      </w:r>
    </w:p>
    <w:p>
      <w:r>
        <w:rPr>
          <w:rFonts w:ascii="Calibri" w:hAnsi="Calibri"/>
          <w:b/>
        </w:rPr>
        <w:t>Recovery Tools: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Tool</w:t>
            </w:r>
          </w:p>
        </w:tc>
        <w:tc>
          <w:tcPr>
            <w:tcW w:type="dxa" w:w="2160"/>
            <w:shd w:fill="4472C4" w:val="clear"/>
          </w:tcPr>
          <w:p>
            <w:pPr/>
            <w:r>
              <w:rPr>
                <w:b/>
                <w:color w:val="FFFFFF"/>
              </w:rPr>
            </w:r>
            <w:r>
              <w:rPr>
                <w:rFonts w:ascii="Calibri" w:hAnsi="Calibri"/>
                <w:b/>
                <w:color w:val="FFFFFF"/>
              </w:rPr>
              <w:t>NSCC</w:t>
            </w:r>
          </w:p>
        </w:tc>
        <w:tc>
          <w:tcPr>
            <w:tcW w:type="dxa" w:w="2160"/>
            <w:shd w:fill="4472C4" w:val="clear"/>
          </w:tcPr>
          <w:p>
            <w:pPr/>
            <w:r>
              <w:rPr>
                <w:b/>
                <w:color w:val="FFFFFF"/>
              </w:rPr>
            </w:r>
            <w:r>
              <w:rPr>
                <w:rFonts w:ascii="Calibri" w:hAnsi="Calibri"/>
                <w:b/>
                <w:color w:val="FFFFFF"/>
              </w:rPr>
              <w:t>FICC</w:t>
            </w:r>
          </w:p>
        </w:tc>
        <w:tc>
          <w:tcPr>
            <w:tcW w:type="dxa" w:w="2160"/>
            <w:shd w:fill="4472C4" w:val="clear"/>
          </w:tcPr>
          <w:p>
            <w:pPr/>
            <w:r>
              <w:rPr>
                <w:b/>
                <w:color w:val="FFFFFF"/>
              </w:rPr>
            </w:r>
            <w:r>
              <w:rPr>
                <w:rFonts w:ascii="Calibri" w:hAnsi="Calibri"/>
                <w:b/>
                <w:color w:val="FFFFFF"/>
              </w:rPr>
              <w:t>DTC</w:t>
            </w:r>
          </w:p>
        </w:tc>
      </w:tr>
      <w:tr>
        <w:tc>
          <w:tcPr>
            <w:tcW w:type="dxa" w:w="2160"/>
          </w:tcPr>
          <w:p>
            <w:pPr/>
            <w:r/>
            <w:r>
              <w:rPr>
                <w:rFonts w:ascii="Calibri" w:hAnsi="Calibri"/>
                <w:b/>
              </w:rPr>
              <w:t>Loss Allocation / Assessment Powers</w:t>
            </w:r>
          </w:p>
        </w:tc>
        <w:tc>
          <w:tcPr>
            <w:tcW w:type="dxa" w:w="2160"/>
          </w:tcPr>
          <w:p>
            <w:pPr/>
            <w:r/>
            <w:r>
              <w:rPr>
                <w:rFonts w:ascii="Calibri" w:hAnsi="Calibri"/>
              </w:rPr>
              <w:t>Yes -- successive rounds until all losses covered; Loss Allocation Caps per member per Event Period</w:t>
            </w:r>
          </w:p>
        </w:tc>
        <w:tc>
          <w:tcPr>
            <w:tcW w:type="dxa" w:w="2160"/>
          </w:tcPr>
          <w:p>
            <w:pPr/>
            <w:r/>
            <w:r>
              <w:rPr>
                <w:rFonts w:ascii="Calibri" w:hAnsi="Calibri"/>
              </w:rPr>
              <w:t>Yes -- similar assessment structure</w:t>
            </w:r>
          </w:p>
        </w:tc>
        <w:tc>
          <w:tcPr>
            <w:tcW w:type="dxa" w:w="2160"/>
          </w:tcPr>
          <w:p>
            <w:pPr/>
            <w:r/>
            <w:r>
              <w:rPr>
                <w:rFonts w:ascii="Calibri" w:hAnsi="Calibri"/>
              </w:rPr>
              <w:t>Yes -- Participant assessment powers</w:t>
            </w:r>
          </w:p>
        </w:tc>
      </w:tr>
      <w:tr>
        <w:tc>
          <w:tcPr>
            <w:tcW w:type="dxa" w:w="2160"/>
          </w:tcPr>
          <w:p>
            <w:pPr/>
            <w:r/>
            <w:r>
              <w:rPr>
                <w:rFonts w:ascii="Calibri" w:hAnsi="Calibri"/>
                <w:b/>
              </w:rPr>
              <w:t>Variation Margin Gains Haircutting (VMGH)</w:t>
            </w:r>
          </w:p>
        </w:tc>
        <w:tc>
          <w:tcPr>
            <w:tcW w:type="dxa" w:w="2160"/>
          </w:tcPr>
          <w:p>
            <w:pPr/>
            <w:r/>
            <w:r>
              <w:rPr>
                <w:rFonts w:ascii="Calibri" w:hAnsi="Calibri"/>
              </w:rPr>
              <w:t>Not applicable (equities CCP; no daily variation margin settlements in same manner as derivatives CCPs)</w:t>
            </w:r>
          </w:p>
        </w:tc>
        <w:tc>
          <w:tcPr>
            <w:tcW w:type="dxa" w:w="2160"/>
          </w:tcPr>
          <w:p>
            <w:pPr/>
            <w:r/>
            <w:r>
              <w:rPr>
                <w:rFonts w:ascii="Calibri" w:hAnsi="Calibri"/>
              </w:rPr>
              <w:t>Not typically used [unverified]</w:t>
            </w:r>
          </w:p>
        </w:tc>
        <w:tc>
          <w:tcPr>
            <w:tcW w:type="dxa" w:w="2160"/>
          </w:tcPr>
          <w:p>
            <w:pPr/>
            <w:r/>
            <w:r>
              <w:rPr>
                <w:rFonts w:ascii="Calibri" w:hAnsi="Calibri"/>
              </w:rPr>
              <w:t>N/A</w:t>
            </w:r>
          </w:p>
        </w:tc>
      </w:tr>
      <w:tr>
        <w:tc>
          <w:tcPr>
            <w:tcW w:type="dxa" w:w="2160"/>
          </w:tcPr>
          <w:p>
            <w:pPr/>
            <w:r/>
            <w:r>
              <w:rPr>
                <w:rFonts w:ascii="Calibri" w:hAnsi="Calibri"/>
                <w:b/>
              </w:rPr>
              <w:t>Partial Tear-Up</w:t>
            </w:r>
          </w:p>
        </w:tc>
        <w:tc>
          <w:tcPr>
            <w:tcW w:type="dxa" w:w="2160"/>
          </w:tcPr>
          <w:p>
            <w:pPr/>
            <w:r/>
            <w:r>
              <w:rPr>
                <w:rFonts w:ascii="Calibri" w:hAnsi="Calibri"/>
              </w:rPr>
              <w:t>Yes -- as ultimate recovery tool for positions that cannot be resolved</w:t>
            </w:r>
          </w:p>
        </w:tc>
        <w:tc>
          <w:tcPr>
            <w:tcW w:type="dxa" w:w="2160"/>
          </w:tcPr>
          <w:p>
            <w:pPr/>
            <w:r/>
            <w:r>
              <w:rPr>
                <w:rFonts w:ascii="Calibri" w:hAnsi="Calibri"/>
              </w:rPr>
              <w:t>Yes</w:t>
            </w:r>
          </w:p>
        </w:tc>
        <w:tc>
          <w:tcPr>
            <w:tcW w:type="dxa" w:w="2160"/>
          </w:tcPr>
          <w:p>
            <w:pPr/>
            <w:r/>
            <w:r>
              <w:rPr>
                <w:rFonts w:ascii="Calibri" w:hAnsi="Calibri"/>
              </w:rPr>
              <w:t>N/A</w:t>
            </w:r>
          </w:p>
        </w:tc>
      </w:tr>
      <w:tr>
        <w:tc>
          <w:tcPr>
            <w:tcW w:type="dxa" w:w="2160"/>
          </w:tcPr>
          <w:p>
            <w:pPr/>
            <w:r/>
            <w:r>
              <w:rPr>
                <w:rFonts w:ascii="Calibri" w:hAnsi="Calibri"/>
                <w:b/>
              </w:rPr>
              <w:t>Voluntary Tear-Down of Positions</w:t>
            </w:r>
          </w:p>
        </w:tc>
        <w:tc>
          <w:tcPr>
            <w:tcW w:type="dxa" w:w="2160"/>
          </w:tcPr>
          <w:p>
            <w:pPr/>
            <w:r/>
            <w:r>
              <w:rPr>
                <w:rFonts w:ascii="Calibri" w:hAnsi="Calibri"/>
              </w:rPr>
              <w:t>Yes</w:t>
            </w:r>
          </w:p>
        </w:tc>
        <w:tc>
          <w:tcPr>
            <w:tcW w:type="dxa" w:w="2160"/>
          </w:tcPr>
          <w:p>
            <w:pPr/>
            <w:r/>
            <w:r>
              <w:rPr>
                <w:rFonts w:ascii="Calibri" w:hAnsi="Calibri"/>
              </w:rPr>
              <w:t>Yes</w:t>
            </w:r>
          </w:p>
        </w:tc>
        <w:tc>
          <w:tcPr>
            <w:tcW w:type="dxa" w:w="2160"/>
          </w:tcPr>
          <w:p>
            <w:pPr/>
            <w:r/>
            <w:r>
              <w:rPr>
                <w:rFonts w:ascii="Calibri" w:hAnsi="Calibri"/>
              </w:rPr>
              <w:t>N/A</w:t>
            </w:r>
          </w:p>
        </w:tc>
      </w:tr>
      <w:tr>
        <w:tc>
          <w:tcPr>
            <w:tcW w:type="dxa" w:w="2160"/>
          </w:tcPr>
          <w:p>
            <w:pPr/>
            <w:r/>
            <w:r>
              <w:rPr>
                <w:rFonts w:ascii="Calibri" w:hAnsi="Calibri"/>
                <w:b/>
              </w:rPr>
              <w:t>Service Closure</w:t>
            </w:r>
          </w:p>
        </w:tc>
        <w:tc>
          <w:tcPr>
            <w:tcW w:type="dxa" w:w="2160"/>
          </w:tcPr>
          <w:p>
            <w:pPr/>
            <w:r/>
            <w:r>
              <w:rPr>
                <w:rFonts w:ascii="Calibri" w:hAnsi="Calibri"/>
              </w:rPr>
              <w:t>Yes -- orderly wind-down if recovery tools are exhausted</w:t>
            </w:r>
          </w:p>
        </w:tc>
        <w:tc>
          <w:tcPr>
            <w:tcW w:type="dxa" w:w="2160"/>
          </w:tcPr>
          <w:p>
            <w:pPr/>
            <w:r/>
            <w:r>
              <w:rPr>
                <w:rFonts w:ascii="Calibri" w:hAnsi="Calibri"/>
              </w:rPr>
              <w:t>Yes</w:t>
            </w:r>
          </w:p>
        </w:tc>
        <w:tc>
          <w:tcPr>
            <w:tcW w:type="dxa" w:w="2160"/>
          </w:tcPr>
          <w:p>
            <w:pPr/>
            <w:r/>
            <w:r>
              <w:rPr>
                <w:rFonts w:ascii="Calibri" w:hAnsi="Calibri"/>
              </w:rPr>
              <w:t>Yes</w:t>
            </w:r>
          </w:p>
        </w:tc>
      </w:tr>
      <w:tr>
        <w:tc>
          <w:tcPr>
            <w:tcW w:type="dxa" w:w="2160"/>
          </w:tcPr>
          <w:p>
            <w:pPr/>
            <w:r/>
            <w:r>
              <w:rPr>
                <w:rFonts w:ascii="Calibri" w:hAnsi="Calibri"/>
                <w:b/>
              </w:rPr>
              <w:t>Member Withdrawal Right</w:t>
            </w:r>
          </w:p>
        </w:tc>
        <w:tc>
          <w:tcPr>
            <w:tcW w:type="dxa" w:w="2160"/>
          </w:tcPr>
          <w:p>
            <w:pPr/>
            <w:r/>
            <w:r>
              <w:rPr>
                <w:rFonts w:ascii="Calibri" w:hAnsi="Calibri"/>
              </w:rPr>
              <w:t>Members may withdraw within specified notice periods after loss allocation events</w:t>
            </w:r>
          </w:p>
        </w:tc>
        <w:tc>
          <w:tcPr>
            <w:tcW w:type="dxa" w:w="2160"/>
          </w:tcPr>
          <w:p>
            <w:pPr/>
            <w:r/>
            <w:r>
              <w:rPr>
                <w:rFonts w:ascii="Calibri" w:hAnsi="Calibri"/>
              </w:rPr>
              <w:t>Similar provisions</w:t>
            </w:r>
          </w:p>
        </w:tc>
        <w:tc>
          <w:tcPr>
            <w:tcW w:type="dxa" w:w="2160"/>
          </w:tcPr>
          <w:p>
            <w:pPr/>
            <w:r/>
            <w:r>
              <w:rPr>
                <w:rFonts w:ascii="Calibri" w:hAnsi="Calibri"/>
              </w:rPr>
              <w:t>Similar provisions</w:t>
            </w:r>
          </w:p>
        </w:tc>
      </w:tr>
    </w:tbl>
    <w:p/>
    <w:p>
      <w:r>
        <w:rPr>
          <w:rFonts w:ascii="Calibri" w:hAnsi="Calibri"/>
          <w:b/>
        </w:rPr>
        <w:t>Resolution Authority:</w:t>
      </w:r>
    </w:p>
    <w:p>
      <w:pPr>
        <w:pStyle w:val="ListBullet"/>
      </w:pPr>
      <w:r>
        <w:rPr>
          <w:rFonts w:ascii="Calibri" w:hAnsi="Calibri"/>
          <w:b/>
        </w:rPr>
        <w:t>Primary:</w:t>
      </w:r>
      <w:r>
        <w:rPr>
          <w:rFonts w:ascii="Calibri" w:hAnsi="Calibri"/>
        </w:rPr>
        <w:t xml:space="preserve"> SEC (as Supervisory Agency under Dodd-Frank Title VIII)</w:t>
      </w:r>
    </w:p>
    <w:p>
      <w:pPr>
        <w:pStyle w:val="ListBullet"/>
      </w:pPr>
      <w:r>
        <w:rPr>
          <w:rFonts w:ascii="Calibri" w:hAnsi="Calibri"/>
          <w:b/>
        </w:rPr>
        <w:t>Secondary:</w:t>
      </w:r>
      <w:r>
        <w:rPr>
          <w:rFonts w:ascii="Calibri" w:hAnsi="Calibri"/>
        </w:rPr>
        <w:t xml:space="preserve"> Federal Reserve Board (backup authority under Title VIII)</w:t>
      </w:r>
    </w:p>
    <w:p>
      <w:pPr>
        <w:pStyle w:val="ListBullet"/>
      </w:pPr>
      <w:r>
        <w:rPr>
          <w:rFonts w:ascii="Calibri" w:hAnsi="Calibri"/>
          <w:b/>
        </w:rPr>
        <w:t>FDIC:</w:t>
      </w:r>
      <w:r>
        <w:rPr>
          <w:rFonts w:ascii="Calibri" w:hAnsi="Calibri"/>
        </w:rPr>
        <w:t xml:space="preserve"> Potential role under Title II of Dodd-Frank (Orderly Liquidation Authority) if triggered</w:t>
      </w:r>
    </w:p>
    <w:p>
      <w:pPr>
        <w:pStyle w:val="ListBullet"/>
      </w:pPr>
      <w:r>
        <w:rPr>
          <w:rFonts w:ascii="Calibri" w:hAnsi="Calibri"/>
        </w:rPr>
        <w:t>As SIFMUs, DTC/NSCC/FICC are subject to enhanced supervisory framework including resolution planning requirements.</w:t>
      </w:r>
    </w:p>
    <w:p>
      <w:r>
        <w:rPr>
          <w:rFonts w:ascii="Calibri" w:hAnsi="Calibri"/>
        </w:rPr>
        <w:t>*Sources: Federal Register 2025-10877 (SR-DTC-2025-003, SR-FICC-2025-003, SR-NSCC-2025-003) (</w:t>
      </w:r>
      <w:r>
        <w:rPr>
          <w:rFonts w:ascii="Calibri" w:hAnsi="Calibri"/>
          <w:color w:val="0563C1"/>
          <w:u w:val="single"/>
        </w:rPr>
        <w:t>federalregister.gov</w:t>
      </w:r>
      <w:r>
        <w:rPr>
          <w:rFonts w:ascii="Calibri" w:hAnsi="Calibri"/>
        </w:rPr>
        <w:t>); Federal Register 2025-07220 (</w:t>
      </w:r>
      <w:r>
        <w:rPr>
          <w:rFonts w:ascii="Calibri" w:hAnsi="Calibri"/>
          <w:color w:val="0563C1"/>
          <w:u w:val="single"/>
        </w:rPr>
        <w:t>federalregister.gov</w:t>
      </w:r>
      <w:r>
        <w:rPr>
          <w:rFonts w:ascii="Calibri" w:hAnsi="Calibri"/>
        </w:rPr>
        <w:t>); NSCC Rules &amp; Procedures Rule 4*</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Equities (stocks, ETFs, ADRs)</w:t>
            </w:r>
          </w:p>
        </w:tc>
        <w:tc>
          <w:tcPr>
            <w:tcW w:type="dxa" w:w="2880"/>
          </w:tcPr>
          <w:p>
            <w:pPr/>
            <w:r/>
            <w:r>
              <w:rPr>
                <w:rFonts w:ascii="Calibri" w:hAnsi="Calibri"/>
                <w:b/>
              </w:rPr>
              <w:t>T+1</w:t>
            </w:r>
            <w:r>
              <w:rPr>
                <w:rFonts w:ascii="Calibri" w:hAnsi="Calibri"/>
              </w:rPr>
              <w:t xml:space="preserve"> (effective May 28, 2024)</w:t>
            </w:r>
          </w:p>
        </w:tc>
        <w:tc>
          <w:tcPr>
            <w:tcW w:type="dxa" w:w="2880"/>
          </w:tcPr>
          <w:p>
            <w:pPr/>
            <w:r/>
            <w:r>
              <w:rPr>
                <w:rFonts w:ascii="Calibri" w:hAnsi="Calibri"/>
              </w:rPr>
              <w:t>Moved from T+2; previously T+3 until Sep 2017</w:t>
            </w:r>
          </w:p>
        </w:tc>
      </w:tr>
      <w:tr>
        <w:tc>
          <w:tcPr>
            <w:tcW w:type="dxa" w:w="2880"/>
          </w:tcPr>
          <w:p>
            <w:pPr/>
            <w:r/>
            <w:r>
              <w:rPr>
                <w:rFonts w:ascii="Calibri" w:hAnsi="Calibri"/>
              </w:rPr>
              <w:t>Corporate Bonds</w:t>
            </w:r>
          </w:p>
        </w:tc>
        <w:tc>
          <w:tcPr>
            <w:tcW w:type="dxa" w:w="2880"/>
          </w:tcPr>
          <w:p>
            <w:pPr/>
            <w:r/>
            <w:r>
              <w:rPr>
                <w:rFonts w:ascii="Calibri" w:hAnsi="Calibri"/>
                <w:b/>
              </w:rPr>
              <w:t>T+1</w:t>
            </w:r>
            <w:r>
              <w:rPr>
                <w:rFonts w:ascii="Calibri" w:hAnsi="Calibri"/>
              </w:rPr>
              <w:t xml:space="preserve"> (effective May 28, 2024)</w:t>
            </w:r>
          </w:p>
        </w:tc>
        <w:tc>
          <w:tcPr>
            <w:tcW w:type="dxa" w:w="2880"/>
          </w:tcPr>
          <w:p>
            <w:pPr/>
            <w:r/>
            <w:r>
              <w:rPr>
                <w:rFonts w:ascii="Calibri" w:hAnsi="Calibri"/>
              </w:rPr>
              <w:t>Moved from T+2</w:t>
            </w:r>
          </w:p>
        </w:tc>
      </w:tr>
      <w:tr>
        <w:tc>
          <w:tcPr>
            <w:tcW w:type="dxa" w:w="2880"/>
          </w:tcPr>
          <w:p>
            <w:pPr/>
            <w:r/>
            <w:r>
              <w:rPr>
                <w:rFonts w:ascii="Calibri" w:hAnsi="Calibri"/>
              </w:rPr>
              <w:t>Municipal Bonds</w:t>
            </w:r>
          </w:p>
        </w:tc>
        <w:tc>
          <w:tcPr>
            <w:tcW w:type="dxa" w:w="2880"/>
          </w:tcPr>
          <w:p>
            <w:pPr/>
            <w:r/>
            <w:r>
              <w:rPr>
                <w:rFonts w:ascii="Calibri" w:hAnsi="Calibri"/>
                <w:b/>
              </w:rPr>
              <w:t>T+1</w:t>
            </w:r>
            <w:r>
              <w:rPr>
                <w:rFonts w:ascii="Calibri" w:hAnsi="Calibri"/>
              </w:rPr>
              <w:t xml:space="preserve"> (effective May 28, 2024)</w:t>
            </w:r>
          </w:p>
        </w:tc>
        <w:tc>
          <w:tcPr>
            <w:tcW w:type="dxa" w:w="2880"/>
          </w:tcPr>
          <w:p>
            <w:pPr/>
            <w:r/>
            <w:r>
              <w:rPr>
                <w:rFonts w:ascii="Calibri" w:hAnsi="Calibri"/>
              </w:rPr>
              <w:t>Moved from T+2</w:t>
            </w:r>
          </w:p>
        </w:tc>
      </w:tr>
      <w:tr>
        <w:tc>
          <w:tcPr>
            <w:tcW w:type="dxa" w:w="2880"/>
          </w:tcPr>
          <w:p>
            <w:pPr/>
            <w:r/>
            <w:r>
              <w:rPr>
                <w:rFonts w:ascii="Calibri" w:hAnsi="Calibri"/>
              </w:rPr>
              <w:t>U.S. Government Securities (cash)</w:t>
            </w:r>
          </w:p>
        </w:tc>
        <w:tc>
          <w:tcPr>
            <w:tcW w:type="dxa" w:w="2880"/>
          </w:tcPr>
          <w:p>
            <w:pPr/>
            <w:r/>
            <w:r>
              <w:rPr>
                <w:rFonts w:ascii="Calibri" w:hAnsi="Calibri"/>
                <w:b/>
              </w:rPr>
              <w:t>T+1</w:t>
            </w:r>
            <w:r>
              <w:rPr>
                <w:rFonts w:ascii="Calibri" w:hAnsi="Calibri"/>
              </w:rPr>
              <w:t xml:space="preserve"> (standard)</w:t>
            </w:r>
          </w:p>
        </w:tc>
        <w:tc>
          <w:tcPr>
            <w:tcW w:type="dxa" w:w="2880"/>
          </w:tcPr>
          <w:p>
            <w:pPr/>
            <w:r/>
            <w:r>
              <w:rPr>
                <w:rFonts w:ascii="Calibri" w:hAnsi="Calibri"/>
              </w:rPr>
              <w:t>GSD netting settlement</w:t>
            </w:r>
          </w:p>
        </w:tc>
      </w:tr>
      <w:tr>
        <w:tc>
          <w:tcPr>
            <w:tcW w:type="dxa" w:w="2880"/>
          </w:tcPr>
          <w:p>
            <w:pPr/>
            <w:r/>
            <w:r>
              <w:rPr>
                <w:rFonts w:ascii="Calibri" w:hAnsi="Calibri"/>
              </w:rPr>
              <w:t>U.S. Government Securities (repos)</w:t>
            </w:r>
          </w:p>
        </w:tc>
        <w:tc>
          <w:tcPr>
            <w:tcW w:type="dxa" w:w="2880"/>
          </w:tcPr>
          <w:p>
            <w:pPr/>
            <w:r/>
            <w:r>
              <w:rPr>
                <w:rFonts w:ascii="Calibri" w:hAnsi="Calibri"/>
                <w:b/>
              </w:rPr>
              <w:t>T+0</w:t>
            </w:r>
            <w:r>
              <w:rPr>
                <w:rFonts w:ascii="Calibri" w:hAnsi="Calibri"/>
              </w:rPr>
              <w:t xml:space="preserve"> or as agreed</w:t>
            </w:r>
          </w:p>
        </w:tc>
        <w:tc>
          <w:tcPr>
            <w:tcW w:type="dxa" w:w="2880"/>
          </w:tcPr>
          <w:p>
            <w:pPr/>
            <w:r/>
            <w:r>
              <w:rPr>
                <w:rFonts w:ascii="Calibri" w:hAnsi="Calibri"/>
              </w:rPr>
              <w:t>Same-day settlement common for repos</w:t>
            </w:r>
          </w:p>
        </w:tc>
      </w:tr>
      <w:tr>
        <w:tc>
          <w:tcPr>
            <w:tcW w:type="dxa" w:w="2880"/>
          </w:tcPr>
          <w:p>
            <w:pPr/>
            <w:r/>
            <w:r>
              <w:rPr>
                <w:rFonts w:ascii="Calibri" w:hAnsi="Calibri"/>
              </w:rPr>
              <w:t>Mortgage-Backed Securities (TBA)</w:t>
            </w:r>
          </w:p>
        </w:tc>
        <w:tc>
          <w:tcPr>
            <w:tcW w:type="dxa" w:w="2880"/>
          </w:tcPr>
          <w:p>
            <w:pPr/>
            <w:r/>
            <w:r>
              <w:rPr>
                <w:rFonts w:ascii="Calibri" w:hAnsi="Calibri"/>
              </w:rPr>
              <w:t>Various (typically T+1 to forward months)</w:t>
            </w:r>
          </w:p>
        </w:tc>
        <w:tc>
          <w:tcPr>
            <w:tcW w:type="dxa" w:w="2880"/>
          </w:tcPr>
          <w:p>
            <w:pPr/>
            <w:r/>
            <w:r>
              <w:rPr>
                <w:rFonts w:ascii="Calibri" w:hAnsi="Calibri"/>
              </w:rPr>
              <w:t>TBA trades settle on specified future dates</w:t>
            </w:r>
          </w:p>
        </w:tc>
      </w:tr>
      <w:tr>
        <w:tc>
          <w:tcPr>
            <w:tcW w:type="dxa" w:w="2880"/>
          </w:tcPr>
          <w:p>
            <w:pPr/>
            <w:r/>
            <w:r>
              <w:rPr>
                <w:rFonts w:ascii="Calibri" w:hAnsi="Calibri"/>
              </w:rPr>
              <w:t>UITs</w:t>
            </w:r>
          </w:p>
        </w:tc>
        <w:tc>
          <w:tcPr>
            <w:tcW w:type="dxa" w:w="2880"/>
          </w:tcPr>
          <w:p>
            <w:pPr/>
            <w:r/>
            <w:r>
              <w:rPr>
                <w:rFonts w:ascii="Calibri" w:hAnsi="Calibri"/>
                <w:b/>
              </w:rPr>
              <w:t>T+1</w:t>
            </w:r>
          </w:p>
        </w:tc>
        <w:tc>
          <w:tcPr>
            <w:tcW w:type="dxa" w:w="2880"/>
          </w:tcPr>
          <w:p>
            <w:pPr/>
            <w:r/>
            <w:r>
              <w:rPr>
                <w:rFonts w:ascii="Calibri" w:hAnsi="Calibri"/>
              </w:rPr>
              <w:t>--</w:t>
            </w:r>
          </w:p>
        </w:tc>
      </w:tr>
      <w:tr>
        <w:tc>
          <w:tcPr>
            <w:tcW w:type="dxa" w:w="2880"/>
          </w:tcPr>
          <w:p>
            <w:pPr/>
            <w:r/>
            <w:r>
              <w:rPr>
                <w:rFonts w:ascii="Calibri" w:hAnsi="Calibri"/>
              </w:rPr>
              <w:t>Options</w:t>
            </w:r>
          </w:p>
        </w:tc>
        <w:tc>
          <w:tcPr>
            <w:tcW w:type="dxa" w:w="2880"/>
          </w:tcPr>
          <w:p>
            <w:pPr/>
            <w:r/>
            <w:r>
              <w:rPr>
                <w:rFonts w:ascii="Calibri" w:hAnsi="Calibri"/>
                <w:b/>
              </w:rPr>
              <w:t>T+1</w:t>
            </w:r>
          </w:p>
        </w:tc>
        <w:tc>
          <w:tcPr>
            <w:tcW w:type="dxa" w:w="2880"/>
          </w:tcPr>
          <w:p>
            <w:pPr/>
            <w:r/>
            <w:r>
              <w:rPr>
                <w:rFonts w:ascii="Calibri" w:hAnsi="Calibri"/>
              </w:rPr>
              <w:t>Cleared by OCC, settled at DTC</w:t>
            </w:r>
          </w:p>
        </w:tc>
      </w:tr>
    </w:tbl>
    <w:p/>
    <w:p>
      <w:pPr>
        <w:pStyle w:val="Heading3"/>
      </w:pPr>
      <w:r>
        <w:rPr>
          <w:rFonts w:ascii="Calibri" w:hAnsi="Calibri"/>
        </w:rPr>
        <w:t>4.2 DVP Model</w:t>
      </w:r>
    </w:p>
    <w:p>
      <w:r>
        <w:rPr>
          <w:rFonts w:ascii="Calibri" w:hAnsi="Calibri"/>
          <w:b/>
        </w:rPr>
        <w:t>DTC Settlement:</w:t>
      </w:r>
    </w:p>
    <w:p>
      <w:pPr>
        <w:pStyle w:val="ListBullet"/>
      </w:pPr>
      <w:r>
        <w:rPr>
          <w:rFonts w:ascii="Calibri" w:hAnsi="Calibri"/>
          <w:b/>
        </w:rPr>
        <w:t>BIS DVP Model 2:</w:t>
      </w:r>
      <w:r>
        <w:rPr>
          <w:rFonts w:ascii="Calibri" w:hAnsi="Calibri"/>
        </w:rPr>
        <w:t xml:space="preserve"> Gross securities transfers (individual security-by-security delivery) with net funds settlement.</w:t>
      </w:r>
    </w:p>
    <w:p>
      <w:pPr>
        <w:pStyle w:val="ListBullet"/>
      </w:pPr>
      <w:r>
        <w:rPr>
          <w:rFonts w:ascii="Calibri" w:hAnsi="Calibri"/>
        </w:rPr>
        <w:t>Securities deliveries are processed on a gross (trade-by-trade) basis throughout the day.</w:t>
      </w:r>
    </w:p>
    <w:p>
      <w:pPr>
        <w:pStyle w:val="ListBullet"/>
      </w:pPr>
      <w:r>
        <w:rPr>
          <w:rFonts w:ascii="Calibri" w:hAnsi="Calibri"/>
        </w:rPr>
        <w:t xml:space="preserve">Money settlement is </w:t>
      </w:r>
      <w:r>
        <w:rPr>
          <w:rFonts w:ascii="Calibri" w:hAnsi="Calibri"/>
          <w:b/>
        </w:rPr>
        <w:t>netted</w:t>
      </w:r>
      <w:r>
        <w:rPr>
          <w:rFonts w:ascii="Calibri" w:hAnsi="Calibri"/>
        </w:rPr>
        <w:t xml:space="preserve"> -- each participant has a single net debit or credit position settled at end of day.</w:t>
      </w:r>
    </w:p>
    <w:p>
      <w:pPr>
        <w:pStyle w:val="ListBullet"/>
      </w:pPr>
      <w:r>
        <w:rPr>
          <w:rFonts w:ascii="Calibri" w:hAnsi="Calibri"/>
        </w:rPr>
        <w:t>DTC operates two main settlement cycles:</w:t>
      </w:r>
    </w:p>
    <w:p>
      <w:pPr>
        <w:pStyle w:val="ListBullet"/>
      </w:pPr>
      <w:r>
        <w:rPr>
          <w:rFonts w:ascii="Calibri" w:hAnsi="Calibri"/>
          <w:b/>
        </w:rPr>
        <w:t>Night Cycle:</w:t>
      </w:r>
      <w:r>
        <w:rPr>
          <w:rFonts w:ascii="Calibri" w:hAnsi="Calibri"/>
        </w:rPr>
        <w:t xml:space="preserve"> Pre-positioning of deliveries for next-day settlement</w:t>
      </w:r>
    </w:p>
    <w:p>
      <w:pPr>
        <w:pStyle w:val="ListBullet"/>
      </w:pPr>
      <w:r>
        <w:rPr>
          <w:rFonts w:ascii="Calibri" w:hAnsi="Calibri"/>
          <w:b/>
        </w:rPr>
        <w:t>Day Cycle:</w:t>
      </w:r>
      <w:r>
        <w:rPr>
          <w:rFonts w:ascii="Calibri" w:hAnsi="Calibri"/>
        </w:rPr>
        <w:t xml:space="preserve"> Real-time delivery processing during business hours with continuous net settlement recalculation</w:t>
      </w:r>
    </w:p>
    <w:p>
      <w:pPr>
        <w:pStyle w:val="ListBullet"/>
      </w:pPr>
      <w:r>
        <w:rPr>
          <w:rFonts w:ascii="Calibri" w:hAnsi="Calibri"/>
          <w:b/>
        </w:rPr>
        <w:t>End-of-Day Net Settlement:</w:t>
      </w:r>
      <w:r>
        <w:rPr>
          <w:rFonts w:ascii="Calibri" w:hAnsi="Calibri"/>
        </w:rPr>
        <w:t xml:space="preserve"> Net money obligations settled through the Federal Reserve's National Settlement Service (NSS) or through DTC's settlement banks.</w:t>
      </w:r>
    </w:p>
    <w:p>
      <w:r>
        <w:rPr>
          <w:rFonts w:ascii="Calibri" w:hAnsi="Calibri"/>
          <w:b/>
        </w:rPr>
        <w:t>NSCC/CNS Settlement:</w:t>
      </w:r>
    </w:p>
    <w:p>
      <w:pPr>
        <w:pStyle w:val="ListBullet"/>
      </w:pPr>
      <w:r>
        <w:rPr>
          <w:rFonts w:ascii="Calibri" w:hAnsi="Calibri"/>
        </w:rPr>
        <w:t>CNS produces net delivery obligations per security per participant.</w:t>
      </w:r>
    </w:p>
    <w:p>
      <w:pPr>
        <w:pStyle w:val="ListBullet"/>
      </w:pPr>
      <w:r>
        <w:rPr>
          <w:rFonts w:ascii="Calibri" w:hAnsi="Calibri"/>
        </w:rPr>
        <w:t>Net long positions receive securities from NSCC's account at DTC.</w:t>
      </w:r>
    </w:p>
    <w:p>
      <w:pPr>
        <w:pStyle w:val="ListBullet"/>
      </w:pPr>
      <w:r>
        <w:rPr>
          <w:rFonts w:ascii="Calibri" w:hAnsi="Calibri"/>
        </w:rPr>
        <w:t>Net short positions deliver securities to NSCC's account at DTC.</w:t>
      </w:r>
    </w:p>
    <w:p>
      <w:pPr>
        <w:pStyle w:val="ListBullet"/>
      </w:pPr>
      <w:r>
        <w:rPr>
          <w:rFonts w:ascii="Calibri" w:hAnsi="Calibri"/>
        </w:rPr>
        <w:t>Money settlement is netted and settled through DTC's end-of-day process.</w:t>
      </w:r>
    </w:p>
    <w:p>
      <w:r>
        <w:rPr>
          <w:rFonts w:ascii="Calibri" w:hAnsi="Calibri"/>
          <w:b/>
        </w:rPr>
        <w:t>FICC-GSD Settlement:</w:t>
      </w:r>
    </w:p>
    <w:p>
      <w:pPr>
        <w:pStyle w:val="ListBullet"/>
      </w:pPr>
      <w:r>
        <w:rPr>
          <w:rFonts w:ascii="Calibri" w:hAnsi="Calibri"/>
        </w:rPr>
        <w:t>Net settlement obligations delivered through the Fedwire Securities Service (for Fed-eligible securities) or through DTC (for DTC-eligible securities).</w:t>
      </w:r>
    </w:p>
    <w:p>
      <w:pPr>
        <w:pStyle w:val="Heading3"/>
      </w:pPr>
      <w:r>
        <w:rPr>
          <w:rFonts w:ascii="Calibri" w:hAnsi="Calibri"/>
        </w:rPr>
        <w:t>4.3 Settlement Finality</w:t>
      </w:r>
    </w:p>
    <w:p>
      <w:r>
        <w:rPr>
          <w:rFonts w:ascii="Calibri" w:hAnsi="Calibri"/>
          <w:b/>
        </w:rPr>
        <w:t>Legal Basis:</w:t>
      </w:r>
    </w:p>
    <w:p>
      <w:pPr>
        <w:pStyle w:val="ListBullet"/>
      </w:pPr>
      <w:r>
        <w:rPr>
          <w:rFonts w:ascii="Calibri" w:hAnsi="Calibri"/>
        </w:rPr>
        <w:t>New York contract law, New York Uniform Commercial Code (Articles 8 and 9), and the Securities Exchange Act of 1934.</w:t>
      </w:r>
    </w:p>
    <w:p>
      <w:pPr>
        <w:pStyle w:val="ListBullet"/>
      </w:pPr>
      <w:r>
        <w:rPr>
          <w:rFonts w:ascii="Calibri" w:hAnsi="Calibri"/>
        </w:rPr>
        <w:t>Protected in insolvency by: Federal Deposit Insurance Act (FDIA), Federal Deposit Insurance Corporation Improvement Act (FDICIA), U.S. Bankruptcy Code, Securities Investor Protection Act (SIPA), and Title II of Dodd-Frank.</w:t>
      </w:r>
    </w:p>
    <w:p>
      <w:r>
        <w:rPr>
          <w:rFonts w:ascii="Calibri" w:hAnsi="Calibri"/>
          <w:b/>
        </w:rPr>
        <w:t>Point of Finality:</w:t>
      </w:r>
    </w:p>
    <w:p>
      <w:pPr>
        <w:pStyle w:val="ListBullet"/>
      </w:pPr>
      <w:r>
        <w:rPr>
          <w:rFonts w:ascii="Calibri" w:hAnsi="Calibri"/>
          <w:b/>
        </w:rPr>
        <w:t>DTC securities transfers:</w:t>
      </w:r>
      <w:r>
        <w:rPr>
          <w:rFonts w:ascii="Calibri" w:hAnsi="Calibri"/>
        </w:rPr>
        <w:t xml:space="preserve"> Final and irrevocable as to the delivering party once the transfer has passed DTC's risk controls and securities have been debited from the delivering party's account (intraday finality for deliveries).</w:t>
      </w:r>
    </w:p>
    <w:p>
      <w:pPr>
        <w:pStyle w:val="ListBullet"/>
      </w:pPr>
      <w:r>
        <w:rPr>
          <w:rFonts w:ascii="Calibri" w:hAnsi="Calibri"/>
          <w:b/>
        </w:rPr>
        <w:t>DTC money settlement:</w:t>
      </w:r>
      <w:r>
        <w:rPr>
          <w:rFonts w:ascii="Calibri" w:hAnsi="Calibri"/>
        </w:rPr>
        <w:t xml:space="preserve"> Net money settlement is final at end of day upon completion through the Federal Reserve's NSS.</w:t>
      </w:r>
    </w:p>
    <w:p>
      <w:pPr>
        <w:pStyle w:val="ListBullet"/>
      </w:pPr>
      <w:r>
        <w:rPr>
          <w:rFonts w:ascii="Calibri" w:hAnsi="Calibri"/>
          <w:b/>
        </w:rPr>
        <w:t>NSS funds transfers:</w:t>
      </w:r>
      <w:r>
        <w:rPr>
          <w:rFonts w:ascii="Calibri" w:hAnsi="Calibri"/>
        </w:rPr>
        <w:t xml:space="preserve"> Immediately final when effected.</w:t>
      </w:r>
    </w:p>
    <w:p>
      <w:pPr>
        <w:pStyle w:val="ListBullet"/>
      </w:pPr>
      <w:r>
        <w:rPr>
          <w:rFonts w:ascii="Calibri" w:hAnsi="Calibri"/>
          <w:b/>
        </w:rPr>
        <w:t>NSCC:</w:t>
      </w:r>
      <w:r>
        <w:rPr>
          <w:rFonts w:ascii="Calibri" w:hAnsi="Calibri"/>
        </w:rPr>
        <w:t xml:space="preserve"> Settlement finality achieved when obligations are discharged through DTC's settlement system.</w:t>
      </w:r>
    </w:p>
    <w:p>
      <w:pPr>
        <w:pStyle w:val="ListBullet"/>
      </w:pPr>
      <w:r>
        <w:rPr>
          <w:rFonts w:ascii="Calibri" w:hAnsi="Calibri"/>
          <w:b/>
        </w:rPr>
        <w:t>FICC-GSD:</w:t>
      </w:r>
      <w:r>
        <w:rPr>
          <w:rFonts w:ascii="Calibri" w:hAnsi="Calibri"/>
        </w:rPr>
        <w:t xml:space="preserve"> Settlement finality for government securities achieved upon completion of Fedwire delivery or DTC book-entry transfer.</w:t>
      </w:r>
    </w:p>
    <w:p>
      <w:r>
        <w:rPr>
          <w:rFonts w:ascii="Calibri" w:hAnsi="Calibri"/>
          <w:b/>
        </w:rPr>
        <w:t>Irrevocability:</w:t>
      </w:r>
    </w:p>
    <w:p>
      <w:pPr>
        <w:pStyle w:val="ListBullet"/>
      </w:pPr>
      <w:r>
        <w:rPr>
          <w:rFonts w:ascii="Calibri" w:hAnsi="Calibri"/>
        </w:rPr>
        <w:t>Once a securities transfer passes DTC risk management controls and is completed, it cannot be unilaterally revoked.</w:t>
      </w:r>
    </w:p>
    <w:p>
      <w:r>
        <w:rPr>
          <w:rFonts w:ascii="Calibri" w:hAnsi="Calibri"/>
        </w:rPr>
        <w:t>*Sources: DTC Disclosure Framework (</w:t>
      </w:r>
      <w:r>
        <w:rPr>
          <w:rFonts w:ascii="Calibri" w:hAnsi="Calibri"/>
          <w:color w:val="0563C1"/>
          <w:u w:val="single"/>
        </w:rPr>
        <w:t>dtcc.com</w:t>
      </w:r>
      <w:r>
        <w:rPr>
          <w:rFonts w:ascii="Calibri" w:hAnsi="Calibri"/>
        </w:rPr>
        <w:t>); DTC Settlement Service Guide; IMF FSAP Assessment (</w:t>
      </w:r>
      <w:r>
        <w:rPr>
          <w:rFonts w:ascii="Calibri" w:hAnsi="Calibri"/>
          <w:color w:val="0563C1"/>
          <w:u w:val="single"/>
        </w:rPr>
        <w:t>imf.org</w:t>
      </w:r>
      <w:r>
        <w:rPr>
          <w:rFonts w:ascii="Calibri" w:hAnsi="Calibri"/>
        </w:rPr>
        <w:t>); NSCC Disclosure Framework*</w:t>
      </w:r>
    </w:p>
    <w:p>
      <w:pPr>
        <w:pStyle w:val="Heading3"/>
      </w:pPr>
      <w:r>
        <w:rPr>
          <w:rFonts w:ascii="Calibri" w:hAnsi="Calibri"/>
        </w:rPr>
        <w:t>4.4 CSD / Settlement Infrastructure</w:t>
      </w:r>
    </w:p>
    <w:p>
      <w:r>
        <w:rPr>
          <w:rFonts w:ascii="Calibri" w:hAnsi="Calibri"/>
          <w:b/>
        </w:rPr>
        <w:t>DTC as CSD:</w:t>
      </w:r>
    </w:p>
    <w:p>
      <w:pPr>
        <w:pStyle w:val="ListBullet"/>
      </w:pPr>
      <w:r>
        <w:rPr>
          <w:rFonts w:ascii="Calibri" w:hAnsi="Calibri"/>
        </w:rPr>
        <w:t xml:space="preserve">DTC is the </w:t>
      </w:r>
      <w:r>
        <w:rPr>
          <w:rFonts w:ascii="Calibri" w:hAnsi="Calibri"/>
          <w:b/>
        </w:rPr>
        <w:t>sole CSD</w:t>
      </w:r>
      <w:r>
        <w:rPr>
          <w:rFonts w:ascii="Calibri" w:hAnsi="Calibri"/>
        </w:rPr>
        <w:t xml:space="preserve"> for the U.S. securities markets, holding a natural monopoly position.</w:t>
      </w:r>
    </w:p>
    <w:p>
      <w:pPr>
        <w:pStyle w:val="ListBullet"/>
      </w:pPr>
      <w:r>
        <w:rPr>
          <w:rFonts w:ascii="Calibri" w:hAnsi="Calibri"/>
          <w:b/>
        </w:rPr>
        <w:t>Immobilization model:</w:t>
      </w:r>
      <w:r>
        <w:rPr>
          <w:rFonts w:ascii="Calibri" w:hAnsi="Calibri"/>
        </w:rPr>
        <w:t xml:space="preserve"> Physical securities certificates are deposited at DTC (or its nominee, Cede &amp; Co.) and ownership is transferred via book-entry.</w:t>
      </w:r>
    </w:p>
    <w:p>
      <w:pPr>
        <w:pStyle w:val="ListBullet"/>
      </w:pPr>
      <w:r>
        <w:rPr>
          <w:rFonts w:ascii="Calibri" w:hAnsi="Calibri"/>
          <w:b/>
        </w:rPr>
        <w:t>Dematerialization:</w:t>
      </w:r>
      <w:r>
        <w:rPr>
          <w:rFonts w:ascii="Calibri" w:hAnsi="Calibri"/>
        </w:rPr>
        <w:t xml:space="preserve"> Increasingly, securities are issued in book-entry-only form.</w:t>
      </w:r>
    </w:p>
    <w:p>
      <w:pPr>
        <w:pStyle w:val="ListBullet"/>
      </w:pPr>
      <w:r>
        <w:rPr>
          <w:rFonts w:ascii="Calibri" w:hAnsi="Calibri"/>
        </w:rPr>
        <w:t>Securities accounts: DTC maintains securities accounts for each Participant.</w:t>
      </w:r>
    </w:p>
    <w:p>
      <w:pPr>
        <w:pStyle w:val="ListBullet"/>
      </w:pPr>
      <w:r>
        <w:rPr>
          <w:rFonts w:ascii="Calibri" w:hAnsi="Calibri"/>
          <w:b/>
        </w:rPr>
        <w:t>Cash settlement:</w:t>
      </w:r>
      <w:r>
        <w:rPr>
          <w:rFonts w:ascii="Calibri" w:hAnsi="Calibri"/>
        </w:rPr>
        <w:t xml:space="preserve"> Primarily through the Federal Reserve's </w:t>
      </w:r>
      <w:r>
        <w:rPr>
          <w:rFonts w:ascii="Calibri" w:hAnsi="Calibri"/>
          <w:b/>
        </w:rPr>
        <w:t>National Settlement Service (NSS)</w:t>
      </w:r>
      <w:r>
        <w:rPr>
          <w:rFonts w:ascii="Calibri" w:hAnsi="Calibri"/>
        </w:rPr>
        <w:t xml:space="preserve"> (central bank money) for end-of-day net settlement. DTC also uses commercial bank settlement for certain transactions.</w:t>
      </w:r>
    </w:p>
    <w:p>
      <w:r>
        <w:rPr>
          <w:rFonts w:ascii="Calibri" w:hAnsi="Calibri"/>
          <w:b/>
        </w:rPr>
        <w:t>Registered Holder:</w:t>
      </w:r>
    </w:p>
    <w:p>
      <w:pPr>
        <w:pStyle w:val="ListBullet"/>
      </w:pPr>
      <w:r>
        <w:rPr>
          <w:rFonts w:ascii="Calibri" w:hAnsi="Calibri"/>
        </w:rPr>
        <w:t xml:space="preserve">DTC's nominee, </w:t>
      </w:r>
      <w:r>
        <w:rPr>
          <w:rFonts w:ascii="Calibri" w:hAnsi="Calibri"/>
          <w:b/>
        </w:rPr>
        <w:t>Cede &amp; Co.</w:t>
      </w:r>
      <w:r>
        <w:rPr>
          <w:rFonts w:ascii="Calibri" w:hAnsi="Calibri"/>
        </w:rPr>
        <w:t>, is the registered holder of securities deposited at DTC.</w:t>
      </w:r>
    </w:p>
    <w:p>
      <w:pPr>
        <w:pStyle w:val="ListBullet"/>
      </w:pPr>
      <w:r>
        <w:rPr>
          <w:rFonts w:ascii="Calibri" w:hAnsi="Calibri"/>
        </w:rPr>
        <w:t>Beneficial ownership is tracked through the DTC participant accounts and their customer records.</w:t>
      </w:r>
    </w:p>
    <w:p>
      <w:pPr>
        <w:pStyle w:val="Heading3"/>
      </w:pPr>
      <w:r>
        <w:rPr>
          <w:rFonts w:ascii="Calibri" w:hAnsi="Calibri"/>
        </w:rPr>
        <w:t>4.5 CSD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Linked Entity</w:t>
            </w:r>
          </w:p>
        </w:tc>
        <w:tc>
          <w:tcPr>
            <w:tcW w:type="dxa" w:w="2880"/>
            <w:shd w:fill="4472C4" w:val="clear"/>
          </w:tcPr>
          <w:p>
            <w:pPr/>
            <w:r>
              <w:rPr>
                <w:b/>
                <w:color w:val="FFFFFF"/>
              </w:rPr>
            </w:r>
            <w:r>
              <w:rPr>
                <w:rFonts w:ascii="Calibri" w:hAnsi="Calibri"/>
                <w:b/>
                <w:color w:val="FFFFFF"/>
              </w:rPr>
              <w:t>Type of Link</w:t>
            </w:r>
          </w:p>
        </w:tc>
        <w:tc>
          <w:tcPr>
            <w:tcW w:type="dxa" w:w="2880"/>
            <w:shd w:fill="4472C4" w:val="clear"/>
          </w:tcPr>
          <w:p>
            <w:pPr/>
            <w:r>
              <w:rPr>
                <w:b/>
                <w:color w:val="FFFFFF"/>
              </w:rPr>
            </w:r>
            <w:r>
              <w:rPr>
                <w:rFonts w:ascii="Calibri" w:hAnsi="Calibri"/>
                <w:b/>
                <w:color w:val="FFFFFF"/>
              </w:rPr>
              <w:t>Products / Purpose</w:t>
            </w:r>
          </w:p>
        </w:tc>
      </w:tr>
      <w:tr>
        <w:tc>
          <w:tcPr>
            <w:tcW w:type="dxa" w:w="2880"/>
          </w:tcPr>
          <w:p>
            <w:pPr/>
            <w:r/>
            <w:r>
              <w:rPr>
                <w:rFonts w:ascii="Calibri" w:hAnsi="Calibri"/>
              </w:rPr>
              <w:t>Federal Reserve (Fedwire Securities Service)</w:t>
            </w:r>
          </w:p>
        </w:tc>
        <w:tc>
          <w:tcPr>
            <w:tcW w:type="dxa" w:w="2880"/>
          </w:tcPr>
          <w:p>
            <w:pPr/>
            <w:r/>
            <w:r>
              <w:rPr>
                <w:rFonts w:ascii="Calibri" w:hAnsi="Calibri"/>
              </w:rPr>
              <w:t>Direct link</w:t>
            </w:r>
          </w:p>
        </w:tc>
        <w:tc>
          <w:tcPr>
            <w:tcW w:type="dxa" w:w="2880"/>
          </w:tcPr>
          <w:p>
            <w:pPr/>
            <w:r/>
            <w:r>
              <w:rPr>
                <w:rFonts w:ascii="Calibri" w:hAnsi="Calibri"/>
              </w:rPr>
              <w:t>U.S. government securities; Fed-eligible securities transfer and settlement</w:t>
            </w:r>
          </w:p>
        </w:tc>
      </w:tr>
      <w:tr>
        <w:tc>
          <w:tcPr>
            <w:tcW w:type="dxa" w:w="2880"/>
          </w:tcPr>
          <w:p>
            <w:pPr/>
            <w:r/>
            <w:r>
              <w:rPr>
                <w:rFonts w:ascii="Calibri" w:hAnsi="Calibri"/>
              </w:rPr>
              <w:t>Euroclear Bank</w:t>
            </w:r>
          </w:p>
        </w:tc>
        <w:tc>
          <w:tcPr>
            <w:tcW w:type="dxa" w:w="2880"/>
          </w:tcPr>
          <w:p>
            <w:pPr/>
            <w:r/>
            <w:r>
              <w:rPr>
                <w:rFonts w:ascii="Calibri" w:hAnsi="Calibri"/>
              </w:rPr>
              <w:t>Operational link</w:t>
            </w:r>
          </w:p>
        </w:tc>
        <w:tc>
          <w:tcPr>
            <w:tcW w:type="dxa" w:w="2880"/>
          </w:tcPr>
          <w:p>
            <w:pPr/>
            <w:r/>
            <w:r>
              <w:rPr>
                <w:rFonts w:ascii="Calibri" w:hAnsi="Calibri"/>
              </w:rPr>
              <w:t>Cross-border settlement of U.S. securities for international investors</w:t>
            </w:r>
          </w:p>
        </w:tc>
      </w:tr>
      <w:tr>
        <w:tc>
          <w:tcPr>
            <w:tcW w:type="dxa" w:w="2880"/>
          </w:tcPr>
          <w:p>
            <w:pPr/>
            <w:r/>
            <w:r>
              <w:rPr>
                <w:rFonts w:ascii="Calibri" w:hAnsi="Calibri"/>
              </w:rPr>
              <w:t>Clearstream Banking</w:t>
            </w:r>
          </w:p>
        </w:tc>
        <w:tc>
          <w:tcPr>
            <w:tcW w:type="dxa" w:w="2880"/>
          </w:tcPr>
          <w:p>
            <w:pPr/>
            <w:r/>
            <w:r>
              <w:rPr>
                <w:rFonts w:ascii="Calibri" w:hAnsi="Calibri"/>
              </w:rPr>
              <w:t>Operational link</w:t>
            </w:r>
          </w:p>
        </w:tc>
        <w:tc>
          <w:tcPr>
            <w:tcW w:type="dxa" w:w="2880"/>
          </w:tcPr>
          <w:p>
            <w:pPr/>
            <w:r/>
            <w:r>
              <w:rPr>
                <w:rFonts w:ascii="Calibri" w:hAnsi="Calibri"/>
              </w:rPr>
              <w:t>Cross-border settlement of U.S. securities for international investors</w:t>
            </w:r>
          </w:p>
        </w:tc>
      </w:tr>
      <w:tr>
        <w:tc>
          <w:tcPr>
            <w:tcW w:type="dxa" w:w="2880"/>
          </w:tcPr>
          <w:p>
            <w:pPr/>
            <w:r/>
            <w:r>
              <w:rPr>
                <w:rFonts w:ascii="Calibri" w:hAnsi="Calibri"/>
              </w:rPr>
              <w:t>CDS Clearing (Canada)</w:t>
            </w:r>
          </w:p>
        </w:tc>
        <w:tc>
          <w:tcPr>
            <w:tcW w:type="dxa" w:w="2880"/>
          </w:tcPr>
          <w:p>
            <w:pPr/>
            <w:r/>
            <w:r>
              <w:rPr>
                <w:rFonts w:ascii="Calibri" w:hAnsi="Calibri"/>
              </w:rPr>
              <w:t>Cross-border link</w:t>
            </w:r>
          </w:p>
        </w:tc>
        <w:tc>
          <w:tcPr>
            <w:tcW w:type="dxa" w:w="2880"/>
          </w:tcPr>
          <w:p>
            <w:pPr/>
            <w:r/>
            <w:r>
              <w:rPr>
                <w:rFonts w:ascii="Calibri" w:hAnsi="Calibri"/>
              </w:rPr>
              <w:t>Canadian/U.S. cross-border settlement</w:t>
            </w:r>
          </w:p>
        </w:tc>
      </w:tr>
    </w:tbl>
    <w:p/>
    <w:p>
      <w:r>
        <w:rPr>
          <w:rFonts w:ascii="Calibri" w:hAnsi="Calibri"/>
        </w:rPr>
        <w:t>*Note: DTC does not have formal CCP interoperability links in the European sense, but maintains operational connections for cross-border settlement.*</w:t>
      </w:r>
    </w:p>
    <w:p>
      <w:pPr>
        <w:pStyle w:val="Heading3"/>
      </w:pPr>
      <w:r>
        <w:rPr>
          <w:rFonts w:ascii="Calibri" w:hAnsi="Calibri"/>
        </w:rPr>
        <w:t>4.6 Securities Lending &amp; Borrowing</w:t>
      </w:r>
    </w:p>
    <w:p>
      <w:pPr>
        <w:pStyle w:val="ListBullet"/>
      </w:pPr>
      <w:r>
        <w:rPr>
          <w:rFonts w:ascii="Calibri" w:hAnsi="Calibri"/>
          <w:b/>
        </w:rPr>
        <w:t>Facility available:</w:t>
      </w:r>
      <w:r>
        <w:rPr>
          <w:rFonts w:ascii="Calibri" w:hAnsi="Calibri"/>
        </w:rPr>
        <w:t xml:space="preserve"> Yes</w:t>
      </w:r>
    </w:p>
    <w:p>
      <w:pPr>
        <w:pStyle w:val="ListBullet"/>
      </w:pPr>
      <w:r>
        <w:rPr>
          <w:rFonts w:ascii="Calibri" w:hAnsi="Calibri"/>
          <w:b/>
        </w:rPr>
        <w:t>SL&amp;B (Stock Loan/Borrow) Program:</w:t>
      </w:r>
      <w:r>
        <w:rPr>
          <w:rFonts w:ascii="Calibri" w:hAnsi="Calibri"/>
        </w:rPr>
        <w:t xml:space="preserve"> NSCC operates an automated stock borrow program within the CNS system.</w:t>
      </w:r>
    </w:p>
    <w:p>
      <w:pPr>
        <w:pStyle w:val="ListBullet"/>
      </w:pPr>
      <w:r>
        <w:rPr>
          <w:rFonts w:ascii="Calibri" w:hAnsi="Calibri"/>
        </w:rPr>
        <w:t>When a member has a fail-to-deliver obligation, the CNS system may automatically borrow securities from members with available lending positions to facilitate settlement.</w:t>
      </w:r>
    </w:p>
    <w:p>
      <w:pPr>
        <w:pStyle w:val="ListBullet"/>
      </w:pPr>
      <w:r>
        <w:rPr>
          <w:rFonts w:ascii="Calibri" w:hAnsi="Calibri"/>
        </w:rPr>
        <w:t>The stock borrow program reduces CNS fails by sourcing securities from willing lenders.</w:t>
      </w:r>
    </w:p>
    <w:p>
      <w:pPr>
        <w:pStyle w:val="ListBullet"/>
      </w:pPr>
      <w:r>
        <w:rPr>
          <w:rFonts w:ascii="Calibri" w:hAnsi="Calibri"/>
          <w:b/>
        </w:rPr>
        <w:t>DTC Lending Services:</w:t>
      </w:r>
      <w:r>
        <w:rPr>
          <w:rFonts w:ascii="Calibri" w:hAnsi="Calibri"/>
        </w:rPr>
        <w:t xml:space="preserve"> DTC provides book-entry transfer infrastructure for bilateral securities lending transactions between participants.</w:t>
      </w:r>
    </w:p>
    <w:p>
      <w:r>
        <w:rPr>
          <w:rFonts w:ascii="Calibri" w:hAnsi="Calibri"/>
        </w:rPr>
        <w:t>*Sources: CNS overview (</w:t>
      </w:r>
      <w:r>
        <w:rPr>
          <w:rFonts w:ascii="Calibri" w:hAnsi="Calibri"/>
          <w:color w:val="0563C1"/>
          <w:u w:val="single"/>
        </w:rPr>
        <w:t>dtcclearning.com</w:t>
      </w:r>
      <w:r>
        <w:rPr>
          <w:rFonts w:ascii="Calibri" w:hAnsi="Calibri"/>
        </w:rPr>
        <w:t>); DTC Disclosure Framework*</w:t>
      </w:r>
    </w:p>
    <w:p>
      <w:pPr>
        <w:pBdr>
          <w:bottom w:val="single" w:sz="4" w:space="1" w:color="auto"/>
        </w:pBdr>
      </w:pPr>
    </w:p>
    <w:p>
      <w:pPr>
        <w:pStyle w:val="Heading2"/>
      </w:pPr>
      <w:r>
        <w:rPr>
          <w:rFonts w:ascii="Calibri" w:hAnsi="Calibri"/>
        </w:rPr>
        <w:t>5. Technology &amp;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System Names</w:t>
            </w:r>
          </w:p>
        </w:tc>
        <w:tc>
          <w:tcPr>
            <w:tcW w:type="dxa" w:w="4320"/>
          </w:tcPr>
          <w:p>
            <w:pPr/>
            <w:r/>
            <w:r>
              <w:rPr>
                <w:rFonts w:ascii="Calibri" w:hAnsi="Calibri"/>
                <w:b/>
              </w:rPr>
              <w:t>CNS</w:t>
            </w:r>
            <w:r>
              <w:rPr>
                <w:rFonts w:ascii="Calibri" w:hAnsi="Calibri"/>
              </w:rPr>
              <w:t xml:space="preserve"> (Continuous Net Settlement -- NSCC core); </w:t>
            </w:r>
            <w:r>
              <w:rPr>
                <w:rFonts w:ascii="Calibri" w:hAnsi="Calibri"/>
                <w:b/>
              </w:rPr>
              <w:t>Settlement</w:t>
            </w:r>
            <w:r>
              <w:rPr>
                <w:rFonts w:ascii="Calibri" w:hAnsi="Calibri"/>
              </w:rPr>
              <w:t xml:space="preserve"> (DTC settlement platform); </w:t>
            </w:r>
            <w:r>
              <w:rPr>
                <w:rFonts w:ascii="Calibri" w:hAnsi="Calibri"/>
                <w:b/>
              </w:rPr>
              <w:t>RTTM</w:t>
            </w:r>
            <w:r>
              <w:rPr>
                <w:rFonts w:ascii="Calibri" w:hAnsi="Calibri"/>
              </w:rPr>
              <w:t xml:space="preserve"> (Real-Time Trade Matching -- FICC); </w:t>
            </w:r>
            <w:r>
              <w:rPr>
                <w:rFonts w:ascii="Calibri" w:hAnsi="Calibri"/>
                <w:b/>
              </w:rPr>
              <w:t>SMART/Track</w:t>
            </w:r>
            <w:r>
              <w:rPr>
                <w:rFonts w:ascii="Calibri" w:hAnsi="Calibri"/>
              </w:rPr>
              <w:t xml:space="preserve"> (messaging hub); </w:t>
            </w:r>
            <w:r>
              <w:rPr>
                <w:rFonts w:ascii="Calibri" w:hAnsi="Calibri"/>
                <w:b/>
              </w:rPr>
              <w:t>Settlement Web</w:t>
            </w:r>
            <w:r>
              <w:rPr>
                <w:rFonts w:ascii="Calibri" w:hAnsi="Calibri"/>
              </w:rPr>
              <w:t xml:space="preserve"> (DTC primary user interface); </w:t>
            </w:r>
            <w:r>
              <w:rPr>
                <w:rFonts w:ascii="Calibri" w:hAnsi="Calibri"/>
                <w:b/>
              </w:rPr>
              <w:t>Inventory Management System</w:t>
            </w:r>
            <w:r>
              <w:rPr>
                <w:rFonts w:ascii="Calibri" w:hAnsi="Calibri"/>
              </w:rPr>
              <w:t xml:space="preserve"> (DTC delivery ordering); </w:t>
            </w:r>
            <w:r>
              <w:rPr>
                <w:rFonts w:ascii="Calibri" w:hAnsi="Calibri"/>
                <w:b/>
              </w:rPr>
              <w:t>Clearing Fund Management</w:t>
            </w:r>
            <w:r>
              <w:rPr>
                <w:rFonts w:ascii="Calibri" w:hAnsi="Calibri"/>
              </w:rPr>
              <w:t xml:space="preserve"> (real-time collateral management portal)</w:t>
            </w:r>
          </w:p>
        </w:tc>
      </w:tr>
      <w:tr>
        <w:tc>
          <w:tcPr>
            <w:tcW w:type="dxa" w:w="4320"/>
          </w:tcPr>
          <w:p>
            <w:pPr/>
            <w:r/>
            <w:r>
              <w:rPr>
                <w:rFonts w:ascii="Calibri" w:hAnsi="Calibri"/>
              </w:rPr>
              <w:t>Architecture</w:t>
            </w:r>
          </w:p>
        </w:tc>
        <w:tc>
          <w:tcPr>
            <w:tcW w:type="dxa" w:w="4320"/>
          </w:tcPr>
          <w:p>
            <w:pPr/>
            <w:r/>
            <w:r>
              <w:rPr>
                <w:rFonts w:ascii="Calibri" w:hAnsi="Calibri"/>
              </w:rPr>
              <w:t>Proprietary mainframe-based core systems; increasingly supplemented by distributed systems and cloud-based services; DLT-based platforms in parallel (Project Ion)</w:t>
            </w:r>
          </w:p>
        </w:tc>
      </w:tr>
      <w:tr>
        <w:tc>
          <w:tcPr>
            <w:tcW w:type="dxa" w:w="4320"/>
          </w:tcPr>
          <w:p>
            <w:pPr/>
            <w:r/>
            <w:r>
              <w:rPr>
                <w:rFonts w:ascii="Calibri" w:hAnsi="Calibri"/>
              </w:rPr>
              <w:t>Processing Capacity</w:t>
            </w:r>
          </w:p>
        </w:tc>
        <w:tc>
          <w:tcPr>
            <w:tcW w:type="dxa" w:w="4320"/>
          </w:tcPr>
          <w:p>
            <w:pPr/>
            <w:r/>
            <w:r>
              <w:rPr>
                <w:rFonts w:ascii="Calibri" w:hAnsi="Calibri"/>
              </w:rPr>
              <w:t>NSCC: Peak processed $5.55 trillion in a single day (April 2025). FICC-GSD: Peak $13.2 trillion daily (December 2025). Omgeo/ITP: 1 million+ trades per day across 42 countries. Project Ion: 100,000+ DLT-based transactions per day in parallel production.</w:t>
            </w:r>
          </w:p>
        </w:tc>
      </w:tr>
      <w:tr>
        <w:tc>
          <w:tcPr>
            <w:tcW w:type="dxa" w:w="4320"/>
          </w:tcPr>
          <w:p>
            <w:pPr/>
            <w:r/>
            <w:r>
              <w:rPr>
                <w:rFonts w:ascii="Calibri" w:hAnsi="Calibri"/>
              </w:rPr>
              <w:t>STP Rate</w:t>
            </w:r>
          </w:p>
        </w:tc>
        <w:tc>
          <w:tcPr>
            <w:tcW w:type="dxa" w:w="4320"/>
          </w:tcPr>
          <w:p>
            <w:pPr/>
            <w:r/>
            <w:r>
              <w:rPr>
                <w:rFonts w:ascii="Calibri" w:hAnsi="Calibri"/>
              </w:rPr>
              <w:t>High (specific percentage not publicly disclosed); T+1 transition required 95% same-day affirmation rate by 9:00 PM ET, which was achieved.</w:t>
            </w:r>
          </w:p>
        </w:tc>
      </w:tr>
      <w:tr>
        <w:tc>
          <w:tcPr>
            <w:tcW w:type="dxa" w:w="4320"/>
          </w:tcPr>
          <w:p>
            <w:pPr/>
            <w:r/>
            <w:r>
              <w:rPr>
                <w:rFonts w:ascii="Calibri" w:hAnsi="Calibri"/>
              </w:rPr>
              <w:t>Key Interfaces</w:t>
            </w:r>
          </w:p>
        </w:tc>
        <w:tc>
          <w:tcPr>
            <w:tcW w:type="dxa" w:w="4320"/>
          </w:tcPr>
          <w:p>
            <w:pPr/>
            <w:r/>
            <w:r>
              <w:rPr>
                <w:rFonts w:ascii="Calibri" w:hAnsi="Calibri"/>
              </w:rPr>
              <w:t>SMART network, MQ, SWIFT, ISO 20022 (corporate actions), FIX (trade capture), proprietary APIs</w:t>
            </w:r>
          </w:p>
        </w:tc>
      </w:tr>
    </w:tbl>
    <w:p/>
    <w:p>
      <w:pPr>
        <w:pStyle w:val="Heading3"/>
      </w:pPr>
      <w:r>
        <w:rPr>
          <w:rFonts w:ascii="Calibri" w:hAnsi="Calibri"/>
        </w:rPr>
        <w:t>5.1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Protocol</w:t>
            </w:r>
          </w:p>
        </w:tc>
        <w:tc>
          <w:tcPr>
            <w:tcW w:type="dxa" w:w="4320"/>
            <w:shd w:fill="4472C4" w:val="clear"/>
          </w:tcPr>
          <w:p>
            <w:pPr/>
            <w:r>
              <w:rPr>
                <w:b/>
                <w:color w:val="FFFFFF"/>
              </w:rPr>
            </w:r>
            <w:r>
              <w:rPr>
                <w:rFonts w:ascii="Calibri" w:hAnsi="Calibri"/>
                <w:b/>
                <w:color w:val="FFFFFF"/>
              </w:rPr>
              <w:t>Use Case</w:t>
            </w:r>
          </w:p>
        </w:tc>
      </w:tr>
      <w:tr>
        <w:tc>
          <w:tcPr>
            <w:tcW w:type="dxa" w:w="4320"/>
          </w:tcPr>
          <w:p>
            <w:pPr/>
            <w:r/>
            <w:r>
              <w:rPr>
                <w:rFonts w:ascii="Calibri" w:hAnsi="Calibri"/>
                <w:b/>
              </w:rPr>
              <w:t>SWIFT (FIN/ISO 15022)</w:t>
            </w:r>
          </w:p>
        </w:tc>
        <w:tc>
          <w:tcPr>
            <w:tcW w:type="dxa" w:w="4320"/>
          </w:tcPr>
          <w:p>
            <w:pPr/>
            <w:r/>
            <w:r>
              <w:rPr>
                <w:rFonts w:ascii="Calibri" w:hAnsi="Calibri"/>
              </w:rPr>
              <w:t>Cross-border settlement messaging, custody notifications</w:t>
            </w:r>
          </w:p>
        </w:tc>
      </w:tr>
      <w:tr>
        <w:tc>
          <w:tcPr>
            <w:tcW w:type="dxa" w:w="4320"/>
          </w:tcPr>
          <w:p>
            <w:pPr/>
            <w:r/>
            <w:r>
              <w:rPr>
                <w:rFonts w:ascii="Calibri" w:hAnsi="Calibri"/>
                <w:b/>
              </w:rPr>
              <w:t>ISO 20022</w:t>
            </w:r>
          </w:p>
        </w:tc>
        <w:tc>
          <w:tcPr>
            <w:tcW w:type="dxa" w:w="4320"/>
          </w:tcPr>
          <w:p>
            <w:pPr/>
            <w:r/>
            <w:r>
              <w:rPr>
                <w:rFonts w:ascii="Calibri" w:hAnsi="Calibri"/>
              </w:rPr>
              <w:t>Corporate actions messaging (DTC converted to SR2025 version in November 2025); distributions, reorganizations, and entitlements</w:t>
            </w:r>
          </w:p>
        </w:tc>
      </w:tr>
      <w:tr>
        <w:tc>
          <w:tcPr>
            <w:tcW w:type="dxa" w:w="4320"/>
          </w:tcPr>
          <w:p>
            <w:pPr/>
            <w:r/>
            <w:r>
              <w:rPr>
                <w:rFonts w:ascii="Calibri" w:hAnsi="Calibri"/>
                <w:b/>
              </w:rPr>
              <w:t>FIX Protocol</w:t>
            </w:r>
          </w:p>
        </w:tc>
        <w:tc>
          <w:tcPr>
            <w:tcW w:type="dxa" w:w="4320"/>
          </w:tcPr>
          <w:p>
            <w:pPr/>
            <w:r/>
            <w:r>
              <w:rPr>
                <w:rFonts w:ascii="Calibri" w:hAnsi="Calibri"/>
              </w:rPr>
              <w:t>Trade submission and comparison, real-time trade matching (FICC RTTM)</w:t>
            </w:r>
          </w:p>
        </w:tc>
      </w:tr>
      <w:tr>
        <w:tc>
          <w:tcPr>
            <w:tcW w:type="dxa" w:w="4320"/>
          </w:tcPr>
          <w:p>
            <w:pPr/>
            <w:r/>
            <w:r>
              <w:rPr>
                <w:rFonts w:ascii="Calibri" w:hAnsi="Calibri"/>
                <w:b/>
              </w:rPr>
              <w:t>SMART Network</w:t>
            </w:r>
          </w:p>
        </w:tc>
        <w:tc>
          <w:tcPr>
            <w:tcW w:type="dxa" w:w="4320"/>
          </w:tcPr>
          <w:p>
            <w:pPr/>
            <w:r/>
            <w:r>
              <w:rPr>
                <w:rFonts w:ascii="Calibri" w:hAnsi="Calibri"/>
              </w:rPr>
              <w:t>DTCC's proprietary dedicated telecommunications network for high-volume message transmission between participants and DTCC systems; no per-message cost (circuit-based)</w:t>
            </w:r>
          </w:p>
        </w:tc>
      </w:tr>
      <w:tr>
        <w:tc>
          <w:tcPr>
            <w:tcW w:type="dxa" w:w="4320"/>
          </w:tcPr>
          <w:p>
            <w:pPr/>
            <w:r/>
            <w:r>
              <w:rPr>
                <w:rFonts w:ascii="Calibri" w:hAnsi="Calibri"/>
                <w:b/>
              </w:rPr>
              <w:t>MQ Series</w:t>
            </w:r>
          </w:p>
        </w:tc>
        <w:tc>
          <w:tcPr>
            <w:tcW w:type="dxa" w:w="4320"/>
          </w:tcPr>
          <w:p>
            <w:pPr/>
            <w:r/>
            <w:r>
              <w:rPr>
                <w:rFonts w:ascii="Calibri" w:hAnsi="Calibri"/>
              </w:rPr>
              <w:t>Message queuing for batch and real-time data exchange</w:t>
            </w:r>
          </w:p>
        </w:tc>
      </w:tr>
      <w:tr>
        <w:tc>
          <w:tcPr>
            <w:tcW w:type="dxa" w:w="4320"/>
          </w:tcPr>
          <w:p>
            <w:pPr/>
            <w:r/>
            <w:r>
              <w:rPr>
                <w:rFonts w:ascii="Calibri" w:hAnsi="Calibri"/>
                <w:b/>
              </w:rPr>
              <w:t>Web-based portals</w:t>
            </w:r>
          </w:p>
        </w:tc>
        <w:tc>
          <w:tcPr>
            <w:tcW w:type="dxa" w:w="4320"/>
          </w:tcPr>
          <w:p>
            <w:pPr/>
            <w:r/>
            <w:r>
              <w:rPr>
                <w:rFonts w:ascii="Calibri" w:hAnsi="Calibri"/>
              </w:rPr>
              <w:t>Settlement Web, Clearing Fund Management, participant reporting</w:t>
            </w:r>
          </w:p>
        </w:tc>
      </w:tr>
      <w:tr>
        <w:tc>
          <w:tcPr>
            <w:tcW w:type="dxa" w:w="4320"/>
          </w:tcPr>
          <w:p>
            <w:pPr/>
            <w:r/>
            <w:r>
              <w:rPr>
                <w:rFonts w:ascii="Calibri" w:hAnsi="Calibri"/>
                <w:b/>
              </w:rPr>
              <w:t>APIs (RESTful)</w:t>
            </w:r>
          </w:p>
        </w:tc>
        <w:tc>
          <w:tcPr>
            <w:tcW w:type="dxa" w:w="4320"/>
          </w:tcPr>
          <w:p>
            <w:pPr/>
            <w:r/>
            <w:r>
              <w:rPr>
                <w:rFonts w:ascii="Calibri" w:hAnsi="Calibri"/>
              </w:rPr>
              <w:t>Emerging API connectivity for digital asset services and modern integrations</w:t>
            </w:r>
          </w:p>
        </w:tc>
      </w:tr>
    </w:tbl>
    <w:p/>
    <w:p>
      <w:pPr>
        <w:pStyle w:val="Heading3"/>
      </w:pPr>
      <w:r>
        <w:rPr>
          <w:rFonts w:ascii="Calibri" w:hAnsi="Calibri"/>
        </w:rPr>
        <w:t>5.2 Resilience</w:t>
      </w:r>
    </w:p>
    <w:p>
      <w:pPr>
        <w:pStyle w:val="ListBullet"/>
      </w:pPr>
      <w:r>
        <w:rPr>
          <w:rFonts w:ascii="Calibri" w:hAnsi="Calibri"/>
          <w:b/>
        </w:rPr>
        <w:t>DR sites:</w:t>
      </w:r>
      <w:r>
        <w:rPr>
          <w:rFonts w:ascii="Calibri" w:hAnsi="Calibri"/>
        </w:rPr>
        <w:t xml:space="preserve"> Multiple geographically separated data centers; DTCC operates from 20+ locations worldwide.</w:t>
      </w:r>
    </w:p>
    <w:p>
      <w:pPr>
        <w:pStyle w:val="ListBullet"/>
      </w:pPr>
      <w:r>
        <w:rPr>
          <w:rFonts w:ascii="Calibri" w:hAnsi="Calibri"/>
          <w:b/>
        </w:rPr>
        <w:t>RTO / RPO:</w:t>
      </w:r>
      <w:r>
        <w:rPr>
          <w:rFonts w:ascii="Calibri" w:hAnsi="Calibri"/>
        </w:rPr>
        <w:t xml:space="preserve"> As a SIFMU, DTCC is required by SEC Rule 17Ad-22(e)(17) to maintain systems with a high degree of security, resiliency, operational reliability, and adequate scalable capacity. Specific RTO/RPO targets are not publicly disclosed but must meet regulatory expectations for 2-hour recovery. [unverified specific RTO/RPO values]</w:t>
      </w:r>
    </w:p>
    <w:p>
      <w:pPr>
        <w:pStyle w:val="ListBullet"/>
      </w:pPr>
      <w:r>
        <w:rPr>
          <w:rFonts w:ascii="Calibri" w:hAnsi="Calibri"/>
          <w:b/>
        </w:rPr>
        <w:t>Business Continuity Plan:</w:t>
      </w:r>
      <w:r>
        <w:rPr>
          <w:rFonts w:ascii="Calibri" w:hAnsi="Calibri"/>
        </w:rPr>
        <w:t xml:space="preserve"> Comprehensive BCP maintained and tested regularly; includes scenarios for site failures, cyber incidents, pandemic, and natural disasters.</w:t>
      </w:r>
    </w:p>
    <w:p>
      <w:pPr>
        <w:pStyle w:val="ListBullet"/>
      </w:pPr>
      <w:r>
        <w:rPr>
          <w:rFonts w:ascii="Calibri" w:hAnsi="Calibri"/>
          <w:b/>
        </w:rPr>
        <w:t>Uptime:</w:t>
      </w:r>
      <w:r>
        <w:rPr>
          <w:rFonts w:ascii="Calibri" w:hAnsi="Calibri"/>
        </w:rPr>
        <w:t xml:space="preserve"> Core clearing and settlement systems maintain very high availability; specific SLA percentages not publicly disclosed.</w:t>
      </w:r>
    </w:p>
    <w:p>
      <w:pPr>
        <w:pStyle w:val="ListBullet"/>
      </w:pPr>
      <w:r>
        <w:rPr>
          <w:rFonts w:ascii="Calibri" w:hAnsi="Calibri"/>
          <w:b/>
        </w:rPr>
        <w:t>Cyber resilience:</w:t>
      </w:r>
      <w:r>
        <w:rPr>
          <w:rFonts w:ascii="Calibri" w:hAnsi="Calibri"/>
        </w:rPr>
        <w:t xml:space="preserve"> DTCC participates in industry-wide cyber resilience exercises; maintains extensive cybersecurity controls as required for SIFMUs.</w:t>
      </w:r>
    </w:p>
    <w:p>
      <w:pPr>
        <w:pStyle w:val="ListBullet"/>
      </w:pPr>
      <w:r>
        <w:rPr>
          <w:rFonts w:ascii="Calibri" w:hAnsi="Calibri"/>
          <w:b/>
        </w:rPr>
        <w:t>Participant System Disruption:</w:t>
      </w:r>
      <w:r>
        <w:rPr>
          <w:rFonts w:ascii="Calibri" w:hAnsi="Calibri"/>
        </w:rPr>
        <w:t xml:space="preserve"> In November 2025, SEC approved DTC/FICC/NSCC rule changes related to managing participant system disruptions (SR-DTC-2025-006, SR-FICC-2025-006, SR-NSCC-2025-006).</w:t>
      </w:r>
    </w:p>
    <w:p>
      <w:r>
        <w:rPr>
          <w:rFonts w:ascii="Calibri" w:hAnsi="Calibri"/>
        </w:rPr>
        <w:t>*Sources: SEC Rule 17Ad-22(e)(17); DTCC Disclosure Frameworks; Federal Register 2025-20384 (</w:t>
      </w:r>
      <w:r>
        <w:rPr>
          <w:rFonts w:ascii="Calibri" w:hAnsi="Calibri"/>
          <w:color w:val="0563C1"/>
          <w:u w:val="single"/>
        </w:rPr>
        <w:t>federalregister.gov</w:t>
      </w:r>
      <w:r>
        <w:rPr>
          <w:rFonts w:ascii="Calibri" w:hAnsi="Calibri"/>
        </w:rPr>
        <w:t>)*</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6.1 Supervising Authority</w:t>
      </w:r>
    </w:p>
    <w:p>
      <w:pPr>
        <w:pStyle w:val="ListBullet"/>
      </w:pPr>
      <w:r>
        <w:rPr>
          <w:rFonts w:ascii="Calibri" w:hAnsi="Calibri"/>
          <w:b/>
        </w:rPr>
        <w:t>Primary:</w:t>
      </w:r>
      <w:r>
        <w:rPr>
          <w:rFonts w:ascii="Calibri" w:hAnsi="Calibri"/>
        </w:rPr>
        <w:t xml:space="preserve"> U.S. Securities and Exchange Commission (SEC) -- Supervisory Agency for DTC, NSCC, and FICC under Dodd-Frank Title VIII</w:t>
      </w:r>
    </w:p>
    <w:p>
      <w:pPr>
        <w:pStyle w:val="ListBullet"/>
      </w:pPr>
      <w:r>
        <w:rPr>
          <w:rFonts w:ascii="Calibri" w:hAnsi="Calibri"/>
          <w:b/>
        </w:rPr>
        <w:t>Secondary:</w:t>
      </w:r>
      <w:r>
        <w:rPr>
          <w:rFonts w:ascii="Calibri" w:hAnsi="Calibri"/>
        </w:rPr>
        <w:t xml:space="preserve"> Board of Governors of the Federal Reserve System -- oversight authority under Title VIII for SIFMUs; backup enforcement authority</w:t>
      </w:r>
    </w:p>
    <w:p>
      <w:pPr>
        <w:pStyle w:val="ListBullet"/>
      </w:pPr>
      <w:r>
        <w:rPr>
          <w:rFonts w:ascii="Calibri" w:hAnsi="Calibri"/>
          <w:b/>
        </w:rPr>
        <w:t>Additional:</w:t>
      </w:r>
      <w:r>
        <w:rPr>
          <w:rFonts w:ascii="Calibri" w:hAnsi="Calibri"/>
        </w:rPr>
        <w:t xml:space="preserve"> CFTC (for DTCC's swap data repository operations); FDIC (potential resolution role under Title II)</w:t>
      </w:r>
    </w:p>
    <w:p>
      <w:pPr>
        <w:pStyle w:val="Heading3"/>
      </w:pPr>
      <w:r>
        <w:rPr>
          <w:rFonts w:ascii="Calibri" w:hAnsi="Calibri"/>
        </w:rPr>
        <w:t>6.2 Key Regulations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Regulation</w:t>
            </w:r>
          </w:p>
        </w:tc>
        <w:tc>
          <w:tcPr>
            <w:tcW w:type="dxa" w:w="2880"/>
            <w:shd w:fill="4472C4" w:val="clear"/>
          </w:tcPr>
          <w:p>
            <w:pPr/>
            <w:r>
              <w:rPr>
                <w:b/>
                <w:color w:val="FFFFFF"/>
              </w:rPr>
            </w:r>
            <w:r>
              <w:rPr>
                <w:rFonts w:ascii="Calibri" w:hAnsi="Calibri"/>
                <w:b/>
                <w:color w:val="FFFFFF"/>
              </w:rPr>
              <w:t>Description</w:t>
            </w:r>
          </w:p>
        </w:tc>
        <w:tc>
          <w:tcPr>
            <w:tcW w:type="dxa" w:w="2880"/>
            <w:shd w:fill="4472C4" w:val="clear"/>
          </w:tcPr>
          <w:p>
            <w:pPr/>
            <w:r>
              <w:rPr>
                <w:b/>
                <w:color w:val="FFFFFF"/>
              </w:rPr>
            </w:r>
            <w:r>
              <w:rPr>
                <w:rFonts w:ascii="Calibri" w:hAnsi="Calibri"/>
                <w:b/>
                <w:color w:val="FFFFFF"/>
              </w:rPr>
              <w:t>Impact on DTCC</w:t>
            </w:r>
          </w:p>
        </w:tc>
      </w:tr>
      <w:tr>
        <w:tc>
          <w:tcPr>
            <w:tcW w:type="dxa" w:w="2880"/>
          </w:tcPr>
          <w:p>
            <w:pPr/>
            <w:r/>
            <w:r>
              <w:rPr>
                <w:rFonts w:ascii="Calibri" w:hAnsi="Calibri"/>
                <w:b/>
              </w:rPr>
              <w:t>Dodd-Frank Title VIII</w:t>
            </w:r>
            <w:r>
              <w:rPr>
                <w:rFonts w:ascii="Calibri" w:hAnsi="Calibri"/>
              </w:rPr>
              <w:t xml:space="preserve"> (2010)</w:t>
            </w:r>
          </w:p>
        </w:tc>
        <w:tc>
          <w:tcPr>
            <w:tcW w:type="dxa" w:w="2880"/>
          </w:tcPr>
          <w:p>
            <w:pPr/>
            <w:r/>
            <w:r>
              <w:rPr>
                <w:rFonts w:ascii="Calibri" w:hAnsi="Calibri"/>
              </w:rPr>
              <w:t>Designated DTC, NSCC, FICC as SIFMUs; established framework for enhanced supervision by SEC and Federal Reserve</w:t>
            </w:r>
          </w:p>
        </w:tc>
        <w:tc>
          <w:tcPr>
            <w:tcW w:type="dxa" w:w="2880"/>
          </w:tcPr>
          <w:p>
            <w:pPr/>
            <w:r/>
            <w:r>
              <w:rPr>
                <w:rFonts w:ascii="Calibri" w:hAnsi="Calibri"/>
              </w:rPr>
              <w:t>Heightened risk management, governance, and reporting requirements</w:t>
            </w:r>
          </w:p>
        </w:tc>
      </w:tr>
      <w:tr>
        <w:tc>
          <w:tcPr>
            <w:tcW w:type="dxa" w:w="2880"/>
          </w:tcPr>
          <w:p>
            <w:pPr/>
            <w:r/>
            <w:r>
              <w:rPr>
                <w:rFonts w:ascii="Calibri" w:hAnsi="Calibri"/>
                <w:b/>
              </w:rPr>
              <w:t>SEC Rule 17Ad-22</w:t>
            </w:r>
            <w:r>
              <w:rPr>
                <w:rFonts w:ascii="Calibri" w:hAnsi="Calibri"/>
              </w:rPr>
              <w:t xml:space="preserve"> (original 2012; enhanced 2016)</w:t>
            </w:r>
          </w:p>
        </w:tc>
        <w:tc>
          <w:tcPr>
            <w:tcW w:type="dxa" w:w="2880"/>
          </w:tcPr>
          <w:p>
            <w:pPr/>
            <w:r/>
            <w:r>
              <w:rPr>
                <w:rFonts w:ascii="Calibri" w:hAnsi="Calibri"/>
              </w:rPr>
              <w:t>Standards for registered clearing agencies</w:t>
            </w:r>
          </w:p>
        </w:tc>
        <w:tc>
          <w:tcPr>
            <w:tcW w:type="dxa" w:w="2880"/>
          </w:tcPr>
          <w:p>
            <w:pPr/>
            <w:r/>
            <w:r>
              <w:rPr>
                <w:rFonts w:ascii="Calibri" w:hAnsi="Calibri"/>
              </w:rPr>
              <w:t>Rule 17Ad-22(e) -- enhanced standards for covered clearing agencies including DTC, NSCC, FICC, covering risk management, governance, recovery planning</w:t>
            </w:r>
          </w:p>
        </w:tc>
      </w:tr>
      <w:tr>
        <w:tc>
          <w:tcPr>
            <w:tcW w:type="dxa" w:w="2880"/>
          </w:tcPr>
          <w:p>
            <w:pPr/>
            <w:r/>
            <w:r>
              <w:rPr>
                <w:rFonts w:ascii="Calibri" w:hAnsi="Calibri"/>
                <w:b/>
              </w:rPr>
              <w:t>SEC Rule 17ad-26</w:t>
            </w:r>
            <w:r>
              <w:rPr>
                <w:rFonts w:ascii="Calibri" w:hAnsi="Calibri"/>
              </w:rPr>
              <w:t xml:space="preserve"> (2024)</w:t>
            </w:r>
          </w:p>
        </w:tc>
        <w:tc>
          <w:tcPr>
            <w:tcW w:type="dxa" w:w="2880"/>
          </w:tcPr>
          <w:p>
            <w:pPr/>
            <w:r/>
            <w:r>
              <w:rPr>
                <w:rFonts w:ascii="Calibri" w:hAnsi="Calibri"/>
              </w:rPr>
              <w:t>Requirements for recovery and wind-down plans</w:t>
            </w:r>
          </w:p>
        </w:tc>
        <w:tc>
          <w:tcPr>
            <w:tcW w:type="dxa" w:w="2880"/>
          </w:tcPr>
          <w:p>
            <w:pPr/>
            <w:r/>
            <w:r>
              <w:rPr>
                <w:rFonts w:ascii="Calibri" w:hAnsi="Calibri"/>
              </w:rPr>
              <w:t>DTC/NSCC/FICC required to amend R&amp;W Plans; compliance date December 15, 2025</w:t>
            </w:r>
          </w:p>
        </w:tc>
      </w:tr>
      <w:tr>
        <w:tc>
          <w:tcPr>
            <w:tcW w:type="dxa" w:w="2880"/>
          </w:tcPr>
          <w:p>
            <w:pPr/>
            <w:r/>
            <w:r>
              <w:rPr>
                <w:rFonts w:ascii="Calibri" w:hAnsi="Calibri"/>
                <w:b/>
              </w:rPr>
              <w:t>SEC Rule -- Treasury Clearing Mandate</w:t>
            </w:r>
            <w:r>
              <w:rPr>
                <w:rFonts w:ascii="Calibri" w:hAnsi="Calibri"/>
              </w:rPr>
              <w:t xml:space="preserve"> (Dec 2023/adopted 2024)</w:t>
            </w:r>
          </w:p>
        </w:tc>
        <w:tc>
          <w:tcPr>
            <w:tcW w:type="dxa" w:w="2880"/>
          </w:tcPr>
          <w:p>
            <w:pPr/>
            <w:r/>
            <w:r>
              <w:rPr>
                <w:rFonts w:ascii="Calibri" w:hAnsi="Calibri"/>
              </w:rPr>
              <w:t>Requires expanded central clearing of U.S. Treasury cash and repo transactions</w:t>
            </w:r>
          </w:p>
        </w:tc>
        <w:tc>
          <w:tcPr>
            <w:tcW w:type="dxa" w:w="2880"/>
          </w:tcPr>
          <w:p>
            <w:pPr/>
            <w:r/>
            <w:r>
              <w:rPr>
                <w:rFonts w:ascii="Calibri" w:hAnsi="Calibri"/>
              </w:rPr>
              <w:t>FICC-GSD must expand access; compliance dates: Dec 31, 2026 (cash), June 30, 2027 (repo)</w:t>
            </w:r>
          </w:p>
        </w:tc>
      </w:tr>
      <w:tr>
        <w:tc>
          <w:tcPr>
            <w:tcW w:type="dxa" w:w="2880"/>
          </w:tcPr>
          <w:p>
            <w:pPr/>
            <w:r/>
            <w:r>
              <w:rPr>
                <w:rFonts w:ascii="Calibri" w:hAnsi="Calibri"/>
                <w:b/>
              </w:rPr>
              <w:t>Securities Exchange Act of 1934</w:t>
            </w:r>
          </w:p>
        </w:tc>
        <w:tc>
          <w:tcPr>
            <w:tcW w:type="dxa" w:w="2880"/>
          </w:tcPr>
          <w:p>
            <w:pPr/>
            <w:r/>
            <w:r>
              <w:rPr>
                <w:rFonts w:ascii="Calibri" w:hAnsi="Calibri"/>
              </w:rPr>
              <w:t>Registration and regulation of clearing agencies</w:t>
            </w:r>
          </w:p>
        </w:tc>
        <w:tc>
          <w:tcPr>
            <w:tcW w:type="dxa" w:w="2880"/>
          </w:tcPr>
          <w:p>
            <w:pPr/>
            <w:r/>
            <w:r>
              <w:rPr>
                <w:rFonts w:ascii="Calibri" w:hAnsi="Calibri"/>
              </w:rPr>
              <w:t>DTC, NSCC, FICC registered as clearing agencies under Section 17A</w:t>
            </w:r>
          </w:p>
        </w:tc>
      </w:tr>
      <w:tr>
        <w:tc>
          <w:tcPr>
            <w:tcW w:type="dxa" w:w="2880"/>
          </w:tcPr>
          <w:p>
            <w:pPr/>
            <w:r/>
            <w:r>
              <w:rPr>
                <w:rFonts w:ascii="Calibri" w:hAnsi="Calibri"/>
                <w:b/>
              </w:rPr>
              <w:t>FDICIA (1991)</w:t>
            </w:r>
          </w:p>
        </w:tc>
        <w:tc>
          <w:tcPr>
            <w:tcW w:type="dxa" w:w="2880"/>
          </w:tcPr>
          <w:p>
            <w:pPr/>
            <w:r/>
            <w:r>
              <w:rPr>
                <w:rFonts w:ascii="Calibri" w:hAnsi="Calibri"/>
              </w:rPr>
              <w:t>Federal Deposit Insurance Corporation Improvement Act</w:t>
            </w:r>
          </w:p>
        </w:tc>
        <w:tc>
          <w:tcPr>
            <w:tcW w:type="dxa" w:w="2880"/>
          </w:tcPr>
          <w:p>
            <w:pPr/>
            <w:r/>
            <w:r>
              <w:rPr>
                <w:rFonts w:ascii="Calibri" w:hAnsi="Calibri"/>
              </w:rPr>
              <w:t>Provides netting protections for clearing organization transactions</w:t>
            </w:r>
          </w:p>
        </w:tc>
      </w:tr>
      <w:tr>
        <w:tc>
          <w:tcPr>
            <w:tcW w:type="dxa" w:w="2880"/>
          </w:tcPr>
          <w:p>
            <w:pPr/>
            <w:r/>
            <w:r>
              <w:rPr>
                <w:rFonts w:ascii="Calibri" w:hAnsi="Calibri"/>
                <w:b/>
              </w:rPr>
              <w:t>Basel III / CRR</w:t>
            </w:r>
          </w:p>
        </w:tc>
        <w:tc>
          <w:tcPr>
            <w:tcW w:type="dxa" w:w="2880"/>
          </w:tcPr>
          <w:p>
            <w:pPr/>
            <w:r/>
            <w:r>
              <w:rPr>
                <w:rFonts w:ascii="Calibri" w:hAnsi="Calibri"/>
              </w:rPr>
              <w:t>Bank capital requirements for CCP exposures</w:t>
            </w:r>
          </w:p>
        </w:tc>
        <w:tc>
          <w:tcPr>
            <w:tcW w:type="dxa" w:w="2880"/>
          </w:tcPr>
          <w:p>
            <w:pPr/>
            <w:r/>
            <w:r>
              <w:rPr>
                <w:rFonts w:ascii="Calibri" w:hAnsi="Calibri"/>
              </w:rPr>
              <w:t>DTCC CCPs' QCCP status affects bank members' capital charges</w:t>
            </w:r>
          </w:p>
        </w:tc>
      </w:tr>
    </w:tbl>
    <w:p/>
    <w:p>
      <w:pPr>
        <w:pStyle w:val="Heading3"/>
      </w:pPr>
      <w:r>
        <w:rPr>
          <w:rFonts w:ascii="Calibri" w:hAnsi="Calibri"/>
        </w:rPr>
        <w:t>6.3 PFMI Compliance</w:t>
      </w:r>
    </w:p>
    <w:p>
      <w:pPr>
        <w:pStyle w:val="ListBullet"/>
      </w:pPr>
      <w:r>
        <w:rPr>
          <w:rFonts w:ascii="Calibri" w:hAnsi="Calibri"/>
          <w:b/>
        </w:rPr>
        <w:t>Last PFMI Disclosure Framework updates:</w:t>
      </w:r>
    </w:p>
    <w:p>
      <w:pPr>
        <w:pStyle w:val="ListBullet"/>
      </w:pPr>
      <w:r>
        <w:rPr>
          <w:rFonts w:ascii="Calibri" w:hAnsi="Calibri"/>
        </w:rPr>
        <w:t>NSCC: Q1 2025 (published on DTCC website)</w:t>
      </w:r>
    </w:p>
    <w:p>
      <w:pPr>
        <w:pStyle w:val="ListBullet"/>
      </w:pPr>
      <w:r>
        <w:rPr>
          <w:rFonts w:ascii="Calibri" w:hAnsi="Calibri"/>
        </w:rPr>
        <w:t>FICC: Most recent update available on DTCC website</w:t>
      </w:r>
    </w:p>
    <w:p>
      <w:pPr>
        <w:pStyle w:val="ListBullet"/>
      </w:pPr>
      <w:r>
        <w:rPr>
          <w:rFonts w:ascii="Calibri" w:hAnsi="Calibri"/>
        </w:rPr>
        <w:t>DTC: Q1 2024 update published</w:t>
      </w:r>
    </w:p>
    <w:p>
      <w:pPr>
        <w:pStyle w:val="ListBullet"/>
      </w:pPr>
      <w:r>
        <w:rPr>
          <w:rFonts w:ascii="Calibri" w:hAnsi="Calibri"/>
          <w:b/>
        </w:rPr>
        <w:t>Format:</w:t>
      </w:r>
      <w:r>
        <w:rPr>
          <w:rFonts w:ascii="Calibri" w:hAnsi="Calibri"/>
        </w:rPr>
        <w:t xml:space="preserve"> Each subsidiary publishes a separate Disclosure Framework addressing all 24 PFMI Principles and 5 Key Considerations.</w:t>
      </w:r>
    </w:p>
    <w:p>
      <w:pPr>
        <w:pStyle w:val="ListBullet"/>
      </w:pPr>
      <w:r>
        <w:rPr>
          <w:rFonts w:ascii="Calibri" w:hAnsi="Calibri"/>
          <w:b/>
        </w:rPr>
        <w:t>Key findings:</w:t>
      </w:r>
      <w:r>
        <w:rPr>
          <w:rFonts w:ascii="Calibri" w:hAnsi="Calibri"/>
        </w:rPr>
        <w:t xml:space="preserve"> Generally assessed as broadly observant of PFMI Principles. Areas of ongoing focus include cyber resilience, recovery planning, and governance transparency.</w:t>
      </w:r>
    </w:p>
    <w:p>
      <w:pPr>
        <w:pStyle w:val="ListBullet"/>
      </w:pPr>
      <w:r>
        <w:rPr>
          <w:rFonts w:ascii="Calibri" w:hAnsi="Calibri"/>
          <w:b/>
        </w:rPr>
        <w:t>IMF FSAP Assessment:</w:t>
      </w:r>
      <w:r>
        <w:rPr>
          <w:rFonts w:ascii="Calibri" w:hAnsi="Calibri"/>
        </w:rPr>
        <w:t xml:space="preserve"> U.S. FSAP assessment of DTC/NSCC/FICC published in 2010 (most recent comprehensive international assessment).</w:t>
      </w:r>
    </w:p>
    <w:p>
      <w:pPr>
        <w:pStyle w:val="Heading3"/>
      </w:pPr>
      <w:r>
        <w:rPr>
          <w:rFonts w:ascii="Calibri" w:hAnsi="Calibri"/>
        </w:rPr>
        <w:t>6.4 Reporting Requirements</w:t>
      </w:r>
    </w:p>
    <w:p>
      <w:pPr>
        <w:pStyle w:val="ListBullet"/>
      </w:pPr>
      <w:r>
        <w:rPr>
          <w:rFonts w:ascii="Calibri" w:hAnsi="Calibri"/>
          <w:b/>
        </w:rPr>
        <w:t>Trade reporting:</w:t>
      </w:r>
      <w:r>
        <w:rPr>
          <w:rFonts w:ascii="Calibri" w:hAnsi="Calibri"/>
        </w:rPr>
        <w:t xml:space="preserve"> DTCC operates DTCC Data Repository (DDR) for OTC derivatives trade reporting under Dodd-Frank Title VII.</w:t>
      </w:r>
    </w:p>
    <w:p>
      <w:pPr>
        <w:pStyle w:val="ListBullet"/>
      </w:pPr>
      <w:r>
        <w:rPr>
          <w:rFonts w:ascii="Calibri" w:hAnsi="Calibri"/>
          <w:b/>
        </w:rPr>
        <w:t>Position reporting:</w:t>
      </w:r>
      <w:r>
        <w:rPr>
          <w:rFonts w:ascii="Calibri" w:hAnsi="Calibri"/>
        </w:rPr>
        <w:t xml:space="preserve"> Members submit position data as part of margin calculation; DTCC reports to regulators as required.</w:t>
      </w:r>
    </w:p>
    <w:p>
      <w:pPr>
        <w:pStyle w:val="ListBullet"/>
      </w:pPr>
      <w:r>
        <w:rPr>
          <w:rFonts w:ascii="Calibri" w:hAnsi="Calibri"/>
          <w:b/>
        </w:rPr>
        <w:t>Public Quantitative Disclosures (CPMI-IOSCO):</w:t>
      </w:r>
      <w:r>
        <w:rPr>
          <w:rFonts w:ascii="Calibri" w:hAnsi="Calibri"/>
        </w:rPr>
        <w:t xml:space="preserve"> Published quarterly for NSCC and FICC jointly. Covers initial margin, default fund, credit risk, liquidity risk, and operational metrics. Available at: </w:t>
      </w:r>
      <w:r>
        <w:rPr>
          <w:rFonts w:ascii="Calibri" w:hAnsi="Calibri"/>
          <w:color w:val="0563C1"/>
          <w:u w:val="single"/>
        </w:rPr>
        <w:t>dtcc.com/legal/policy-and-compliance</w:t>
      </w:r>
    </w:p>
    <w:p>
      <w:pPr>
        <w:pStyle w:val="ListBullet"/>
      </w:pPr>
      <w:r>
        <w:rPr>
          <w:rFonts w:ascii="Calibri" w:hAnsi="Calibri"/>
          <w:b/>
        </w:rPr>
        <w:t>Financial statements:</w:t>
      </w:r>
      <w:r>
        <w:rPr>
          <w:rFonts w:ascii="Calibri" w:hAnsi="Calibri"/>
        </w:rPr>
        <w:t xml:space="preserve"> Published quarterly and annually for DTC, NSCC, FICC, and DTCC consolidated.</w:t>
      </w:r>
    </w:p>
    <w:p>
      <w:pPr>
        <w:pStyle w:val="ListBullet"/>
      </w:pPr>
      <w:r>
        <w:rPr>
          <w:rFonts w:ascii="Calibri" w:hAnsi="Calibri"/>
          <w:b/>
        </w:rPr>
        <w:t>SEC reporting:</w:t>
      </w:r>
      <w:r>
        <w:rPr>
          <w:rFonts w:ascii="Calibri" w:hAnsi="Calibri"/>
        </w:rPr>
        <w:t xml:space="preserve"> Rule filings (SR filings) and advance notices for material rule changes.</w:t>
      </w:r>
    </w:p>
    <w:p>
      <w:r>
        <w:rPr>
          <w:rFonts w:ascii="Calibri" w:hAnsi="Calibri"/>
        </w:rPr>
        <w:t>*Sources: Federal Reserve SIFMU designation page (</w:t>
      </w:r>
      <w:r>
        <w:rPr>
          <w:rFonts w:ascii="Calibri" w:hAnsi="Calibri"/>
          <w:color w:val="0563C1"/>
          <w:u w:val="single"/>
        </w:rPr>
        <w:t>federalreserve.gov</w:t>
      </w:r>
      <w:r>
        <w:rPr>
          <w:rFonts w:ascii="Calibri" w:hAnsi="Calibri"/>
        </w:rPr>
        <w:t>); Dodd-Frank Title VIII (</w:t>
      </w:r>
      <w:r>
        <w:rPr>
          <w:rFonts w:ascii="Calibri" w:hAnsi="Calibri"/>
          <w:color w:val="0563C1"/>
          <w:u w:val="single"/>
        </w:rPr>
        <w:t>law.cornell.edu</w:t>
      </w:r>
      <w:r>
        <w:rPr>
          <w:rFonts w:ascii="Calibri" w:hAnsi="Calibri"/>
        </w:rPr>
        <w:t>); SEC Rule 17Ad-22 (</w:t>
      </w:r>
      <w:r>
        <w:rPr>
          <w:rFonts w:ascii="Calibri" w:hAnsi="Calibri"/>
          <w:color w:val="0563C1"/>
          <w:u w:val="single"/>
        </w:rPr>
        <w:t>sec.gov</w:t>
      </w:r>
      <w:r>
        <w:rPr>
          <w:rFonts w:ascii="Calibri" w:hAnsi="Calibri"/>
        </w:rPr>
        <w:t>); SEC Treasury clearing rule (</w:t>
      </w:r>
      <w:r>
        <w:rPr>
          <w:rFonts w:ascii="Calibri" w:hAnsi="Calibri"/>
          <w:color w:val="0563C1"/>
          <w:u w:val="single"/>
        </w:rPr>
        <w:t>federalregister.gov</w:t>
      </w:r>
      <w:r>
        <w:rPr>
          <w:rFonts w:ascii="Calibri" w:hAnsi="Calibri"/>
        </w:rPr>
        <w:t>)*</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CCP Interoperability Arrangements</w:t>
      </w:r>
    </w:p>
    <w:p>
      <w:r>
        <w:rPr>
          <w:rFonts w:ascii="Calibri" w:hAnsi="Calibri"/>
        </w:rPr>
        <w:t>DTCC's CCPs (NSCC and FICC) do not have formal CCP interoperability links in the European model (where two CCPs interoperate to clear the same product). Instead, DTCC operates through: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Arrangement</w:t>
            </w:r>
          </w:p>
        </w:tc>
        <w:tc>
          <w:tcPr>
            <w:tcW w:type="dxa" w:w="2160"/>
            <w:shd w:fill="4472C4" w:val="clear"/>
          </w:tcPr>
          <w:p>
            <w:pPr/>
            <w:r>
              <w:rPr>
                <w:b/>
                <w:color w:val="FFFFFF"/>
              </w:rPr>
            </w:r>
            <w:r>
              <w:rPr>
                <w:rFonts w:ascii="Calibri" w:hAnsi="Calibri"/>
                <w:b/>
                <w:color w:val="FFFFFF"/>
              </w:rPr>
              <w:t>Partner</w:t>
            </w:r>
          </w:p>
        </w:tc>
        <w:tc>
          <w:tcPr>
            <w:tcW w:type="dxa" w:w="2160"/>
            <w:shd w:fill="4472C4" w:val="clear"/>
          </w:tcPr>
          <w:p>
            <w:pPr/>
            <w:r>
              <w:rPr>
                <w:b/>
                <w:color w:val="FFFFFF"/>
              </w:rPr>
            </w:r>
            <w:r>
              <w:rPr>
                <w:rFonts w:ascii="Calibri" w:hAnsi="Calibri"/>
                <w:b/>
                <w:color w:val="FFFFFF"/>
              </w:rPr>
              <w:t>Products</w:t>
            </w:r>
          </w:p>
        </w:tc>
        <w:tc>
          <w:tcPr>
            <w:tcW w:type="dxa" w:w="2160"/>
            <w:shd w:fill="4472C4" w:val="clear"/>
          </w:tcPr>
          <w:p>
            <w:pPr/>
            <w:r>
              <w:rPr>
                <w:b/>
                <w:color w:val="FFFFFF"/>
              </w:rPr>
            </w:r>
            <w:r>
              <w:rPr>
                <w:rFonts w:ascii="Calibri" w:hAnsi="Calibri"/>
                <w:b/>
                <w:color w:val="FFFFFF"/>
              </w:rPr>
              <w:t>Description</w:t>
            </w:r>
          </w:p>
        </w:tc>
      </w:tr>
      <w:tr>
        <w:tc>
          <w:tcPr>
            <w:tcW w:type="dxa" w:w="2160"/>
          </w:tcPr>
          <w:p>
            <w:pPr/>
            <w:r/>
            <w:r>
              <w:rPr>
                <w:rFonts w:ascii="Calibri" w:hAnsi="Calibri"/>
                <w:b/>
              </w:rPr>
              <w:t>Cross-Guaranty Agreement</w:t>
            </w:r>
          </w:p>
        </w:tc>
        <w:tc>
          <w:tcPr>
            <w:tcW w:type="dxa" w:w="2160"/>
          </w:tcPr>
          <w:p>
            <w:pPr/>
            <w:r/>
            <w:r>
              <w:rPr>
                <w:rFonts w:ascii="Calibri" w:hAnsi="Calibri"/>
              </w:rPr>
              <w:t>Between NSCC, FICC, and DTC</w:t>
            </w:r>
          </w:p>
        </w:tc>
        <w:tc>
          <w:tcPr>
            <w:tcW w:type="dxa" w:w="2160"/>
          </w:tcPr>
          <w:p>
            <w:pPr/>
            <w:r/>
            <w:r>
              <w:rPr>
                <w:rFonts w:ascii="Calibri" w:hAnsi="Calibri"/>
              </w:rPr>
              <w:t>All products cleared by these entities</w:t>
            </w:r>
          </w:p>
        </w:tc>
        <w:tc>
          <w:tcPr>
            <w:tcW w:type="dxa" w:w="2160"/>
          </w:tcPr>
          <w:p>
            <w:pPr/>
            <w:r/>
            <w:r>
              <w:rPr>
                <w:rFonts w:ascii="Calibri" w:hAnsi="Calibri"/>
              </w:rPr>
              <w:t>If a member defaults at multiple DTCC subsidiaries, excess collateral at one subsidiary can be used to cover shortfalls at another</w:t>
            </w:r>
          </w:p>
        </w:tc>
      </w:tr>
      <w:tr>
        <w:tc>
          <w:tcPr>
            <w:tcW w:type="dxa" w:w="2160"/>
          </w:tcPr>
          <w:p>
            <w:pPr/>
            <w:r/>
            <w:r>
              <w:rPr>
                <w:rFonts w:ascii="Calibri" w:hAnsi="Calibri"/>
                <w:b/>
              </w:rPr>
              <w:t>Cross-Guaranty Agreement</w:t>
            </w:r>
          </w:p>
        </w:tc>
        <w:tc>
          <w:tcPr>
            <w:tcW w:type="dxa" w:w="2160"/>
          </w:tcPr>
          <w:p>
            <w:pPr/>
            <w:r/>
            <w:r>
              <w:rPr>
                <w:rFonts w:ascii="Calibri" w:hAnsi="Calibri"/>
              </w:rPr>
              <w:t>OCC (Options Clearing Corporation)</w:t>
            </w:r>
          </w:p>
        </w:tc>
        <w:tc>
          <w:tcPr>
            <w:tcW w:type="dxa" w:w="2160"/>
          </w:tcPr>
          <w:p>
            <w:pPr/>
            <w:r/>
            <w:r>
              <w:rPr>
                <w:rFonts w:ascii="Calibri" w:hAnsi="Calibri"/>
              </w:rPr>
              <w:t>Equity options and underlying equities</w:t>
            </w:r>
          </w:p>
        </w:tc>
        <w:tc>
          <w:tcPr>
            <w:tcW w:type="dxa" w:w="2160"/>
          </w:tcPr>
          <w:p>
            <w:pPr/>
            <w:r/>
            <w:r>
              <w:rPr>
                <w:rFonts w:ascii="Calibri" w:hAnsi="Calibri"/>
              </w:rPr>
              <w:t>Coordinates default management for members who clear at both NSCC and OCC</w:t>
            </w:r>
          </w:p>
        </w:tc>
      </w:tr>
      <w:tr>
        <w:tc>
          <w:tcPr>
            <w:tcW w:type="dxa" w:w="2160"/>
          </w:tcPr>
          <w:p>
            <w:pPr/>
            <w:r/>
            <w:r>
              <w:rPr>
                <w:rFonts w:ascii="Calibri" w:hAnsi="Calibri"/>
                <w:b/>
              </w:rPr>
              <w:t>Cross-Margining Agreement</w:t>
            </w:r>
          </w:p>
        </w:tc>
        <w:tc>
          <w:tcPr>
            <w:tcW w:type="dxa" w:w="2160"/>
          </w:tcPr>
          <w:p>
            <w:pPr/>
            <w:r/>
            <w:r>
              <w:rPr>
                <w:rFonts w:ascii="Calibri" w:hAnsi="Calibri"/>
              </w:rPr>
              <w:t>CME Clearing</w:t>
            </w:r>
          </w:p>
        </w:tc>
        <w:tc>
          <w:tcPr>
            <w:tcW w:type="dxa" w:w="2160"/>
          </w:tcPr>
          <w:p>
            <w:pPr/>
            <w:r/>
            <w:r>
              <w:rPr>
                <w:rFonts w:ascii="Calibri" w:hAnsi="Calibri"/>
              </w:rPr>
              <w:t>U.S. Treasury futures and cash government securities</w:t>
            </w:r>
          </w:p>
        </w:tc>
        <w:tc>
          <w:tcPr>
            <w:tcW w:type="dxa" w:w="2160"/>
          </w:tcPr>
          <w:p>
            <w:pPr/>
            <w:r/>
            <w:r>
              <w:rPr>
                <w:rFonts w:ascii="Calibri" w:hAnsi="Calibri"/>
              </w:rPr>
              <w:t>Allows eligible members to receive margin offsets between FICC-GSD positions and CME Treasury futures</w:t>
            </w:r>
          </w:p>
        </w:tc>
      </w:tr>
    </w:tbl>
    <w:p/>
    <w:p>
      <w:pPr>
        <w:pStyle w:val="Heading3"/>
      </w:pPr>
      <w:r>
        <w:rPr>
          <w:rFonts w:ascii="Calibri" w:hAnsi="Calibri"/>
        </w:rPr>
        <w:t>7.2 Cross-border Arrangements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Partner / Arrangement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Euroclear / Clearstream</w:t>
            </w:r>
          </w:p>
        </w:tc>
        <w:tc>
          <w:tcPr>
            <w:tcW w:type="dxa" w:w="4320"/>
          </w:tcPr>
          <w:p>
            <w:pPr/>
            <w:r/>
            <w:r>
              <w:rPr>
                <w:rFonts w:ascii="Calibri" w:hAnsi="Calibri"/>
              </w:rPr>
              <w:t>DTC maintains operational links for cross-border settlement of U.S. securities held by international investors</w:t>
            </w:r>
          </w:p>
        </w:tc>
      </w:tr>
      <w:tr>
        <w:tc>
          <w:tcPr>
            <w:tcW w:type="dxa" w:w="4320"/>
          </w:tcPr>
          <w:p>
            <w:pPr/>
            <w:r/>
            <w:r>
              <w:rPr>
                <w:rFonts w:ascii="Calibri" w:hAnsi="Calibri"/>
                <w:b/>
              </w:rPr>
              <w:t>CLS Group</w:t>
            </w:r>
          </w:p>
        </w:tc>
        <w:tc>
          <w:tcPr>
            <w:tcW w:type="dxa" w:w="4320"/>
          </w:tcPr>
          <w:p>
            <w:pPr/>
            <w:r/>
            <w:r>
              <w:rPr>
                <w:rFonts w:ascii="Calibri" w:hAnsi="Calibri"/>
              </w:rPr>
              <w:t>DTCC participates in CLS for FX settlement-related activities</w:t>
            </w:r>
          </w:p>
        </w:tc>
      </w:tr>
      <w:tr>
        <w:tc>
          <w:tcPr>
            <w:tcW w:type="dxa" w:w="4320"/>
          </w:tcPr>
          <w:p>
            <w:pPr/>
            <w:r/>
            <w:r>
              <w:rPr>
                <w:rFonts w:ascii="Calibri" w:hAnsi="Calibri"/>
                <w:b/>
              </w:rPr>
              <w:t>SWIFT</w:t>
            </w:r>
          </w:p>
        </w:tc>
        <w:tc>
          <w:tcPr>
            <w:tcW w:type="dxa" w:w="4320"/>
          </w:tcPr>
          <w:p>
            <w:pPr/>
            <w:r/>
            <w:r>
              <w:rPr>
                <w:rFonts w:ascii="Calibri" w:hAnsi="Calibri"/>
              </w:rPr>
              <w:t>DTCC is an active SWIFT participant for cross-border messaging</w:t>
            </w:r>
          </w:p>
        </w:tc>
      </w:tr>
      <w:tr>
        <w:tc>
          <w:tcPr>
            <w:tcW w:type="dxa" w:w="4320"/>
          </w:tcPr>
          <w:p>
            <w:pPr/>
            <w:r/>
            <w:r>
              <w:rPr>
                <w:rFonts w:ascii="Calibri" w:hAnsi="Calibri"/>
                <w:b/>
              </w:rPr>
              <w:t>JSCC (Japan)</w:t>
            </w:r>
          </w:p>
        </w:tc>
        <w:tc>
          <w:tcPr>
            <w:tcW w:type="dxa" w:w="4320"/>
          </w:tcPr>
          <w:p>
            <w:pPr/>
            <w:r/>
            <w:r>
              <w:rPr>
                <w:rFonts w:ascii="Calibri" w:hAnsi="Calibri"/>
              </w:rPr>
              <w:t>Collaborative work on digital asset collateral management (2024 case study)</w:t>
            </w:r>
          </w:p>
        </w:tc>
      </w:tr>
      <w:tr>
        <w:tc>
          <w:tcPr>
            <w:tcW w:type="dxa" w:w="4320"/>
          </w:tcPr>
          <w:p>
            <w:pPr/>
            <w:r/>
            <w:r>
              <w:rPr>
                <w:rFonts w:ascii="Calibri" w:hAnsi="Calibri"/>
                <w:b/>
              </w:rPr>
              <w:t>Canton Network</w:t>
            </w:r>
          </w:p>
        </w:tc>
        <w:tc>
          <w:tcPr>
            <w:tcW w:type="dxa" w:w="4320"/>
          </w:tcPr>
          <w:p>
            <w:pPr/>
            <w:r/>
            <w:r>
              <w:rPr>
                <w:rFonts w:ascii="Calibri" w:hAnsi="Calibri"/>
              </w:rPr>
              <w:t>DTCC joined as co-chair of Canton Foundation alongside Euroclear; cross-border tokenization infrastructure</w:t>
            </w:r>
          </w:p>
        </w:tc>
      </w:tr>
      <w:tr>
        <w:tc>
          <w:tcPr>
            <w:tcW w:type="dxa" w:w="4320"/>
          </w:tcPr>
          <w:p>
            <w:pPr/>
            <w:r/>
            <w:r>
              <w:rPr>
                <w:rFonts w:ascii="Calibri" w:hAnsi="Calibri"/>
                <w:b/>
              </w:rPr>
              <w:t>International regulatory recognition</w:t>
            </w:r>
          </w:p>
        </w:tc>
        <w:tc>
          <w:tcPr>
            <w:tcW w:type="dxa" w:w="4320"/>
          </w:tcPr>
          <w:p>
            <w:pPr/>
            <w:r/>
            <w:r>
              <w:rPr>
                <w:rFonts w:ascii="Calibri" w:hAnsi="Calibri"/>
              </w:rPr>
              <w:t>FICC recognized/exempt in multiple jurisdictions including EU (under EMIR equivalence assessments), UK, Canada (Ontario Securities Commission exemption), and Asia-Pacific jurisdictions</w:t>
            </w:r>
          </w:p>
        </w:tc>
      </w:tr>
      <w:tr>
        <w:tc>
          <w:tcPr>
            <w:tcW w:type="dxa" w:w="4320"/>
          </w:tcPr>
          <w:p>
            <w:pPr/>
            <w:r/>
            <w:r>
              <w:rPr>
                <w:rFonts w:ascii="Calibri" w:hAnsi="Calibri"/>
                <w:b/>
              </w:rPr>
              <w:t>DTCC Global Trade Repository</w:t>
            </w:r>
          </w:p>
        </w:tc>
        <w:tc>
          <w:tcPr>
            <w:tcW w:type="dxa" w:w="4320"/>
          </w:tcPr>
          <w:p>
            <w:pPr/>
            <w:r/>
            <w:r>
              <w:rPr>
                <w:rFonts w:ascii="Calibri" w:hAnsi="Calibri"/>
              </w:rPr>
              <w:t>Trade repositories operating in multiple jurisdictions (US, EU, Singapore, Australia, Japan) for OTC derivatives reporting</w:t>
            </w:r>
          </w:p>
        </w:tc>
      </w:tr>
    </w:tbl>
    <w:p/>
    <w:p>
      <w:r>
        <w:rPr>
          <w:rFonts w:ascii="Calibri" w:hAnsi="Calibri"/>
        </w:rPr>
        <w:t>*Note: Unlike some European CCPs (e.g., LCH, EuroCCP, SIX x-clear), DTCC CCPs do not engage in multi-CCP interoperability for the same traded products, reflecting the concentrated nature of U.S. post-trade infrastructure.*</w:t>
      </w:r>
    </w:p>
    <w:p>
      <w:r>
        <w:rPr>
          <w:rFonts w:ascii="Calibri" w:hAnsi="Calibri"/>
        </w:rPr>
        <w:t>*Sources: SIFMA Insights Spotlight DTCC; DTCC case study with JSCC (</w:t>
      </w:r>
      <w:r>
        <w:rPr>
          <w:rFonts w:ascii="Calibri" w:hAnsi="Calibri"/>
          <w:color w:val="0563C1"/>
          <w:u w:val="single"/>
        </w:rPr>
        <w:t>dtcc.com</w:t>
      </w:r>
      <w:r>
        <w:rPr>
          <w:rFonts w:ascii="Calibri" w:hAnsi="Calibri"/>
        </w:rPr>
        <w:t>); Ontario Securities Commission FICC recognition (</w:t>
      </w:r>
      <w:r>
        <w:rPr>
          <w:rFonts w:ascii="Calibri" w:hAnsi="Calibri"/>
          <w:color w:val="0563C1"/>
          <w:u w:val="single"/>
        </w:rPr>
        <w:t>osc.ca</w:t>
      </w:r>
      <w:r>
        <w:rPr>
          <w:rFonts w:ascii="Calibri" w:hAnsi="Calibri"/>
        </w:rPr>
        <w:t>)*</w:t>
      </w:r>
    </w:p>
    <w:p>
      <w:pPr>
        <w:pBdr>
          <w:bottom w:val="single" w:sz="4" w:space="1" w:color="auto"/>
        </w:pBdr>
      </w:pPr>
    </w:p>
    <w:p>
      <w:pPr>
        <w:pStyle w:val="Heading2"/>
      </w:pPr>
      <w:r>
        <w:rPr>
          <w:rFonts w:ascii="Calibri" w:hAnsi="Calibri"/>
        </w:rPr>
        <w:t>8. Fees</w:t>
      </w:r>
    </w:p>
    <w:p>
      <w:pPr>
        <w:pStyle w:val="Heading3"/>
      </w:pPr>
      <w:r>
        <w:rPr>
          <w:rFonts w:ascii="Calibri" w:hAnsi="Calibri"/>
        </w:rPr>
        <w:t>8.1 Clearing Fees</w:t>
      </w:r>
    </w:p>
    <w:p>
      <w:pPr>
        <w:pStyle w:val="Heading3"/>
      </w:pPr>
      <w:r>
        <w:rPr>
          <w:rFonts w:ascii="Calibri" w:hAnsi="Calibri"/>
        </w:rPr>
        <w:t>NSCC Fees (from NSCC Fee Schedule / Addendum 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Service</w:t>
            </w:r>
          </w:p>
        </w:tc>
        <w:tc>
          <w:tcPr>
            <w:tcW w:type="dxa" w:w="2880"/>
            <w:shd w:fill="4472C4" w:val="clear"/>
          </w:tcPr>
          <w:p>
            <w:pPr/>
            <w:r>
              <w:rPr>
                <w:b/>
                <w:color w:val="FFFFFF"/>
              </w:rPr>
            </w:r>
            <w:r>
              <w:rPr>
                <w:rFonts w:ascii="Calibri" w:hAnsi="Calibri"/>
                <w:b/>
                <w:color w:val="FFFFFF"/>
              </w:rPr>
              <w:t>Fee Structure</w:t>
            </w:r>
          </w:p>
        </w:tc>
        <w:tc>
          <w:tcPr>
            <w:tcW w:type="dxa" w:w="2880"/>
            <w:shd w:fill="4472C4" w:val="clear"/>
          </w:tcPr>
          <w:p>
            <w:pPr/>
            <w:r>
              <w:rPr>
                <w:b/>
                <w:color w:val="FFFFFF"/>
              </w:rPr>
            </w:r>
            <w:r>
              <w:rPr>
                <w:rFonts w:ascii="Calibri" w:hAnsi="Calibri"/>
                <w:b/>
                <w:color w:val="FFFFFF"/>
              </w:rPr>
              <w:t>Rate</w:t>
            </w:r>
          </w:p>
        </w:tc>
      </w:tr>
      <w:tr>
        <w:tc>
          <w:tcPr>
            <w:tcW w:type="dxa" w:w="2880"/>
          </w:tcPr>
          <w:p>
            <w:pPr/>
            <w:r/>
            <w:r>
              <w:rPr>
                <w:rFonts w:ascii="Calibri" w:hAnsi="Calibri"/>
              </w:rPr>
              <w:t>Trade Recording (Comparison)</w:t>
            </w:r>
          </w:p>
        </w:tc>
        <w:tc>
          <w:tcPr>
            <w:tcW w:type="dxa" w:w="2880"/>
          </w:tcPr>
          <w:p>
            <w:pPr/>
            <w:r/>
            <w:r>
              <w:rPr>
                <w:rFonts w:ascii="Calibri" w:hAnsi="Calibri"/>
              </w:rPr>
              <w:t>Per side</w:t>
            </w:r>
          </w:p>
        </w:tc>
        <w:tc>
          <w:tcPr>
            <w:tcW w:type="dxa" w:w="2880"/>
          </w:tcPr>
          <w:p>
            <w:pPr/>
            <w:r/>
            <w:r>
              <w:rPr>
                <w:rFonts w:ascii="Calibri" w:hAnsi="Calibri"/>
              </w:rPr>
              <w:t>Varies by submission method</w:t>
            </w:r>
          </w:p>
        </w:tc>
      </w:tr>
      <w:tr>
        <w:tc>
          <w:tcPr>
            <w:tcW w:type="dxa" w:w="2880"/>
          </w:tcPr>
          <w:p>
            <w:pPr/>
            <w:r/>
            <w:r>
              <w:rPr>
                <w:rFonts w:ascii="Calibri" w:hAnsi="Calibri"/>
              </w:rPr>
              <w:t>CNS Receive/Deliver</w:t>
            </w:r>
          </w:p>
        </w:tc>
        <w:tc>
          <w:tcPr>
            <w:tcW w:type="dxa" w:w="2880"/>
          </w:tcPr>
          <w:p>
            <w:pPr/>
            <w:r/>
            <w:r>
              <w:rPr>
                <w:rFonts w:ascii="Calibri" w:hAnsi="Calibri"/>
              </w:rPr>
              <w:t>Per transaction</w:t>
            </w:r>
          </w:p>
        </w:tc>
        <w:tc>
          <w:tcPr>
            <w:tcW w:type="dxa" w:w="2880"/>
          </w:tcPr>
          <w:p>
            <w:pPr/>
            <w:r/>
            <w:r>
              <w:rPr>
                <w:rFonts w:ascii="Calibri" w:hAnsi="Calibri"/>
              </w:rPr>
              <w:t>$0.21 per delivery (CNS/ACATS Delivery Fee, increased from $0.17 in 2025)</w:t>
            </w:r>
          </w:p>
        </w:tc>
      </w:tr>
      <w:tr>
        <w:tc>
          <w:tcPr>
            <w:tcW w:type="dxa" w:w="2880"/>
          </w:tcPr>
          <w:p>
            <w:pPr/>
            <w:r/>
            <w:r>
              <w:rPr>
                <w:rFonts w:ascii="Calibri" w:hAnsi="Calibri"/>
              </w:rPr>
              <w:t>Clearing / Netting</w:t>
            </w:r>
          </w:p>
        </w:tc>
        <w:tc>
          <w:tcPr>
            <w:tcW w:type="dxa" w:w="2880"/>
          </w:tcPr>
          <w:p>
            <w:pPr/>
            <w:r/>
            <w:r>
              <w:rPr>
                <w:rFonts w:ascii="Calibri" w:hAnsi="Calibri"/>
              </w:rPr>
              <w:t>Per netted position</w:t>
            </w:r>
          </w:p>
        </w:tc>
        <w:tc>
          <w:tcPr>
            <w:tcW w:type="dxa" w:w="2880"/>
          </w:tcPr>
          <w:p>
            <w:pPr/>
            <w:r/>
            <w:r>
              <w:rPr>
                <w:rFonts w:ascii="Calibri" w:hAnsi="Calibri"/>
              </w:rPr>
              <w:t>Schedule-based</w:t>
            </w:r>
          </w:p>
        </w:tc>
      </w:tr>
      <w:tr>
        <w:tc>
          <w:tcPr>
            <w:tcW w:type="dxa" w:w="2880"/>
          </w:tcPr>
          <w:p>
            <w:pPr/>
            <w:r/>
            <w:r>
              <w:rPr>
                <w:rFonts w:ascii="Calibri" w:hAnsi="Calibri"/>
              </w:rPr>
              <w:t>Fund/SERV</w:t>
            </w:r>
          </w:p>
        </w:tc>
        <w:tc>
          <w:tcPr>
            <w:tcW w:type="dxa" w:w="2880"/>
          </w:tcPr>
          <w:p>
            <w:pPr/>
            <w:r/>
            <w:r>
              <w:rPr>
                <w:rFonts w:ascii="Calibri" w:hAnsi="Calibri"/>
              </w:rPr>
              <w:t>Per transaction</w:t>
            </w:r>
          </w:p>
        </w:tc>
        <w:tc>
          <w:tcPr>
            <w:tcW w:type="dxa" w:w="2880"/>
          </w:tcPr>
          <w:p>
            <w:pPr/>
            <w:r/>
            <w:r>
              <w:rPr>
                <w:rFonts w:ascii="Calibri" w:hAnsi="Calibri"/>
              </w:rPr>
              <w:t>Varies by transaction type</w:t>
            </w:r>
          </w:p>
        </w:tc>
      </w:tr>
      <w:tr>
        <w:tc>
          <w:tcPr>
            <w:tcW w:type="dxa" w:w="2880"/>
          </w:tcPr>
          <w:p>
            <w:pPr/>
            <w:r/>
            <w:r>
              <w:rPr>
                <w:rFonts w:ascii="Calibri" w:hAnsi="Calibri"/>
              </w:rPr>
              <w:t>ACATS (Account Transfer)</w:t>
            </w:r>
          </w:p>
        </w:tc>
        <w:tc>
          <w:tcPr>
            <w:tcW w:type="dxa" w:w="2880"/>
          </w:tcPr>
          <w:p>
            <w:pPr/>
            <w:r/>
            <w:r>
              <w:rPr>
                <w:rFonts w:ascii="Calibri" w:hAnsi="Calibri"/>
              </w:rPr>
              <w:t>Per transfer</w:t>
            </w:r>
          </w:p>
        </w:tc>
        <w:tc>
          <w:tcPr>
            <w:tcW w:type="dxa" w:w="2880"/>
          </w:tcPr>
          <w:p>
            <w:pPr/>
            <w:r/>
            <w:r>
              <w:rPr>
                <w:rFonts w:ascii="Calibri" w:hAnsi="Calibri"/>
              </w:rPr>
              <w:t>Fee per transfer</w:t>
            </w:r>
          </w:p>
        </w:tc>
      </w:tr>
      <w:tr>
        <w:tc>
          <w:tcPr>
            <w:tcW w:type="dxa" w:w="2880"/>
          </w:tcPr>
          <w:p>
            <w:pPr/>
            <w:r/>
            <w:r>
              <w:rPr>
                <w:rFonts w:ascii="Calibri" w:hAnsi="Calibri"/>
              </w:rPr>
              <w:t>Clearing Fund Maintenance</w:t>
            </w:r>
          </w:p>
        </w:tc>
        <w:tc>
          <w:tcPr>
            <w:tcW w:type="dxa" w:w="2880"/>
          </w:tcPr>
          <w:p>
            <w:pPr/>
            <w:r/>
            <w:r>
              <w:rPr>
                <w:rFonts w:ascii="Calibri" w:hAnsi="Calibri"/>
              </w:rPr>
              <w:t>On cash deposits</w:t>
            </w:r>
          </w:p>
        </w:tc>
        <w:tc>
          <w:tcPr>
            <w:tcW w:type="dxa" w:w="2880"/>
          </w:tcPr>
          <w:p>
            <w:pPr/>
            <w:r/>
            <w:r>
              <w:rPr>
                <w:rFonts w:ascii="Calibri" w:hAnsi="Calibri"/>
              </w:rPr>
              <w:t>Included in fund management</w:t>
            </w:r>
          </w:p>
        </w:tc>
      </w:tr>
    </w:tbl>
    <w:p/>
    <w:p>
      <w:pPr>
        <w:pStyle w:val="Heading3"/>
      </w:pPr>
      <w:r>
        <w:rPr>
          <w:rFonts w:ascii="Calibri" w:hAnsi="Calibri"/>
        </w:rPr>
        <w:t>FICC-GSD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Service</w:t>
            </w:r>
          </w:p>
        </w:tc>
        <w:tc>
          <w:tcPr>
            <w:tcW w:type="dxa" w:w="2880"/>
            <w:shd w:fill="4472C4" w:val="clear"/>
          </w:tcPr>
          <w:p>
            <w:pPr/>
            <w:r>
              <w:rPr>
                <w:b/>
                <w:color w:val="FFFFFF"/>
              </w:rPr>
            </w:r>
            <w:r>
              <w:rPr>
                <w:rFonts w:ascii="Calibri" w:hAnsi="Calibri"/>
                <w:b/>
                <w:color w:val="FFFFFF"/>
              </w:rPr>
              <w:t>Fee Structure</w:t>
            </w:r>
          </w:p>
        </w:tc>
        <w:tc>
          <w:tcPr>
            <w:tcW w:type="dxa" w:w="2880"/>
            <w:shd w:fill="4472C4" w:val="clear"/>
          </w:tcPr>
          <w:p>
            <w:pPr/>
            <w:r>
              <w:rPr>
                <w:b/>
                <w:color w:val="FFFFFF"/>
              </w:rPr>
            </w:r>
            <w:r>
              <w:rPr>
                <w:rFonts w:ascii="Calibri" w:hAnsi="Calibri"/>
                <w:b/>
                <w:color w:val="FFFFFF"/>
              </w:rPr>
              <w:t>Rate</w:t>
            </w:r>
          </w:p>
        </w:tc>
      </w:tr>
      <w:tr>
        <w:tc>
          <w:tcPr>
            <w:tcW w:type="dxa" w:w="2880"/>
          </w:tcPr>
          <w:p>
            <w:pPr/>
            <w:r/>
            <w:r>
              <w:rPr>
                <w:rFonts w:ascii="Calibri" w:hAnsi="Calibri"/>
              </w:rPr>
              <w:t>Trade Comparison</w:t>
            </w:r>
          </w:p>
        </w:tc>
        <w:tc>
          <w:tcPr>
            <w:tcW w:type="dxa" w:w="2880"/>
          </w:tcPr>
          <w:p>
            <w:pPr/>
            <w:r/>
            <w:r>
              <w:rPr>
                <w:rFonts w:ascii="Calibri" w:hAnsi="Calibri"/>
              </w:rPr>
              <w:t>Per compared trade</w:t>
            </w:r>
          </w:p>
        </w:tc>
        <w:tc>
          <w:tcPr>
            <w:tcW w:type="dxa" w:w="2880"/>
          </w:tcPr>
          <w:p>
            <w:pPr/>
            <w:r/>
            <w:r>
              <w:rPr>
                <w:rFonts w:ascii="Calibri" w:hAnsi="Calibri"/>
              </w:rPr>
              <w:t>Core services fee</w:t>
            </w:r>
          </w:p>
        </w:tc>
      </w:tr>
      <w:tr>
        <w:tc>
          <w:tcPr>
            <w:tcW w:type="dxa" w:w="2880"/>
          </w:tcPr>
          <w:p>
            <w:pPr/>
            <w:r/>
            <w:r>
              <w:rPr>
                <w:rFonts w:ascii="Calibri" w:hAnsi="Calibri"/>
              </w:rPr>
              <w:t>Netting</w:t>
            </w:r>
          </w:p>
        </w:tc>
        <w:tc>
          <w:tcPr>
            <w:tcW w:type="dxa" w:w="2880"/>
          </w:tcPr>
          <w:p>
            <w:pPr/>
            <w:r/>
            <w:r>
              <w:rPr>
                <w:rFonts w:ascii="Calibri" w:hAnsi="Calibri"/>
              </w:rPr>
              <w:t>Per netted obligation</w:t>
            </w:r>
          </w:p>
        </w:tc>
        <w:tc>
          <w:tcPr>
            <w:tcW w:type="dxa" w:w="2880"/>
          </w:tcPr>
          <w:p>
            <w:pPr/>
            <w:r/>
            <w:r>
              <w:rPr>
                <w:rFonts w:ascii="Calibri" w:hAnsi="Calibri"/>
              </w:rPr>
              <w:t>Core services fee</w:t>
            </w:r>
          </w:p>
        </w:tc>
      </w:tr>
      <w:tr>
        <w:tc>
          <w:tcPr>
            <w:tcW w:type="dxa" w:w="2880"/>
          </w:tcPr>
          <w:p>
            <w:pPr/>
            <w:r/>
            <w:r>
              <w:rPr>
                <w:rFonts w:ascii="Calibri" w:hAnsi="Calibri"/>
              </w:rPr>
              <w:t>Sponsored GC Trades</w:t>
            </w:r>
          </w:p>
        </w:tc>
        <w:tc>
          <w:tcPr>
            <w:tcW w:type="dxa" w:w="2880"/>
          </w:tcPr>
          <w:p>
            <w:pPr/>
            <w:r/>
            <w:r>
              <w:rPr>
                <w:rFonts w:ascii="Calibri" w:hAnsi="Calibri"/>
              </w:rPr>
              <w:t>Per trade</w:t>
            </w:r>
          </w:p>
        </w:tc>
        <w:tc>
          <w:tcPr>
            <w:tcW w:type="dxa" w:w="2880"/>
          </w:tcPr>
          <w:p>
            <w:pPr/>
            <w:r/>
            <w:r>
              <w:rPr>
                <w:rFonts w:ascii="Calibri" w:hAnsi="Calibri"/>
              </w:rPr>
              <w:t>Core and Enhanced Services Fees (effective Jan 1, 2026)</w:t>
            </w:r>
          </w:p>
        </w:tc>
      </w:tr>
      <w:tr>
        <w:tc>
          <w:tcPr>
            <w:tcW w:type="dxa" w:w="2880"/>
          </w:tcPr>
          <w:p>
            <w:pPr/>
            <w:r/>
            <w:r>
              <w:rPr>
                <w:rFonts w:ascii="Calibri" w:hAnsi="Calibri"/>
              </w:rPr>
              <w:t>ACS Triparty Trades</w:t>
            </w:r>
          </w:p>
        </w:tc>
        <w:tc>
          <w:tcPr>
            <w:tcW w:type="dxa" w:w="2880"/>
          </w:tcPr>
          <w:p>
            <w:pPr/>
            <w:r/>
            <w:r>
              <w:rPr>
                <w:rFonts w:ascii="Calibri" w:hAnsi="Calibri"/>
              </w:rPr>
              <w:t>Per trade</w:t>
            </w:r>
          </w:p>
        </w:tc>
        <w:tc>
          <w:tcPr>
            <w:tcW w:type="dxa" w:w="2880"/>
          </w:tcPr>
          <w:p>
            <w:pPr/>
            <w:r/>
            <w:r>
              <w:rPr>
                <w:rFonts w:ascii="Calibri" w:hAnsi="Calibri"/>
              </w:rPr>
              <w:t>Core Services Fees (effective Jan 5, 2026)</w:t>
            </w:r>
          </w:p>
        </w:tc>
      </w:tr>
      <w:tr>
        <w:tc>
          <w:tcPr>
            <w:tcW w:type="dxa" w:w="2880"/>
          </w:tcPr>
          <w:p>
            <w:pPr/>
            <w:r/>
            <w:r>
              <w:rPr>
                <w:rFonts w:ascii="Calibri" w:hAnsi="Calibri"/>
              </w:rPr>
              <w:t>Clearing Fund Maintenance</w:t>
            </w:r>
          </w:p>
        </w:tc>
        <w:tc>
          <w:tcPr>
            <w:tcW w:type="dxa" w:w="2880"/>
          </w:tcPr>
          <w:p>
            <w:pPr/>
            <w:r/>
            <w:r>
              <w:rPr>
                <w:rFonts w:ascii="Calibri" w:hAnsi="Calibri"/>
              </w:rPr>
              <w:t>On cash deposits</w:t>
            </w:r>
          </w:p>
        </w:tc>
        <w:tc>
          <w:tcPr>
            <w:tcW w:type="dxa" w:w="2880"/>
          </w:tcPr>
          <w:p>
            <w:pPr/>
            <w:r/>
            <w:r>
              <w:rPr>
                <w:rFonts w:ascii="Calibri" w:hAnsi="Calibri"/>
              </w:rPr>
              <w:t>0.25% per annum of average cash deposit balance (monthly)</w:t>
            </w:r>
          </w:p>
        </w:tc>
      </w:tr>
      <w:tr>
        <w:tc>
          <w:tcPr>
            <w:tcW w:type="dxa" w:w="2880"/>
          </w:tcPr>
          <w:p>
            <w:pPr/>
            <w:r/>
            <w:r>
              <w:rPr>
                <w:rFonts w:ascii="Calibri" w:hAnsi="Calibri"/>
              </w:rPr>
              <w:t>Sponsored GC CIL Trades</w:t>
            </w:r>
          </w:p>
        </w:tc>
        <w:tc>
          <w:tcPr>
            <w:tcW w:type="dxa" w:w="2880"/>
          </w:tcPr>
          <w:p>
            <w:pPr/>
            <w:r/>
            <w:r>
              <w:rPr>
                <w:rFonts w:ascii="Calibri" w:hAnsi="Calibri"/>
              </w:rPr>
              <w:t>Per trade</w:t>
            </w:r>
          </w:p>
        </w:tc>
        <w:tc>
          <w:tcPr>
            <w:tcW w:type="dxa" w:w="2880"/>
          </w:tcPr>
          <w:p>
            <w:pPr/>
            <w:r/>
            <w:r>
              <w:rPr>
                <w:rFonts w:ascii="Calibri" w:hAnsi="Calibri"/>
              </w:rPr>
              <w:t>Core and Enhanced Services Fees (effective Dec 16, 2025)</w:t>
            </w:r>
          </w:p>
        </w:tc>
      </w:tr>
    </w:tbl>
    <w:p/>
    <w:p>
      <w:pPr>
        <w:pStyle w:val="Heading3"/>
      </w:pPr>
      <w:r>
        <w:rPr>
          <w:rFonts w:ascii="Calibri" w:hAnsi="Calibri"/>
        </w:rPr>
        <w:t>DTC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Service</w:t>
            </w:r>
          </w:p>
        </w:tc>
        <w:tc>
          <w:tcPr>
            <w:tcW w:type="dxa" w:w="2880"/>
            <w:shd w:fill="4472C4" w:val="clear"/>
          </w:tcPr>
          <w:p>
            <w:pPr/>
            <w:r>
              <w:rPr>
                <w:b/>
                <w:color w:val="FFFFFF"/>
              </w:rPr>
            </w:r>
            <w:r>
              <w:rPr>
                <w:rFonts w:ascii="Calibri" w:hAnsi="Calibri"/>
                <w:b/>
                <w:color w:val="FFFFFF"/>
              </w:rPr>
              <w:t>Fee Structure</w:t>
            </w:r>
          </w:p>
        </w:tc>
        <w:tc>
          <w:tcPr>
            <w:tcW w:type="dxa" w:w="2880"/>
            <w:shd w:fill="4472C4" w:val="clear"/>
          </w:tcPr>
          <w:p>
            <w:pPr/>
            <w:r>
              <w:rPr>
                <w:b/>
                <w:color w:val="FFFFFF"/>
              </w:rPr>
            </w:r>
            <w:r>
              <w:rPr>
                <w:rFonts w:ascii="Calibri" w:hAnsi="Calibri"/>
                <w:b/>
                <w:color w:val="FFFFFF"/>
              </w:rPr>
              <w:t>Rate</w:t>
            </w:r>
          </w:p>
        </w:tc>
      </w:tr>
      <w:tr>
        <w:tc>
          <w:tcPr>
            <w:tcW w:type="dxa" w:w="2880"/>
          </w:tcPr>
          <w:p>
            <w:pPr/>
            <w:r/>
            <w:r>
              <w:rPr>
                <w:rFonts w:ascii="Calibri" w:hAnsi="Calibri"/>
              </w:rPr>
              <w:t>Book-Entry Delivery</w:t>
            </w:r>
          </w:p>
        </w:tc>
        <w:tc>
          <w:tcPr>
            <w:tcW w:type="dxa" w:w="2880"/>
          </w:tcPr>
          <w:p>
            <w:pPr/>
            <w:r/>
            <w:r>
              <w:rPr>
                <w:rFonts w:ascii="Calibri" w:hAnsi="Calibri"/>
              </w:rPr>
              <w:t>Per delivery</w:t>
            </w:r>
          </w:p>
        </w:tc>
        <w:tc>
          <w:tcPr>
            <w:tcW w:type="dxa" w:w="2880"/>
          </w:tcPr>
          <w:p>
            <w:pPr/>
            <w:r/>
            <w:r>
              <w:rPr>
                <w:rFonts w:ascii="Calibri" w:hAnsi="Calibri"/>
              </w:rPr>
              <w:t>Per-transaction fee</w:t>
            </w:r>
          </w:p>
        </w:tc>
      </w:tr>
      <w:tr>
        <w:tc>
          <w:tcPr>
            <w:tcW w:type="dxa" w:w="2880"/>
          </w:tcPr>
          <w:p>
            <w:pPr/>
            <w:r/>
            <w:r>
              <w:rPr>
                <w:rFonts w:ascii="Calibri" w:hAnsi="Calibri"/>
              </w:rPr>
              <w:t>Deposit / Withdrawal</w:t>
            </w:r>
          </w:p>
        </w:tc>
        <w:tc>
          <w:tcPr>
            <w:tcW w:type="dxa" w:w="2880"/>
          </w:tcPr>
          <w:p>
            <w:pPr/>
            <w:r/>
            <w:r>
              <w:rPr>
                <w:rFonts w:ascii="Calibri" w:hAnsi="Calibri"/>
              </w:rPr>
              <w:t>Per certificate</w:t>
            </w:r>
          </w:p>
        </w:tc>
        <w:tc>
          <w:tcPr>
            <w:tcW w:type="dxa" w:w="2880"/>
          </w:tcPr>
          <w:p>
            <w:pPr/>
            <w:r/>
            <w:r>
              <w:rPr>
                <w:rFonts w:ascii="Calibri" w:hAnsi="Calibri"/>
              </w:rPr>
              <w:t>Per-transaction fee</w:t>
            </w:r>
          </w:p>
        </w:tc>
      </w:tr>
      <w:tr>
        <w:tc>
          <w:tcPr>
            <w:tcW w:type="dxa" w:w="2880"/>
          </w:tcPr>
          <w:p>
            <w:pPr/>
            <w:r/>
            <w:r>
              <w:rPr>
                <w:rFonts w:ascii="Calibri" w:hAnsi="Calibri"/>
              </w:rPr>
              <w:t>Custody (Custody/Asset Servicing)</w:t>
            </w:r>
          </w:p>
        </w:tc>
        <w:tc>
          <w:tcPr>
            <w:tcW w:type="dxa" w:w="2880"/>
          </w:tcPr>
          <w:p>
            <w:pPr/>
            <w:r/>
            <w:r>
              <w:rPr>
                <w:rFonts w:ascii="Calibri" w:hAnsi="Calibri"/>
              </w:rPr>
              <w:t>Per position, per month</w:t>
            </w:r>
          </w:p>
        </w:tc>
        <w:tc>
          <w:tcPr>
            <w:tcW w:type="dxa" w:w="2880"/>
          </w:tcPr>
          <w:p>
            <w:pPr/>
            <w:r/>
            <w:r>
              <w:rPr>
                <w:rFonts w:ascii="Calibri" w:hAnsi="Calibri"/>
              </w:rPr>
              <w:t>Tiered based on value</w:t>
            </w:r>
          </w:p>
        </w:tc>
      </w:tr>
      <w:tr>
        <w:tc>
          <w:tcPr>
            <w:tcW w:type="dxa" w:w="2880"/>
          </w:tcPr>
          <w:p>
            <w:pPr/>
            <w:r/>
            <w:r>
              <w:rPr>
                <w:rFonts w:ascii="Calibri" w:hAnsi="Calibri"/>
              </w:rPr>
              <w:t>Corporate Actions</w:t>
            </w:r>
          </w:p>
        </w:tc>
        <w:tc>
          <w:tcPr>
            <w:tcW w:type="dxa" w:w="2880"/>
          </w:tcPr>
          <w:p>
            <w:pPr/>
            <w:r/>
            <w:r>
              <w:rPr>
                <w:rFonts w:ascii="Calibri" w:hAnsi="Calibri"/>
              </w:rPr>
              <w:t>Per event processing</w:t>
            </w:r>
          </w:p>
        </w:tc>
        <w:tc>
          <w:tcPr>
            <w:tcW w:type="dxa" w:w="2880"/>
          </w:tcPr>
          <w:p>
            <w:pPr/>
            <w:r/>
            <w:r>
              <w:rPr>
                <w:rFonts w:ascii="Calibri" w:hAnsi="Calibri"/>
              </w:rPr>
              <w:t>Varies by action type</w:t>
            </w:r>
          </w:p>
        </w:tc>
      </w:tr>
      <w:tr>
        <w:tc>
          <w:tcPr>
            <w:tcW w:type="dxa" w:w="2880"/>
          </w:tcPr>
          <w:p>
            <w:pPr/>
            <w:r/>
            <w:r>
              <w:rPr>
                <w:rFonts w:ascii="Calibri" w:hAnsi="Calibri"/>
              </w:rPr>
              <w:t>Reorganization</w:t>
            </w:r>
          </w:p>
        </w:tc>
        <w:tc>
          <w:tcPr>
            <w:tcW w:type="dxa" w:w="2880"/>
          </w:tcPr>
          <w:p>
            <w:pPr/>
            <w:r/>
            <w:r>
              <w:rPr>
                <w:rFonts w:ascii="Calibri" w:hAnsi="Calibri"/>
              </w:rPr>
              <w:t>Per instruction</w:t>
            </w:r>
          </w:p>
        </w:tc>
        <w:tc>
          <w:tcPr>
            <w:tcW w:type="dxa" w:w="2880"/>
          </w:tcPr>
          <w:p>
            <w:pPr/>
            <w:r/>
            <w:r>
              <w:rPr>
                <w:rFonts w:ascii="Calibri" w:hAnsi="Calibri"/>
              </w:rPr>
              <w:t>Fee schedule-based</w:t>
            </w:r>
          </w:p>
        </w:tc>
      </w:tr>
    </w:tbl>
    <w:p/>
    <w:p>
      <w:pPr>
        <w:pStyle w:val="Heading3"/>
      </w:pPr>
      <w:r>
        <w:rPr>
          <w:rFonts w:ascii="Calibri" w:hAnsi="Calibri"/>
        </w:rPr>
        <w:t>8.2 Membership Fees</w:t>
      </w:r>
    </w:p>
    <w:p>
      <w:pPr>
        <w:pStyle w:val="ListBullet"/>
      </w:pPr>
      <w:r>
        <w:rPr>
          <w:rFonts w:ascii="Calibri" w:hAnsi="Calibri"/>
          <w:b/>
        </w:rPr>
        <w:t>NSCC:</w:t>
      </w:r>
      <w:r>
        <w:rPr>
          <w:rFonts w:ascii="Calibri" w:hAnsi="Calibri"/>
        </w:rPr>
        <w:t xml:space="preserve"> One-time membership application fee; ongoing fees through clearing fund maintenance and transaction-based charges.</w:t>
      </w:r>
    </w:p>
    <w:p>
      <w:pPr>
        <w:pStyle w:val="ListBullet"/>
      </w:pPr>
      <w:r>
        <w:rPr>
          <w:rFonts w:ascii="Calibri" w:hAnsi="Calibri"/>
          <w:b/>
        </w:rPr>
        <w:t>FICC-GSD:</w:t>
      </w:r>
      <w:r>
        <w:rPr>
          <w:rFonts w:ascii="Calibri" w:hAnsi="Calibri"/>
        </w:rPr>
        <w:t xml:space="preserve"> Application fee; minimum Required Fund Deposit of $1,000,000; ongoing clearing fund maintenance fee of 0.25% per annum on cash deposits.</w:t>
      </w:r>
    </w:p>
    <w:p>
      <w:pPr>
        <w:pStyle w:val="ListBullet"/>
      </w:pPr>
      <w:r>
        <w:rPr>
          <w:rFonts w:ascii="Calibri" w:hAnsi="Calibri"/>
          <w:b/>
        </w:rPr>
        <w:t>DTC:</w:t>
      </w:r>
      <w:r>
        <w:rPr>
          <w:rFonts w:ascii="Calibri" w:hAnsi="Calibri"/>
        </w:rPr>
        <w:t xml:space="preserve"> Participant application fee; minimum Participants Fund deposit of $10,000 (with additional amounts based on activity); ongoing custody and transaction fees.</w:t>
      </w:r>
    </w:p>
    <w:p>
      <w:r>
        <w:rPr>
          <w:rFonts w:ascii="Calibri" w:hAnsi="Calibri"/>
        </w:rPr>
        <w:t xml:space="preserve">*Note: Detailed fee schedules are published annually and available at </w:t>
      </w:r>
      <w:r>
        <w:rPr>
          <w:rFonts w:ascii="Calibri" w:hAnsi="Calibri"/>
          <w:color w:val="0563C1"/>
          <w:u w:val="single"/>
        </w:rPr>
        <w:t>dtcc.com/legal/fee-guides</w:t>
      </w:r>
      <w:r>
        <w:rPr>
          <w:rFonts w:ascii="Calibri" w:hAnsi="Calibri"/>
        </w:rPr>
        <w:t>. Fees are subject to SEC review and approval for material changes.*</w:t>
      </w:r>
    </w:p>
    <w:p>
      <w:r>
        <w:rPr>
          <w:rFonts w:ascii="Calibri" w:hAnsi="Calibri"/>
        </w:rPr>
        <w:t>*Sources: NSCC Fee Schedule guide (</w:t>
      </w:r>
      <w:r>
        <w:rPr>
          <w:rFonts w:ascii="Calibri" w:hAnsi="Calibri"/>
          <w:color w:val="0563C1"/>
          <w:u w:val="single"/>
        </w:rPr>
        <w:t>dtcc.com</w:t>
      </w:r>
      <w:r>
        <w:rPr>
          <w:rFonts w:ascii="Calibri" w:hAnsi="Calibri"/>
        </w:rPr>
        <w:t>); DTC Fee Schedule (</w:t>
      </w:r>
      <w:r>
        <w:rPr>
          <w:rFonts w:ascii="Calibri" w:hAnsi="Calibri"/>
          <w:color w:val="0563C1"/>
          <w:u w:val="single"/>
        </w:rPr>
        <w:t>dtcc.com</w:t>
      </w:r>
      <w:r>
        <w:rPr>
          <w:rFonts w:ascii="Calibri" w:hAnsi="Calibri"/>
        </w:rPr>
        <w:t>); FICC GSD Fee Schedule (</w:t>
      </w:r>
      <w:r>
        <w:rPr>
          <w:rFonts w:ascii="Calibri" w:hAnsi="Calibri"/>
          <w:color w:val="0563C1"/>
          <w:u w:val="single"/>
        </w:rPr>
        <w:t>dtcc.com</w:t>
      </w:r>
      <w:r>
        <w:rPr>
          <w:rFonts w:ascii="Calibri" w:hAnsi="Calibri"/>
        </w:rPr>
        <w:t>); Federal Register 2024-30520 (FICC maintenance fee); Federal Register 2024-30351 (DTC settlement fees)*</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System Upgrades (Last 5 Years)</w:t>
      </w:r>
    </w:p>
    <w:p>
      <w:pPr>
        <w:pStyle w:val="ListBullet"/>
      </w:pPr>
      <w:r>
        <w:rPr>
          <w:rFonts w:ascii="Calibri" w:hAnsi="Calibri"/>
          <w:b/>
        </w:rPr>
        <w:t>2022:</w:t>
      </w:r>
      <w:r>
        <w:rPr>
          <w:rFonts w:ascii="Calibri" w:hAnsi="Calibri"/>
        </w:rPr>
        <w:t xml:space="preserve"> Project Ion DLT-based bilateral settlement platform went live in parallel production, processing 100,000+ equity transactions per day on distributed ledger technology.</w:t>
      </w:r>
    </w:p>
    <w:p>
      <w:pPr>
        <w:pStyle w:val="ListBullet"/>
      </w:pPr>
      <w:r>
        <w:rPr>
          <w:rFonts w:ascii="Calibri" w:hAnsi="Calibri"/>
          <w:b/>
        </w:rPr>
        <w:t>2023:</w:t>
      </w:r>
      <w:r>
        <w:rPr>
          <w:rFonts w:ascii="Calibri" w:hAnsi="Calibri"/>
        </w:rPr>
        <w:t xml:space="preserve"> NSCC adopted Intraday Volatility Charge (replacing Intraday Backtesting Charge) and enhanced Gap Risk Measure and VaR Charge calculations (SR-NSCC-2023-003, SR-NSCC-2023-013).</w:t>
      </w:r>
    </w:p>
    <w:p>
      <w:pPr>
        <w:pStyle w:val="ListBullet"/>
      </w:pPr>
      <w:r>
        <w:rPr>
          <w:rFonts w:ascii="Calibri" w:hAnsi="Calibri"/>
          <w:b/>
        </w:rPr>
        <w:t>2023:</w:t>
      </w:r>
      <w:r>
        <w:rPr>
          <w:rFonts w:ascii="Calibri" w:hAnsi="Calibri"/>
        </w:rPr>
        <w:t xml:space="preserve"> DTCC acquired Securrency, rebranded as DTCC Digital Assets, for institutional-grade digital asset infrastructure.</w:t>
      </w:r>
    </w:p>
    <w:p>
      <w:pPr>
        <w:pStyle w:val="ListBullet"/>
      </w:pPr>
      <w:r>
        <w:rPr>
          <w:rFonts w:ascii="Calibri" w:hAnsi="Calibri"/>
          <w:b/>
        </w:rPr>
        <w:t>2024 (May 28):</w:t>
      </w:r>
      <w:r>
        <w:rPr>
          <w:rFonts w:ascii="Calibri" w:hAnsi="Calibri"/>
        </w:rPr>
        <w:t xml:space="preserve"> Successful transition to </w:t>
      </w:r>
      <w:r>
        <w:rPr>
          <w:rFonts w:ascii="Calibri" w:hAnsi="Calibri"/>
          <w:b/>
        </w:rPr>
        <w:t>T+1 settlement cycle</w:t>
      </w:r>
      <w:r>
        <w:rPr>
          <w:rFonts w:ascii="Calibri" w:hAnsi="Calibri"/>
        </w:rPr>
        <w:t xml:space="preserve"> for equities, corporate bonds, municipal bonds, and UITs. Results:</w:t>
      </w:r>
    </w:p>
    <w:p>
      <w:pPr>
        <w:pStyle w:val="ListBullet"/>
      </w:pPr>
      <w:r>
        <w:rPr>
          <w:rFonts w:ascii="Calibri" w:hAnsi="Calibri"/>
        </w:rPr>
        <w:t>Affirmation rate improved from 73% (Jan 2024) to ~95% by 9:00 PM ET cutoff</w:t>
      </w:r>
    </w:p>
    <w:p>
      <w:pPr>
        <w:pStyle w:val="ListBullet"/>
      </w:pPr>
      <w:r>
        <w:rPr>
          <w:rFonts w:ascii="Calibri" w:hAnsi="Calibri"/>
        </w:rPr>
        <w:t>CNS fail rate: 2.12% (July 2024), consistent with prior T+2 levels</w:t>
      </w:r>
    </w:p>
    <w:p>
      <w:pPr>
        <w:pStyle w:val="ListBullet"/>
      </w:pPr>
      <w:r>
        <w:rPr>
          <w:rFonts w:ascii="Calibri" w:hAnsi="Calibri"/>
        </w:rPr>
        <w:t>NSCC Clearing Fund reduced by ~$3 billion (23%), freeing ~$750 billion annually for broker-dealers</w:t>
      </w:r>
    </w:p>
    <w:p>
      <w:pPr>
        <w:pStyle w:val="ListBullet"/>
      </w:pPr>
      <w:r>
        <w:rPr>
          <w:rFonts w:ascii="Calibri" w:hAnsi="Calibri"/>
          <w:b/>
        </w:rPr>
        <w:t>2025 (April):</w:t>
      </w:r>
      <w:r>
        <w:rPr>
          <w:rFonts w:ascii="Calibri" w:hAnsi="Calibri"/>
        </w:rPr>
        <w:t xml:space="preserve"> DTCC unveiled tokenized collateral management platform on AppChain (Hyperledger Besu-based).</w:t>
      </w:r>
    </w:p>
    <w:p>
      <w:pPr>
        <w:pStyle w:val="ListBullet"/>
      </w:pPr>
      <w:r>
        <w:rPr>
          <w:rFonts w:ascii="Calibri" w:hAnsi="Calibri"/>
          <w:b/>
        </w:rPr>
        <w:t>2025 (November):</w:t>
      </w:r>
      <w:r>
        <w:rPr>
          <w:rFonts w:ascii="Calibri" w:hAnsi="Calibri"/>
        </w:rPr>
        <w:t xml:space="preserve"> ISO 20022 Corporate Actions messaging converted to SR2025 version.</w:t>
      </w:r>
    </w:p>
    <w:p>
      <w:pPr>
        <w:pStyle w:val="ListBullet"/>
      </w:pPr>
      <w:r>
        <w:rPr>
          <w:rFonts w:ascii="Calibri" w:hAnsi="Calibri"/>
          <w:b/>
        </w:rPr>
        <w:t>2025 (November):</w:t>
      </w:r>
      <w:r>
        <w:rPr>
          <w:rFonts w:ascii="Calibri" w:hAnsi="Calibri"/>
        </w:rPr>
        <w:t xml:space="preserve"> SEC approved DTC/FICC/NSCC rule changes for managing Participant System Disruptions.</w:t>
      </w:r>
    </w:p>
    <w:p>
      <w:pPr>
        <w:pStyle w:val="Heading3"/>
      </w:pPr>
      <w:r>
        <w:rPr>
          <w:rFonts w:ascii="Calibri" w:hAnsi="Calibri"/>
        </w:rPr>
        <w:t>New Services</w:t>
      </w:r>
    </w:p>
    <w:p>
      <w:pPr>
        <w:pStyle w:val="ListBullet"/>
      </w:pPr>
      <w:r>
        <w:rPr>
          <w:rFonts w:ascii="Calibri" w:hAnsi="Calibri"/>
          <w:b/>
        </w:rPr>
        <w:t>FICC ACS Triparty Service:</w:t>
      </w:r>
      <w:r>
        <w:rPr>
          <w:rFonts w:ascii="Calibri" w:hAnsi="Calibri"/>
        </w:rPr>
        <w:t xml:space="preserve"> Approved by SEC; launched December 2025 for cleared triparty repo through agent clearing framework.</w:t>
      </w:r>
    </w:p>
    <w:p>
      <w:pPr>
        <w:pStyle w:val="ListBullet"/>
      </w:pPr>
      <w:r>
        <w:rPr>
          <w:rFonts w:ascii="Calibri" w:hAnsi="Calibri"/>
          <w:b/>
        </w:rPr>
        <w:t>FICC Sponsored GC CIL (Collateral-in-Lieu) Service:</w:t>
      </w:r>
      <w:r>
        <w:rPr>
          <w:rFonts w:ascii="Calibri" w:hAnsi="Calibri"/>
        </w:rPr>
        <w:t xml:space="preserve"> New service within Sponsored General Collateral offering.</w:t>
      </w:r>
    </w:p>
    <w:p>
      <w:pPr>
        <w:pStyle w:val="ListBullet"/>
      </w:pPr>
      <w:r>
        <w:rPr>
          <w:rFonts w:ascii="Calibri" w:hAnsi="Calibri"/>
          <w:b/>
        </w:rPr>
        <w:t>FICC Securities Financing Transaction (SFT) Clearing Service:</w:t>
      </w:r>
      <w:r>
        <w:rPr>
          <w:rFonts w:ascii="Calibri" w:hAnsi="Calibri"/>
        </w:rPr>
        <w:t xml:space="preserve"> Proposed to expand FICC's repo clearing capabilities in preparation for Treasury clearing mandate.</w:t>
      </w:r>
    </w:p>
    <w:p>
      <w:pPr>
        <w:pStyle w:val="ListBullet"/>
      </w:pPr>
      <w:r>
        <w:rPr>
          <w:rFonts w:ascii="Calibri" w:hAnsi="Calibri"/>
          <w:b/>
        </w:rPr>
        <w:t>DTC Tokenization Services:</w:t>
      </w:r>
      <w:r>
        <w:rPr>
          <w:rFonts w:ascii="Calibri" w:hAnsi="Calibri"/>
        </w:rPr>
        <w:t xml:space="preserve"> SEC No-Action Letter (December 2025) authorizing DTC to offer tokenization of DTC-custodied assets on approved blockchains (Canton Network); first U.S. CSD to tokenize security entitlements on public/private-permissioned blockchains.</w:t>
      </w:r>
    </w:p>
    <w:p>
      <w:pPr>
        <w:pStyle w:val="ListBullet"/>
      </w:pPr>
      <w:r>
        <w:rPr>
          <w:rFonts w:ascii="Calibri" w:hAnsi="Calibri"/>
          <w:b/>
        </w:rPr>
        <w:t>DTCC Digital Launchpad:</w:t>
      </w:r>
      <w:r>
        <w:rPr>
          <w:rFonts w:ascii="Calibri" w:hAnsi="Calibri"/>
        </w:rPr>
        <w:t xml:space="preserve"> Collaborative ecosystem for testing and co-creating digital asset solutions with market participants and technology providers.</w:t>
      </w:r>
    </w:p>
    <w:p>
      <w:pPr>
        <w:pStyle w:val="ListBullet"/>
      </w:pPr>
      <w:r>
        <w:rPr>
          <w:rFonts w:ascii="Calibri" w:hAnsi="Calibri"/>
          <w:b/>
        </w:rPr>
        <w:t>DTCC Digital Assets Solutions:</w:t>
      </w:r>
      <w:r>
        <w:rPr>
          <w:rFonts w:ascii="Calibri" w:hAnsi="Calibri"/>
        </w:rPr>
        <w:t xml:space="preserve"> New business line launched in 2026 following SEC authorization, building on DTCC ComposerX, LaunchPad, and Collateral AppChain.</w:t>
      </w:r>
    </w:p>
    <w:p>
      <w:pPr>
        <w:pStyle w:val="ListBullet"/>
      </w:pPr>
      <w:r>
        <w:rPr>
          <w:rFonts w:ascii="Calibri" w:hAnsi="Calibri"/>
          <w:b/>
        </w:rPr>
        <w:t>Fnality Integration:</w:t>
      </w:r>
      <w:r>
        <w:rPr>
          <w:rFonts w:ascii="Calibri" w:hAnsi="Calibri"/>
        </w:rPr>
        <w:t xml:space="preserve"> Fnality International's digital payment rail integrated with DTCC Digital Launchpad for atomic settlement and real-time payment.</w:t>
      </w:r>
    </w:p>
    <w:p>
      <w:pPr>
        <w:pStyle w:val="Heading3"/>
      </w:pPr>
      <w:r>
        <w:rPr>
          <w:rFonts w:ascii="Calibri" w:hAnsi="Calibri"/>
        </w:rPr>
        <w:t>Regulatory Changes</w:t>
      </w:r>
    </w:p>
    <w:p>
      <w:pPr>
        <w:pStyle w:val="ListBullet"/>
      </w:pPr>
      <w:r>
        <w:rPr>
          <w:rFonts w:ascii="Calibri" w:hAnsi="Calibri"/>
          <w:b/>
        </w:rPr>
        <w:t>SEC Rule 17ad-26 (Recovery &amp; Wind-Down):</w:t>
      </w:r>
      <w:r>
        <w:rPr>
          <w:rFonts w:ascii="Calibri" w:hAnsi="Calibri"/>
        </w:rPr>
        <w:t xml:space="preserve"> DTC/NSCC/FICC amended R&amp;W Plans; compliance date December 15, 2025; SEC approved June 2025.</w:t>
      </w:r>
    </w:p>
    <w:p>
      <w:pPr>
        <w:pStyle w:val="ListBullet"/>
      </w:pPr>
      <w:r>
        <w:rPr>
          <w:rFonts w:ascii="Calibri" w:hAnsi="Calibri"/>
          <w:b/>
        </w:rPr>
        <w:t>Treasury Clearing Mandate:</w:t>
      </w:r>
      <w:r>
        <w:rPr>
          <w:rFonts w:ascii="Calibri" w:hAnsi="Calibri"/>
        </w:rPr>
        <w:t xml:space="preserve"> SEC adopted rules requiring expanded central clearing of U.S. Treasury cash transactions (compliance: December 31, 2026) and repo transactions (compliance: June 30, 2027). FICC-GSD is the primary CCP; CME Securities Clearing Inc. approved as second CCP.</w:t>
      </w:r>
    </w:p>
    <w:p>
      <w:pPr>
        <w:pStyle w:val="ListBullet"/>
      </w:pPr>
      <w:r>
        <w:rPr>
          <w:rFonts w:ascii="Calibri" w:hAnsi="Calibri"/>
          <w:b/>
        </w:rPr>
        <w:t>FICC GSD Minimum Margin Amount:</w:t>
      </w:r>
      <w:r>
        <w:rPr>
          <w:rFonts w:ascii="Calibri" w:hAnsi="Calibri"/>
        </w:rPr>
        <w:t xml:space="preserve"> SEC approved FICC's adoption of a minimum margin floor for GSD positions (November 2024).</w:t>
      </w:r>
    </w:p>
    <w:p>
      <w:pPr>
        <w:pStyle w:val="ListBullet"/>
      </w:pPr>
      <w:r>
        <w:rPr>
          <w:rFonts w:ascii="Calibri" w:hAnsi="Calibri"/>
          <w:b/>
        </w:rPr>
        <w:t>FICC Volatility Event Charge:</w:t>
      </w:r>
      <w:r>
        <w:rPr>
          <w:rFonts w:ascii="Calibri" w:hAnsi="Calibri"/>
        </w:rPr>
        <w:t xml:space="preserve"> SEC approved new charge for GSD to address elevated volatility periods (April 2025).</w:t>
      </w:r>
    </w:p>
    <w:p>
      <w:pPr>
        <w:pStyle w:val="ListBullet"/>
      </w:pPr>
      <w:r>
        <w:rPr>
          <w:rFonts w:ascii="Calibri" w:hAnsi="Calibri"/>
          <w:b/>
        </w:rPr>
        <w:t>NSCC Intraday Margin Enhancement:</w:t>
      </w:r>
      <w:r>
        <w:rPr>
          <w:rFonts w:ascii="Calibri" w:hAnsi="Calibri"/>
        </w:rPr>
        <w:t xml:space="preserve"> Proposed rule change (April 2025) with Amendment No. 1 approved June 2025 for enhanced intraday margin collection.</w:t>
      </w:r>
    </w:p>
    <w:p>
      <w:pPr>
        <w:pStyle w:val="ListBullet"/>
      </w:pPr>
      <w:r>
        <w:rPr>
          <w:rFonts w:ascii="Calibri" w:hAnsi="Calibri"/>
          <w:b/>
        </w:rPr>
        <w:t>NSCC CNS Fails Charge Amendment:</w:t>
      </w:r>
      <w:r>
        <w:rPr>
          <w:rFonts w:ascii="Calibri" w:hAnsi="Calibri"/>
        </w:rPr>
        <w:t xml:space="preserve"> Proposed rule change (September 2025) to amend the CNS Fails Charge in NSCC Rules.</w:t>
      </w:r>
    </w:p>
    <w:p>
      <w:pPr>
        <w:pStyle w:val="Heading3"/>
      </w:pPr>
      <w:r>
        <w:rPr>
          <w:rFonts w:ascii="Calibri" w:hAnsi="Calibri"/>
        </w:rPr>
        <w:t>Strategic Initiatives</w:t>
      </w:r>
    </w:p>
    <w:p>
      <w:pPr>
        <w:pStyle w:val="ListBullet"/>
      </w:pPr>
      <w:r>
        <w:rPr>
          <w:rFonts w:ascii="Calibri" w:hAnsi="Calibri"/>
          <w:b/>
        </w:rPr>
        <w:t>Treasury Clearing Expansion:</w:t>
      </w:r>
      <w:r>
        <w:rPr>
          <w:rFonts w:ascii="Calibri" w:hAnsi="Calibri"/>
        </w:rPr>
        <w:t xml:space="preserve"> Major strategic priority -- preparing FICC-GSD infrastructure and membership access models for the SEC's Treasury clearing mandate. FICC expanding Sponsored Member access, Agent Clearing Service (ACS), and triparty repo clearing to accommodate expected volume growth.</w:t>
      </w:r>
    </w:p>
    <w:p>
      <w:pPr>
        <w:pStyle w:val="ListBullet"/>
      </w:pPr>
      <w:r>
        <w:rPr>
          <w:rFonts w:ascii="Calibri" w:hAnsi="Calibri"/>
          <w:b/>
        </w:rPr>
        <w:t>Digital Asset Strategy:</w:t>
      </w:r>
      <w:r>
        <w:rPr>
          <w:rFonts w:ascii="Calibri" w:hAnsi="Calibri"/>
        </w:rPr>
        <w:t xml:space="preserve"> Multi-pronged approach including tokenization of DTC-custodied assets on Canton Network, Digital Launchpad for industry collaboration, and ComposerX platform. DTCC joined Canton Foundation as co-chair alongside Euroclear.</w:t>
      </w:r>
    </w:p>
    <w:p>
      <w:pPr>
        <w:pStyle w:val="ListBullet"/>
      </w:pPr>
      <w:r>
        <w:rPr>
          <w:rFonts w:ascii="Calibri" w:hAnsi="Calibri"/>
          <w:b/>
        </w:rPr>
        <w:t>Cloud Migration:</w:t>
      </w:r>
      <w:r>
        <w:rPr>
          <w:rFonts w:ascii="Calibri" w:hAnsi="Calibri"/>
        </w:rPr>
        <w:t xml:space="preserve"> Ongoing initiative to modernize infrastructure with cloud-based services while maintaining core mainframe reliability for critical settlement systems.</w:t>
      </w:r>
    </w:p>
    <w:p>
      <w:pPr>
        <w:pStyle w:val="ListBullet"/>
      </w:pPr>
      <w:r>
        <w:rPr>
          <w:rFonts w:ascii="Calibri" w:hAnsi="Calibri"/>
          <w:b/>
        </w:rPr>
        <w:t>Global T+1 Leadership:</w:t>
      </w:r>
      <w:r>
        <w:rPr>
          <w:rFonts w:ascii="Calibri" w:hAnsi="Calibri"/>
        </w:rPr>
        <w:t xml:space="preserve"> DTCC actively engaging with international markets (EU, UK, APAC) to share lessons from U.S. T+1 transition and support global settlement acceleration.</w:t>
      </w:r>
    </w:p>
    <w:p>
      <w:pPr>
        <w:pStyle w:val="ListBullet"/>
      </w:pPr>
      <w:r>
        <w:rPr>
          <w:rFonts w:ascii="Calibri" w:hAnsi="Calibri"/>
          <w:b/>
        </w:rPr>
        <w:t>ISO 20022 Adoption:</w:t>
      </w:r>
      <w:r>
        <w:rPr>
          <w:rFonts w:ascii="Calibri" w:hAnsi="Calibri"/>
        </w:rPr>
        <w:t xml:space="preserve"> Continuing migration of messaging standards to ISO 20022 across corporate actions and other service areas.</w:t>
      </w:r>
    </w:p>
    <w:p>
      <w:r>
        <w:rPr>
          <w:rFonts w:ascii="Calibri" w:hAnsi="Calibri"/>
        </w:rPr>
        <w:t>*Sources: DTCC 2024 Annual Report; SIFMA/ICI/DTCC T+1 After Action Report (</w:t>
      </w:r>
      <w:r>
        <w:rPr>
          <w:rFonts w:ascii="Calibri" w:hAnsi="Calibri"/>
          <w:color w:val="0563C1"/>
          <w:u w:val="single"/>
        </w:rPr>
        <w:t>sifma.org</w:t>
      </w:r>
      <w:r>
        <w:rPr>
          <w:rFonts w:ascii="Calibri" w:hAnsi="Calibri"/>
        </w:rPr>
        <w:t>); DTCC press releases (</w:t>
      </w:r>
      <w:r>
        <w:rPr>
          <w:rFonts w:ascii="Calibri" w:hAnsi="Calibri"/>
          <w:color w:val="0563C1"/>
          <w:u w:val="single"/>
        </w:rPr>
        <w:t>dtcc.com/news</w:t>
      </w:r>
      <w:r>
        <w:rPr>
          <w:rFonts w:ascii="Calibri" w:hAnsi="Calibri"/>
        </w:rPr>
        <w:t>); SEC FICC rule filings; CoinDesk (</w:t>
      </w:r>
      <w:r>
        <w:rPr>
          <w:rFonts w:ascii="Calibri" w:hAnsi="Calibri"/>
          <w:color w:val="0563C1"/>
          <w:u w:val="single"/>
        </w:rPr>
        <w:t>coindesk.com</w:t>
      </w:r>
      <w:r>
        <w:rPr>
          <w:rFonts w:ascii="Calibri" w:hAnsi="Calibri"/>
        </w:rPr>
        <w:t>); SEC Treasury Clearing Implementation page (</w:t>
      </w:r>
      <w:r>
        <w:rPr>
          <w:rFonts w:ascii="Calibri" w:hAnsi="Calibri"/>
          <w:color w:val="0563C1"/>
          <w:u w:val="single"/>
        </w:rPr>
        <w:t>sec.gov</w:t>
      </w:r>
      <w:r>
        <w:rPr>
          <w:rFonts w:ascii="Calibri" w:hAnsi="Calibri"/>
        </w:rPr>
        <w:t>)*</w:t>
      </w:r>
    </w:p>
    <w:p>
      <w:pPr>
        <w:pBdr>
          <w:bottom w:val="single" w:sz="4" w:space="1" w:color="auto"/>
        </w:pBdr>
      </w:pPr>
    </w:p>
    <w:p>
      <w:pPr>
        <w:pStyle w:val="Heading2"/>
      </w:pPr>
      <w:r>
        <w:rPr>
          <w:rFonts w:ascii="Calibri" w:hAnsi="Calibri"/>
        </w:rPr>
        <w:t>Comparison with KRX/KSD (Korea)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DTCC (DTC/NSCC/FICC)</w:t>
            </w:r>
          </w:p>
        </w:tc>
        <w:tc>
          <w:tcPr>
            <w:tcW w:type="dxa" w:w="2880"/>
            <w:shd w:fill="4472C4" w:val="clear"/>
          </w:tcPr>
          <w:p>
            <w:pPr/>
            <w:r>
              <w:rPr>
                <w:b/>
                <w:color w:val="FFFFFF"/>
              </w:rPr>
            </w:r>
            <w:r>
              <w:rPr>
                <w:rFonts w:ascii="Calibri" w:hAnsi="Calibri"/>
                <w:b/>
                <w:color w:val="FFFFFF"/>
              </w:rPr>
              <w:t>KRX/KSD (Korea)</w:t>
            </w:r>
          </w:p>
        </w:tc>
      </w:tr>
      <w:tr>
        <w:tc>
          <w:tcPr>
            <w:tcW w:type="dxa" w:w="2880"/>
          </w:tcPr>
          <w:p>
            <w:pPr/>
            <w:r/>
            <w:r>
              <w:rPr>
                <w:rFonts w:ascii="Calibri" w:hAnsi="Calibri"/>
              </w:rPr>
              <w:t>Structure</w:t>
            </w:r>
          </w:p>
        </w:tc>
        <w:tc>
          <w:tcPr>
            <w:tcW w:type="dxa" w:w="2880"/>
          </w:tcPr>
          <w:p>
            <w:pPr/>
            <w:r/>
            <w:r>
              <w:rPr>
                <w:rFonts w:ascii="Calibri" w:hAnsi="Calibri"/>
              </w:rPr>
              <w:t>Holding company with separate CSD (DTC) and CCPs (NSCC, FICC)</w:t>
            </w:r>
          </w:p>
        </w:tc>
        <w:tc>
          <w:tcPr>
            <w:tcW w:type="dxa" w:w="2880"/>
          </w:tcPr>
          <w:p>
            <w:pPr/>
            <w:r/>
            <w:r>
              <w:rPr>
                <w:rFonts w:ascii="Calibri" w:hAnsi="Calibri"/>
              </w:rPr>
              <w:t>KRX acts as CCP; KSD acts as CSD -- separate organizations</w:t>
            </w:r>
          </w:p>
        </w:tc>
      </w:tr>
      <w:tr>
        <w:tc>
          <w:tcPr>
            <w:tcW w:type="dxa" w:w="2880"/>
          </w:tcPr>
          <w:p>
            <w:pPr/>
            <w:r/>
            <w:r>
              <w:rPr>
                <w:rFonts w:ascii="Calibri" w:hAnsi="Calibri"/>
              </w:rPr>
              <w:t>Ownership</w:t>
            </w:r>
          </w:p>
        </w:tc>
        <w:tc>
          <w:tcPr>
            <w:tcW w:type="dxa" w:w="2880"/>
          </w:tcPr>
          <w:p>
            <w:pPr/>
            <w:r/>
            <w:r>
              <w:rPr>
                <w:rFonts w:ascii="Calibri" w:hAnsi="Calibri"/>
              </w:rPr>
              <w:t>User-owned (industry utility)</w:t>
            </w:r>
          </w:p>
        </w:tc>
        <w:tc>
          <w:tcPr>
            <w:tcW w:type="dxa" w:w="2880"/>
          </w:tcPr>
          <w:p>
            <w:pPr/>
            <w:r/>
            <w:r>
              <w:rPr>
                <w:rFonts w:ascii="Calibri" w:hAnsi="Calibri"/>
              </w:rPr>
              <w:t>KRX: demutualized exchange; KSD: jointly owned by financial institutions</w:t>
            </w:r>
          </w:p>
        </w:tc>
      </w:tr>
      <w:tr>
        <w:tc>
          <w:tcPr>
            <w:tcW w:type="dxa" w:w="2880"/>
          </w:tcPr>
          <w:p>
            <w:pPr/>
            <w:r/>
            <w:r>
              <w:rPr>
                <w:rFonts w:ascii="Calibri" w:hAnsi="Calibri"/>
              </w:rPr>
              <w:t>CCP Coverage</w:t>
            </w:r>
          </w:p>
        </w:tc>
        <w:tc>
          <w:tcPr>
            <w:tcW w:type="dxa" w:w="2880"/>
          </w:tcPr>
          <w:p>
            <w:pPr/>
            <w:r/>
            <w:r>
              <w:rPr>
                <w:rFonts w:ascii="Calibri" w:hAnsi="Calibri"/>
              </w:rPr>
              <w:t>NSCC (equities), FICC (fixed income)</w:t>
            </w:r>
          </w:p>
        </w:tc>
        <w:tc>
          <w:tcPr>
            <w:tcW w:type="dxa" w:w="2880"/>
          </w:tcPr>
          <w:p>
            <w:pPr/>
            <w:r/>
            <w:r>
              <w:rPr>
                <w:rFonts w:ascii="Calibri" w:hAnsi="Calibri"/>
              </w:rPr>
              <w:t>KRX CCP covers equities, derivatives, bonds</w:t>
            </w:r>
          </w:p>
        </w:tc>
      </w:tr>
      <w:tr>
        <w:tc>
          <w:tcPr>
            <w:tcW w:type="dxa" w:w="2880"/>
          </w:tcPr>
          <w:p>
            <w:pPr/>
            <w:r/>
            <w:r>
              <w:rPr>
                <w:rFonts w:ascii="Calibri" w:hAnsi="Calibri"/>
              </w:rPr>
              <w:t>Settlement Cycle</w:t>
            </w:r>
          </w:p>
        </w:tc>
        <w:tc>
          <w:tcPr>
            <w:tcW w:type="dxa" w:w="2880"/>
          </w:tcPr>
          <w:p>
            <w:pPr/>
            <w:r/>
            <w:r>
              <w:rPr>
                <w:rFonts w:ascii="Calibri" w:hAnsi="Calibri"/>
              </w:rPr>
              <w:t>T+1 (since May 2024)</w:t>
            </w:r>
          </w:p>
        </w:tc>
        <w:tc>
          <w:tcPr>
            <w:tcW w:type="dxa" w:w="2880"/>
          </w:tcPr>
          <w:p>
            <w:pPr/>
            <w:r/>
            <w:r>
              <w:rPr>
                <w:rFonts w:ascii="Calibri" w:hAnsi="Calibri"/>
              </w:rPr>
              <w:t>T+2 for equities</w:t>
            </w:r>
          </w:p>
        </w:tc>
      </w:tr>
      <w:tr>
        <w:tc>
          <w:tcPr>
            <w:tcW w:type="dxa" w:w="2880"/>
          </w:tcPr>
          <w:p>
            <w:pPr/>
            <w:r/>
            <w:r>
              <w:rPr>
                <w:rFonts w:ascii="Calibri" w:hAnsi="Calibri"/>
              </w:rPr>
              <w:t>CSD</w:t>
            </w:r>
          </w:p>
        </w:tc>
        <w:tc>
          <w:tcPr>
            <w:tcW w:type="dxa" w:w="2880"/>
          </w:tcPr>
          <w:p>
            <w:pPr/>
            <w:r/>
            <w:r>
              <w:rPr>
                <w:rFonts w:ascii="Calibri" w:hAnsi="Calibri"/>
              </w:rPr>
              <w:t>DTC -- monopoly CSD for U.S.</w:t>
            </w:r>
          </w:p>
        </w:tc>
        <w:tc>
          <w:tcPr>
            <w:tcW w:type="dxa" w:w="2880"/>
          </w:tcPr>
          <w:p>
            <w:pPr/>
            <w:r/>
            <w:r>
              <w:rPr>
                <w:rFonts w:ascii="Calibri" w:hAnsi="Calibri"/>
              </w:rPr>
              <w:t>KSD -- sole CSD for Korea</w:t>
            </w:r>
          </w:p>
        </w:tc>
      </w:tr>
      <w:tr>
        <w:tc>
          <w:tcPr>
            <w:tcW w:type="dxa" w:w="2880"/>
          </w:tcPr>
          <w:p>
            <w:pPr/>
            <w:r/>
            <w:r>
              <w:rPr>
                <w:rFonts w:ascii="Calibri" w:hAnsi="Calibri"/>
              </w:rPr>
              <w:t>SIFMU Designation</w:t>
            </w:r>
          </w:p>
        </w:tc>
        <w:tc>
          <w:tcPr>
            <w:tcW w:type="dxa" w:w="2880"/>
          </w:tcPr>
          <w:p>
            <w:pPr/>
            <w:r/>
            <w:r>
              <w:rPr>
                <w:rFonts w:ascii="Calibri" w:hAnsi="Calibri"/>
              </w:rPr>
              <w:t>Yes (Dodd-Frank Title VIII)</w:t>
            </w:r>
          </w:p>
        </w:tc>
        <w:tc>
          <w:tcPr>
            <w:tcW w:type="dxa" w:w="2880"/>
          </w:tcPr>
          <w:p>
            <w:pPr/>
            <w:r/>
            <w:r>
              <w:rPr>
                <w:rFonts w:ascii="Calibri" w:hAnsi="Calibri"/>
              </w:rPr>
              <w:t>N/A (different regulatory framework)</w:t>
            </w:r>
          </w:p>
        </w:tc>
      </w:tr>
      <w:tr>
        <w:tc>
          <w:tcPr>
            <w:tcW w:type="dxa" w:w="2880"/>
          </w:tcPr>
          <w:p>
            <w:pPr/>
            <w:r/>
            <w:r>
              <w:rPr>
                <w:rFonts w:ascii="Calibri" w:hAnsi="Calibri"/>
              </w:rPr>
              <w:t>Assets Under Custody</w:t>
            </w:r>
          </w:p>
        </w:tc>
        <w:tc>
          <w:tcPr>
            <w:tcW w:type="dxa" w:w="2880"/>
          </w:tcPr>
          <w:p>
            <w:pPr/>
            <w:r/>
            <w:r>
              <w:rPr>
                <w:rFonts w:ascii="Calibri" w:hAnsi="Calibri"/>
              </w:rPr>
              <w:t>$100+ trillion</w:t>
            </w:r>
          </w:p>
        </w:tc>
        <w:tc>
          <w:tcPr>
            <w:tcW w:type="dxa" w:w="2880"/>
          </w:tcPr>
          <w:p>
            <w:pPr/>
            <w:r/>
            <w:r>
              <w:rPr>
                <w:rFonts w:ascii="Calibri" w:hAnsi="Calibri"/>
              </w:rPr>
              <w:t>Significantly smaller (proportional to Korean market size)</w:t>
            </w:r>
          </w:p>
        </w:tc>
      </w:tr>
    </w:tbl>
    <w:p/>
    <w:p>
      <w:pPr>
        <w:pBdr>
          <w:bottom w:val="single" w:sz="4" w:space="1" w:color="auto"/>
        </w:pBdr>
      </w:pPr>
    </w:p>
    <w:p>
      <w:pPr>
        <w:pStyle w:val="Heading2"/>
      </w:pPr>
      <w:r>
        <w:rPr>
          <w:rFonts w:ascii="Calibri" w:hAnsi="Calibri"/>
        </w:rPr>
        <w:t>Sources</w:t>
      </w:r>
    </w:p>
    <w:p>
      <w:pPr>
        <w:pStyle w:val="ListBullet"/>
      </w:pPr>
      <w:r>
        <w:rPr>
          <w:rFonts w:ascii="Calibri" w:hAnsi="Calibri"/>
        </w:rPr>
        <w:t xml:space="preserve">DTCC 2024 Annual Report -- </w:t>
      </w:r>
      <w:r>
        <w:rPr>
          <w:rFonts w:ascii="Calibri" w:hAnsi="Calibri"/>
          <w:color w:val="0563C1"/>
          <w:u w:val="single"/>
        </w:rPr>
        <w:t>dtcc.com/annuals/2024</w:t>
      </w:r>
    </w:p>
    <w:p>
      <w:pPr>
        <w:pStyle w:val="ListBullet"/>
      </w:pPr>
      <w:r>
        <w:rPr>
          <w:rFonts w:ascii="Calibri" w:hAnsi="Calibri"/>
        </w:rPr>
        <w:t xml:space="preserve">DTCC Wikipedia -- </w:t>
      </w:r>
      <w:r>
        <w:rPr>
          <w:rFonts w:ascii="Calibri" w:hAnsi="Calibri"/>
          <w:color w:val="0563C1"/>
          <w:u w:val="single"/>
        </w:rPr>
        <w:t>en.wikipedia.org/wiki/Depository_Trust_&amp;_Clearing_Corporation</w:t>
      </w:r>
    </w:p>
    <w:p>
      <w:pPr>
        <w:pStyle w:val="ListBullet"/>
      </w:pPr>
      <w:r>
        <w:rPr>
          <w:rFonts w:ascii="Calibri" w:hAnsi="Calibri"/>
        </w:rPr>
        <w:t xml:space="preserve">NSCC Disclosure Framework (PFMI) -- </w:t>
      </w:r>
      <w:r>
        <w:rPr>
          <w:rFonts w:ascii="Calibri" w:hAnsi="Calibri"/>
          <w:color w:val="0563C1"/>
          <w:u w:val="single"/>
        </w:rPr>
        <w:t>dtcc.com</w:t>
      </w:r>
    </w:p>
    <w:p>
      <w:pPr>
        <w:pStyle w:val="ListBullet"/>
      </w:pPr>
      <w:r>
        <w:rPr>
          <w:rFonts w:ascii="Calibri" w:hAnsi="Calibri"/>
        </w:rPr>
        <w:t xml:space="preserve">FICC Disclosure Framework (PFMI) -- </w:t>
      </w:r>
      <w:r>
        <w:rPr>
          <w:rFonts w:ascii="Calibri" w:hAnsi="Calibri"/>
          <w:color w:val="0563C1"/>
          <w:u w:val="single"/>
        </w:rPr>
        <w:t>dtcc.com</w:t>
      </w:r>
    </w:p>
    <w:p>
      <w:pPr>
        <w:pStyle w:val="ListBullet"/>
      </w:pPr>
      <w:r>
        <w:rPr>
          <w:rFonts w:ascii="Calibri" w:hAnsi="Calibri"/>
        </w:rPr>
        <w:t xml:space="preserve">DTC Disclosure Framework (PFMI) -- </w:t>
      </w:r>
      <w:r>
        <w:rPr>
          <w:rFonts w:ascii="Calibri" w:hAnsi="Calibri"/>
          <w:color w:val="0563C1"/>
          <w:u w:val="single"/>
        </w:rPr>
        <w:t>dtcc.com</w:t>
      </w:r>
    </w:p>
    <w:p>
      <w:pPr>
        <w:pStyle w:val="ListBullet"/>
      </w:pPr>
      <w:r>
        <w:rPr>
          <w:rFonts w:ascii="Calibri" w:hAnsi="Calibri"/>
        </w:rPr>
        <w:t xml:space="preserve">CPMI-IOSCO Public Quantitative Disclosures Q4 2024 -- </w:t>
      </w:r>
      <w:r>
        <w:rPr>
          <w:rFonts w:ascii="Calibri" w:hAnsi="Calibri"/>
          <w:color w:val="0563C1"/>
          <w:u w:val="single"/>
        </w:rPr>
        <w:t>dtcc.com</w:t>
      </w:r>
    </w:p>
    <w:p>
      <w:pPr>
        <w:pStyle w:val="ListBullet"/>
      </w:pPr>
      <w:r>
        <w:rPr>
          <w:rFonts w:ascii="Calibri" w:hAnsi="Calibri"/>
        </w:rPr>
        <w:t xml:space="preserve">CPMI-IOSCO Public Quantitative Disclosures Q3 2025 -- </w:t>
      </w:r>
      <w:r>
        <w:rPr>
          <w:rFonts w:ascii="Calibri" w:hAnsi="Calibri"/>
          <w:color w:val="0563C1"/>
          <w:u w:val="single"/>
        </w:rPr>
        <w:t>dtcc.com</w:t>
      </w:r>
    </w:p>
    <w:p>
      <w:pPr>
        <w:pStyle w:val="ListBullet"/>
      </w:pPr>
      <w:r>
        <w:rPr>
          <w:rFonts w:ascii="Calibri" w:hAnsi="Calibri"/>
        </w:rPr>
        <w:t xml:space="preserve">GSD Clearing Fund Methodology Overview (Jan 2024) -- </w:t>
      </w:r>
      <w:r>
        <w:rPr>
          <w:rFonts w:ascii="Calibri" w:hAnsi="Calibri"/>
          <w:color w:val="0563C1"/>
          <w:u w:val="single"/>
        </w:rPr>
        <w:t>dtcc.com</w:t>
      </w:r>
    </w:p>
    <w:p>
      <w:pPr>
        <w:pStyle w:val="ListBullet"/>
      </w:pPr>
      <w:r>
        <w:rPr>
          <w:rFonts w:ascii="Calibri" w:hAnsi="Calibri"/>
        </w:rPr>
        <w:t xml:space="preserve">NSCC Rules &amp; Procedures -- </w:t>
      </w:r>
      <w:r>
        <w:rPr>
          <w:rFonts w:ascii="Calibri" w:hAnsi="Calibri"/>
          <w:color w:val="0563C1"/>
          <w:u w:val="single"/>
        </w:rPr>
        <w:t>dtcc.com</w:t>
      </w:r>
    </w:p>
    <w:p>
      <w:pPr>
        <w:pStyle w:val="ListBullet"/>
      </w:pPr>
      <w:r>
        <w:rPr>
          <w:rFonts w:ascii="Calibri" w:hAnsi="Calibri"/>
        </w:rPr>
        <w:t xml:space="preserve">NSCC Financial Statements Annual 2024 -- </w:t>
      </w:r>
      <w:r>
        <w:rPr>
          <w:rFonts w:ascii="Calibri" w:hAnsi="Calibri"/>
          <w:color w:val="0563C1"/>
          <w:u w:val="single"/>
        </w:rPr>
        <w:t>dtcc.com</w:t>
      </w:r>
    </w:p>
    <w:p>
      <w:pPr>
        <w:pStyle w:val="ListBullet"/>
      </w:pPr>
      <w:r>
        <w:rPr>
          <w:rFonts w:ascii="Calibri" w:hAnsi="Calibri"/>
        </w:rPr>
        <w:t xml:space="preserve">FICC Financial Statements Annual 2024 -- </w:t>
      </w:r>
      <w:r>
        <w:rPr>
          <w:rFonts w:ascii="Calibri" w:hAnsi="Calibri"/>
          <w:color w:val="0563C1"/>
          <w:u w:val="single"/>
        </w:rPr>
        <w:t>dtcc.com</w:t>
      </w:r>
    </w:p>
    <w:p>
      <w:pPr>
        <w:pStyle w:val="ListBullet"/>
      </w:pPr>
      <w:r>
        <w:rPr>
          <w:rFonts w:ascii="Calibri" w:hAnsi="Calibri"/>
        </w:rPr>
        <w:t xml:space="preserve">SIFMA Insights: Spotlight DTCC -- </w:t>
      </w:r>
      <w:r>
        <w:rPr>
          <w:rFonts w:ascii="Calibri" w:hAnsi="Calibri"/>
          <w:color w:val="0563C1"/>
          <w:u w:val="single"/>
        </w:rPr>
        <w:t>sifma.org</w:t>
      </w:r>
    </w:p>
    <w:p>
      <w:pPr>
        <w:pStyle w:val="ListBullet"/>
      </w:pPr>
      <w:r>
        <w:rPr>
          <w:rFonts w:ascii="Calibri" w:hAnsi="Calibri"/>
        </w:rPr>
        <w:t xml:space="preserve">SIFMA/ICI/DTCC T+1 After Action Report (Sep 2024) -- </w:t>
      </w:r>
      <w:r>
        <w:rPr>
          <w:rFonts w:ascii="Calibri" w:hAnsi="Calibri"/>
          <w:color w:val="0563C1"/>
          <w:u w:val="single"/>
        </w:rPr>
        <w:t>sifma.org</w:t>
      </w:r>
    </w:p>
    <w:p>
      <w:pPr>
        <w:pStyle w:val="ListBullet"/>
      </w:pPr>
      <w:r>
        <w:rPr>
          <w:rFonts w:ascii="Calibri" w:hAnsi="Calibri"/>
        </w:rPr>
        <w:t xml:space="preserve">SEC Rule 17Ad-22 (Standards for Covered Clearing Agencies) -- </w:t>
      </w:r>
      <w:r>
        <w:rPr>
          <w:rFonts w:ascii="Calibri" w:hAnsi="Calibri"/>
          <w:color w:val="0563C1"/>
          <w:u w:val="single"/>
        </w:rPr>
        <w:t>sec.gov</w:t>
      </w:r>
    </w:p>
    <w:p>
      <w:pPr>
        <w:pStyle w:val="ListBullet"/>
      </w:pPr>
      <w:r>
        <w:rPr>
          <w:rFonts w:ascii="Calibri" w:hAnsi="Calibri"/>
        </w:rPr>
        <w:t xml:space="preserve">Federal Reserve: Designated FMUs -- </w:t>
      </w:r>
      <w:r>
        <w:rPr>
          <w:rFonts w:ascii="Calibri" w:hAnsi="Calibri"/>
          <w:color w:val="0563C1"/>
          <w:u w:val="single"/>
        </w:rPr>
        <w:t>federalreserve.gov</w:t>
      </w:r>
    </w:p>
    <w:p>
      <w:pPr>
        <w:pStyle w:val="ListBullet"/>
      </w:pPr>
      <w:r>
        <w:rPr>
          <w:rFonts w:ascii="Calibri" w:hAnsi="Calibri"/>
        </w:rPr>
        <w:t xml:space="preserve">Dodd-Frank Title VIII (Payment, Clearing, and Settlement) -- </w:t>
      </w:r>
      <w:r>
        <w:rPr>
          <w:rFonts w:ascii="Calibri" w:hAnsi="Calibri"/>
          <w:color w:val="0563C1"/>
          <w:u w:val="single"/>
        </w:rPr>
        <w:t>law.cornell.edu</w:t>
      </w:r>
    </w:p>
    <w:p>
      <w:pPr>
        <w:pStyle w:val="ListBullet"/>
      </w:pPr>
      <w:r>
        <w:rPr>
          <w:rFonts w:ascii="Calibri" w:hAnsi="Calibri"/>
        </w:rPr>
        <w:t xml:space="preserve">SEC Treasury Clearing Implementation -- </w:t>
      </w:r>
      <w:r>
        <w:rPr>
          <w:rFonts w:ascii="Calibri" w:hAnsi="Calibri"/>
          <w:color w:val="0563C1"/>
          <w:u w:val="single"/>
        </w:rPr>
        <w:t>sec.gov</w:t>
      </w:r>
    </w:p>
    <w:p>
      <w:pPr>
        <w:pStyle w:val="ListBullet"/>
      </w:pPr>
      <w:r>
        <w:rPr>
          <w:rFonts w:ascii="Calibri" w:hAnsi="Calibri"/>
        </w:rPr>
        <w:t xml:space="preserve">Federal Register: R&amp;W Plan Amendments (2025-10877) -- </w:t>
      </w:r>
      <w:r>
        <w:rPr>
          <w:rFonts w:ascii="Calibri" w:hAnsi="Calibri"/>
          <w:color w:val="0563C1"/>
          <w:u w:val="single"/>
        </w:rPr>
        <w:t>federalregister.gov</w:t>
      </w:r>
    </w:p>
    <w:p>
      <w:pPr>
        <w:pStyle w:val="ListBullet"/>
      </w:pPr>
      <w:r>
        <w:rPr>
          <w:rFonts w:ascii="Calibri" w:hAnsi="Calibri"/>
        </w:rPr>
        <w:t xml:space="preserve">NSCC Fee Schedule Guide -- </w:t>
      </w:r>
      <w:r>
        <w:rPr>
          <w:rFonts w:ascii="Calibri" w:hAnsi="Calibri"/>
          <w:color w:val="0563C1"/>
          <w:u w:val="single"/>
        </w:rPr>
        <w:t>dtcc.com</w:t>
      </w:r>
    </w:p>
    <w:p>
      <w:pPr>
        <w:pStyle w:val="ListBullet"/>
      </w:pPr>
      <w:r>
        <w:rPr>
          <w:rFonts w:ascii="Calibri" w:hAnsi="Calibri"/>
        </w:rPr>
        <w:t xml:space="preserve">DTC Fee Schedule Guide -- </w:t>
      </w:r>
      <w:r>
        <w:rPr>
          <w:rFonts w:ascii="Calibri" w:hAnsi="Calibri"/>
          <w:color w:val="0563C1"/>
          <w:u w:val="single"/>
        </w:rPr>
        <w:t>dtcc.com</w:t>
      </w:r>
    </w:p>
    <w:p>
      <w:pPr>
        <w:pStyle w:val="ListBullet"/>
      </w:pPr>
      <w:r>
        <w:rPr>
          <w:rFonts w:ascii="Calibri" w:hAnsi="Calibri"/>
        </w:rPr>
        <w:t xml:space="preserve">FICC GSD Fee Schedule -- </w:t>
      </w:r>
      <w:r>
        <w:rPr>
          <w:rFonts w:ascii="Calibri" w:hAnsi="Calibri"/>
          <w:color w:val="0563C1"/>
          <w:u w:val="single"/>
        </w:rPr>
        <w:t>dtcc.com</w:t>
      </w:r>
    </w:p>
    <w:p>
      <w:pPr>
        <w:pStyle w:val="ListBullet"/>
      </w:pPr>
      <w:r>
        <w:rPr>
          <w:rFonts w:ascii="Calibri" w:hAnsi="Calibri"/>
        </w:rPr>
        <w:t xml:space="preserve">DTCC Tokenization / Canton Network (Dec 2025) -- </w:t>
      </w:r>
      <w:r>
        <w:rPr>
          <w:rFonts w:ascii="Calibri" w:hAnsi="Calibri"/>
          <w:color w:val="0563C1"/>
          <w:u w:val="single"/>
        </w:rPr>
        <w:t>dtcc.com/news</w:t>
      </w:r>
    </w:p>
    <w:p>
      <w:pPr>
        <w:pStyle w:val="ListBullet"/>
      </w:pPr>
      <w:r>
        <w:rPr>
          <w:rFonts w:ascii="Calibri" w:hAnsi="Calibri"/>
        </w:rPr>
        <w:t xml:space="preserve">IMF FSAP Assessment: DTC (2010) -- </w:t>
      </w:r>
      <w:r>
        <w:rPr>
          <w:rFonts w:ascii="Calibri" w:hAnsi="Calibri"/>
          <w:color w:val="0563C1"/>
          <w:u w:val="single"/>
        </w:rPr>
        <w:t>imf.org</w:t>
      </w:r>
    </w:p>
    <w:p>
      <w:pPr>
        <w:pStyle w:val="ListBullet"/>
      </w:pPr>
      <w:r>
        <w:rPr>
          <w:rFonts w:ascii="Calibri" w:hAnsi="Calibri"/>
        </w:rPr>
        <w:t xml:space="preserve">FICC Treasury Clearing FAQ -- </w:t>
      </w:r>
      <w:r>
        <w:rPr>
          <w:rFonts w:ascii="Calibri" w:hAnsi="Calibri"/>
          <w:color w:val="0563C1"/>
          <w:u w:val="single"/>
        </w:rPr>
        <w:t>dtcc.com</w:t>
      </w:r>
    </w:p>
    <w:p>
      <w:pPr>
        <w:pStyle w:val="ListBullet"/>
      </w:pPr>
      <w:r>
        <w:rPr>
          <w:rFonts w:ascii="Calibri" w:hAnsi="Calibri"/>
        </w:rPr>
        <w:t xml:space="preserve">OFR Working Paper 25-03: CCP Liquidity and Capital -- </w:t>
      </w:r>
      <w:r>
        <w:rPr>
          <w:rFonts w:ascii="Calibri" w:hAnsi="Calibri"/>
          <w:color w:val="0563C1"/>
          <w:u w:val="single"/>
        </w:rPr>
        <w:t>financialresearch.gov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