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ICE Clear (ICE Clear U.S. / ICE Clear Europe / ICE Clear Credit)</w:t>
      </w:r>
    </w:p>
    <w:p>
      <w:pPr>
        <w:ind w:left="720"/>
        <w:shd w:fill="F0F0F0" w:val="clear"/>
      </w:pPr>
      <w:r>
        <w:rPr>
          <w:rFonts w:ascii="Calibri" w:hAnsi="Calibri"/>
          <w:i/>
        </w:rPr>
        <w:t>**Last Updated:** 2026-04-07</w:t>
      </w:r>
    </w:p>
    <w:p>
      <w:pPr>
        <w:ind w:left="720"/>
        <w:shd w:fill="F0F0F0" w:val="clear"/>
      </w:pPr>
      <w:r>
        <w:rPr>
          <w:rFonts w:ascii="Calibri" w:hAnsi="Calibri"/>
          <w:i/>
        </w:rPr>
        <w:t>**Research Tier:** Tier 2 (Standard)</w:t>
      </w:r>
    </w:p>
    <w:p>
      <w:pPr>
        <w:ind w:left="720"/>
        <w:shd w:fill="F0F0F0" w:val="clear"/>
      </w:pPr>
      <w:r>
        <w:rPr>
          <w:rFonts w:ascii="Calibri" w:hAnsi="Calibri"/>
          <w:i/>
        </w:rPr>
        <w:t>**Type:** CCP (multiple entities)</w:t>
      </w:r>
    </w:p>
    <w:p>
      <w:pPr>
        <w:pBdr>
          <w:bottom w:val="single" w:sz="4" w:space="1" w:color="auto"/>
        </w:pBdr>
      </w:pPr>
    </w:p>
    <w:p>
      <w:pPr>
        <w:pStyle w:val="Heading2"/>
      </w:pPr>
      <w:r>
        <w:rPr>
          <w:rFonts w:ascii="Calibri" w:hAnsi="Calibri"/>
        </w:rPr>
        <w:t>1. Overview &amp; Profile</w:t>
      </w:r>
    </w:p>
    <w:p>
      <w:pPr>
        <w:pStyle w:val="Heading3"/>
      </w:pPr>
      <w:r>
        <w:rPr>
          <w:rFonts w:ascii="Calibri" w:hAnsi="Calibri"/>
        </w:rPr>
        <w:t>1.1 Organization Profile</w:t>
      </w:r>
    </w:p>
    <w:p>
      <w:r>
        <w:rPr>
          <w:rFonts w:ascii="Calibri" w:hAnsi="Calibri"/>
        </w:rPr>
        <w:t>Intercontinental Exchange, Inc. (NYSE: ICE) owns and operates six central clearing houses globally: ICE Clear U.S., ICE Clear Europe, ICE Clear Credit, ICE Clear Singapore, ICE Clear Netherlands, and ICE NGX. This report covers the three principal entities.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Item</w:t>
            </w:r>
          </w:p>
        </w:tc>
        <w:tc>
          <w:tcPr>
            <w:tcW w:type="dxa" w:w="2160"/>
            <w:shd w:fill="4472C4" w:val="clear"/>
          </w:tcPr>
          <w:p>
            <w:pPr/>
            <w:r>
              <w:rPr>
                <w:b/>
                <w:color w:val="FFFFFF"/>
              </w:rPr>
            </w:r>
            <w:r>
              <w:rPr>
                <w:rFonts w:ascii="Calibri" w:hAnsi="Calibri"/>
                <w:b/>
                <w:color w:val="FFFFFF"/>
              </w:rPr>
              <w:t>ICE Clear U.S.</w:t>
            </w:r>
          </w:p>
        </w:tc>
        <w:tc>
          <w:tcPr>
            <w:tcW w:type="dxa" w:w="2160"/>
            <w:shd w:fill="4472C4" w:val="clear"/>
          </w:tcPr>
          <w:p>
            <w:pPr/>
            <w:r>
              <w:rPr>
                <w:b/>
                <w:color w:val="FFFFFF"/>
              </w:rPr>
            </w:r>
            <w:r>
              <w:rPr>
                <w:rFonts w:ascii="Calibri" w:hAnsi="Calibri"/>
                <w:b/>
                <w:color w:val="FFFFFF"/>
              </w:rPr>
              <w:t>ICE Clear Europe</w:t>
            </w:r>
          </w:p>
        </w:tc>
        <w:tc>
          <w:tcPr>
            <w:tcW w:type="dxa" w:w="2160"/>
            <w:shd w:fill="4472C4" w:val="clear"/>
          </w:tcPr>
          <w:p>
            <w:pPr/>
            <w:r>
              <w:rPr>
                <w:b/>
                <w:color w:val="FFFFFF"/>
              </w:rPr>
            </w:r>
            <w:r>
              <w:rPr>
                <w:rFonts w:ascii="Calibri" w:hAnsi="Calibri"/>
                <w:b/>
                <w:color w:val="FFFFFF"/>
              </w:rPr>
              <w:t>ICE Clear Credit</w:t>
            </w:r>
          </w:p>
        </w:tc>
      </w:tr>
      <w:tr>
        <w:tc>
          <w:tcPr>
            <w:tcW w:type="dxa" w:w="2160"/>
          </w:tcPr>
          <w:p>
            <w:pPr/>
            <w:r/>
            <w:r>
              <w:rPr>
                <w:rFonts w:ascii="Calibri" w:hAnsi="Calibri"/>
                <w:b/>
              </w:rPr>
              <w:t>Official Name</w:t>
            </w:r>
          </w:p>
        </w:tc>
        <w:tc>
          <w:tcPr>
            <w:tcW w:type="dxa" w:w="2160"/>
          </w:tcPr>
          <w:p>
            <w:pPr/>
            <w:r/>
            <w:r>
              <w:rPr>
                <w:rFonts w:ascii="Calibri" w:hAnsi="Calibri"/>
              </w:rPr>
              <w:t>ICE Clear U.S., Inc.</w:t>
            </w:r>
          </w:p>
        </w:tc>
        <w:tc>
          <w:tcPr>
            <w:tcW w:type="dxa" w:w="2160"/>
          </w:tcPr>
          <w:p>
            <w:pPr/>
            <w:r/>
            <w:r>
              <w:rPr>
                <w:rFonts w:ascii="Calibri" w:hAnsi="Calibri"/>
              </w:rPr>
              <w:t>ICE Clear Europe Limited</w:t>
            </w:r>
          </w:p>
        </w:tc>
        <w:tc>
          <w:tcPr>
            <w:tcW w:type="dxa" w:w="2160"/>
          </w:tcPr>
          <w:p>
            <w:pPr/>
            <w:r/>
            <w:r>
              <w:rPr>
                <w:rFonts w:ascii="Calibri" w:hAnsi="Calibri"/>
              </w:rPr>
              <w:t>ICE Clear Credit LLC</w:t>
            </w:r>
          </w:p>
        </w:tc>
      </w:tr>
      <w:tr>
        <w:tc>
          <w:tcPr>
            <w:tcW w:type="dxa" w:w="2160"/>
          </w:tcPr>
          <w:p>
            <w:pPr/>
            <w:r/>
            <w:r>
              <w:rPr>
                <w:rFonts w:ascii="Calibri" w:hAnsi="Calibri"/>
                <w:b/>
              </w:rPr>
              <w:t>Website</w:t>
            </w:r>
          </w:p>
        </w:tc>
        <w:tc>
          <w:tcPr>
            <w:tcW w:type="dxa" w:w="2160"/>
          </w:tcPr>
          <w:p>
            <w:pPr/>
            <w:r/>
            <w:r>
              <w:rPr>
                <w:rFonts w:ascii="Calibri" w:hAnsi="Calibri"/>
                <w:color w:val="0563C1"/>
                <w:u w:val="single"/>
              </w:rPr>
              <w:t>ice.com/clear-us</w:t>
            </w:r>
          </w:p>
        </w:tc>
        <w:tc>
          <w:tcPr>
            <w:tcW w:type="dxa" w:w="2160"/>
          </w:tcPr>
          <w:p>
            <w:pPr/>
            <w:r/>
            <w:r>
              <w:rPr>
                <w:rFonts w:ascii="Calibri" w:hAnsi="Calibri"/>
                <w:color w:val="0563C1"/>
                <w:u w:val="single"/>
              </w:rPr>
              <w:t>ice.com/clear-europe</w:t>
            </w:r>
          </w:p>
        </w:tc>
        <w:tc>
          <w:tcPr>
            <w:tcW w:type="dxa" w:w="2160"/>
          </w:tcPr>
          <w:p>
            <w:pPr/>
            <w:r/>
            <w:r>
              <w:rPr>
                <w:rFonts w:ascii="Calibri" w:hAnsi="Calibri"/>
                <w:color w:val="0563C1"/>
                <w:u w:val="single"/>
              </w:rPr>
              <w:t>ice.com/clear-credit</w:t>
            </w:r>
          </w:p>
        </w:tc>
      </w:tr>
      <w:tr>
        <w:tc>
          <w:tcPr>
            <w:tcW w:type="dxa" w:w="2160"/>
          </w:tcPr>
          <w:p>
            <w:pPr/>
            <w:r/>
            <w:r>
              <w:rPr>
                <w:rFonts w:ascii="Calibri" w:hAnsi="Calibri"/>
                <w:b/>
              </w:rPr>
              <w:t>Year Established</w:t>
            </w:r>
          </w:p>
        </w:tc>
        <w:tc>
          <w:tcPr>
            <w:tcW w:type="dxa" w:w="2160"/>
          </w:tcPr>
          <w:p>
            <w:pPr/>
            <w:r/>
            <w:r>
              <w:rPr>
                <w:rFonts w:ascii="Calibri" w:hAnsi="Calibri"/>
              </w:rPr>
              <w:t>2007 (as ICE entity; predecessor clearing operations existed under NYBOT)</w:t>
            </w:r>
          </w:p>
        </w:tc>
        <w:tc>
          <w:tcPr>
            <w:tcW w:type="dxa" w:w="2160"/>
          </w:tcPr>
          <w:p>
            <w:pPr/>
            <w:r/>
            <w:r>
              <w:rPr>
                <w:rFonts w:ascii="Calibri" w:hAnsi="Calibri"/>
              </w:rPr>
              <w:t>2008 (November)</w:t>
            </w:r>
          </w:p>
        </w:tc>
        <w:tc>
          <w:tcPr>
            <w:tcW w:type="dxa" w:w="2160"/>
          </w:tcPr>
          <w:p>
            <w:pPr/>
            <w:r/>
            <w:r>
              <w:rPr>
                <w:rFonts w:ascii="Calibri" w:hAnsi="Calibri"/>
              </w:rPr>
              <w:t>2009 (March)</w:t>
            </w:r>
          </w:p>
        </w:tc>
      </w:tr>
      <w:tr>
        <w:tc>
          <w:tcPr>
            <w:tcW w:type="dxa" w:w="2160"/>
          </w:tcPr>
          <w:p>
            <w:pPr/>
            <w:r/>
            <w:r>
              <w:rPr>
                <w:rFonts w:ascii="Calibri" w:hAnsi="Calibri"/>
                <w:b/>
              </w:rPr>
              <w:t>Country / City</w:t>
            </w:r>
          </w:p>
        </w:tc>
        <w:tc>
          <w:tcPr>
            <w:tcW w:type="dxa" w:w="2160"/>
          </w:tcPr>
          <w:p>
            <w:pPr/>
            <w:r/>
            <w:r>
              <w:rPr>
                <w:rFonts w:ascii="Calibri" w:hAnsi="Calibri"/>
              </w:rPr>
              <w:t>United States / Chicago, IL</w:t>
            </w:r>
          </w:p>
        </w:tc>
        <w:tc>
          <w:tcPr>
            <w:tcW w:type="dxa" w:w="2160"/>
          </w:tcPr>
          <w:p>
            <w:pPr/>
            <w:r/>
            <w:r>
              <w:rPr>
                <w:rFonts w:ascii="Calibri" w:hAnsi="Calibri"/>
              </w:rPr>
              <w:t>United Kingdom / London</w:t>
            </w:r>
          </w:p>
        </w:tc>
        <w:tc>
          <w:tcPr>
            <w:tcW w:type="dxa" w:w="2160"/>
          </w:tcPr>
          <w:p>
            <w:pPr/>
            <w:r/>
            <w:r>
              <w:rPr>
                <w:rFonts w:ascii="Calibri" w:hAnsi="Calibri"/>
              </w:rPr>
              <w:t>United States / Chicago, IL</w:t>
            </w:r>
          </w:p>
        </w:tc>
      </w:tr>
      <w:tr>
        <w:tc>
          <w:tcPr>
            <w:tcW w:type="dxa" w:w="2160"/>
          </w:tcPr>
          <w:p>
            <w:pPr/>
            <w:r/>
            <w:r>
              <w:rPr>
                <w:rFonts w:ascii="Calibri" w:hAnsi="Calibri"/>
                <w:b/>
              </w:rPr>
              <w:t>Ownership</w:t>
            </w:r>
          </w:p>
        </w:tc>
        <w:tc>
          <w:tcPr>
            <w:tcW w:type="dxa" w:w="2160"/>
          </w:tcPr>
          <w:p>
            <w:pPr/>
            <w:r/>
            <w:r>
              <w:rPr>
                <w:rFonts w:ascii="Calibri" w:hAnsi="Calibri"/>
              </w:rPr>
              <w:t>Wholly owned subsidiary of ICE</w:t>
            </w:r>
          </w:p>
        </w:tc>
        <w:tc>
          <w:tcPr>
            <w:tcW w:type="dxa" w:w="2160"/>
          </w:tcPr>
          <w:p>
            <w:pPr/>
            <w:r/>
            <w:r>
              <w:rPr>
                <w:rFonts w:ascii="Calibri" w:hAnsi="Calibri"/>
              </w:rPr>
              <w:t>Wholly owned subsidiary of ICE</w:t>
            </w:r>
          </w:p>
        </w:tc>
        <w:tc>
          <w:tcPr>
            <w:tcW w:type="dxa" w:w="2160"/>
          </w:tcPr>
          <w:p>
            <w:pPr/>
            <w:r/>
            <w:r>
              <w:rPr>
                <w:rFonts w:ascii="Calibri" w:hAnsi="Calibri"/>
              </w:rPr>
              <w:t>Wholly owned subsidiary of ICE</w:t>
            </w:r>
          </w:p>
        </w:tc>
      </w:tr>
      <w:tr>
        <w:tc>
          <w:tcPr>
            <w:tcW w:type="dxa" w:w="2160"/>
          </w:tcPr>
          <w:p>
            <w:pPr/>
            <w:r/>
            <w:r>
              <w:rPr>
                <w:rFonts w:ascii="Calibri" w:hAnsi="Calibri"/>
                <w:b/>
              </w:rPr>
              <w:t>Primary Regulator</w:t>
            </w:r>
          </w:p>
        </w:tc>
        <w:tc>
          <w:tcPr>
            <w:tcW w:type="dxa" w:w="2160"/>
          </w:tcPr>
          <w:p>
            <w:pPr/>
            <w:r/>
            <w:r>
              <w:rPr>
                <w:rFonts w:ascii="Calibri" w:hAnsi="Calibri"/>
              </w:rPr>
              <w:t>CFTC (registered DCO)</w:t>
            </w:r>
          </w:p>
        </w:tc>
        <w:tc>
          <w:tcPr>
            <w:tcW w:type="dxa" w:w="2160"/>
          </w:tcPr>
          <w:p>
            <w:pPr/>
            <w:r/>
            <w:r>
              <w:rPr>
                <w:rFonts w:ascii="Calibri" w:hAnsi="Calibri"/>
              </w:rPr>
              <w:t>Bank of England (recognised clearing house under FSMA 2000)</w:t>
            </w:r>
          </w:p>
        </w:tc>
        <w:tc>
          <w:tcPr>
            <w:tcW w:type="dxa" w:w="2160"/>
          </w:tcPr>
          <w:p>
            <w:pPr/>
            <w:r/>
            <w:r>
              <w:rPr>
                <w:rFonts w:ascii="Calibri" w:hAnsi="Calibri"/>
              </w:rPr>
              <w:t>CFTC (registered DCO); SEC (registered Securities Clearing Agency)</w:t>
            </w:r>
          </w:p>
        </w:tc>
      </w:tr>
      <w:tr>
        <w:tc>
          <w:tcPr>
            <w:tcW w:type="dxa" w:w="2160"/>
          </w:tcPr>
          <w:p>
            <w:pPr/>
            <w:r/>
            <w:r>
              <w:rPr>
                <w:rFonts w:ascii="Calibri" w:hAnsi="Calibri"/>
                <w:b/>
              </w:rPr>
              <w:t>Additional Regulators</w:t>
            </w:r>
          </w:p>
        </w:tc>
        <w:tc>
          <w:tcPr>
            <w:tcW w:type="dxa" w:w="2160"/>
          </w:tcPr>
          <w:p>
            <w:pPr/>
            <w:r/>
            <w:r>
              <w:rPr>
                <w:rFonts w:ascii="Calibri" w:hAnsi="Calibri"/>
              </w:rPr>
              <w:t>--</w:t>
            </w:r>
          </w:p>
        </w:tc>
        <w:tc>
          <w:tcPr>
            <w:tcW w:type="dxa" w:w="2160"/>
          </w:tcPr>
          <w:p>
            <w:pPr/>
            <w:r/>
            <w:r>
              <w:rPr>
                <w:rFonts w:ascii="Calibri" w:hAnsi="Calibri"/>
              </w:rPr>
              <w:t>CFTC (registered DCO); ESMA (recognised third-country CCP under EMIR); FINMA (recognised foreign CCP); ADGM FSRA (recognised remote clearing house)</w:t>
            </w:r>
          </w:p>
        </w:tc>
        <w:tc>
          <w:tcPr>
            <w:tcW w:type="dxa" w:w="2160"/>
          </w:tcPr>
          <w:p>
            <w:pPr/>
            <w:r/>
            <w:r>
              <w:rPr>
                <w:rFonts w:ascii="Calibri" w:hAnsi="Calibri"/>
              </w:rPr>
              <w:t>Federal Reserve (Title VIII SIFMU oversight)</w:t>
            </w:r>
          </w:p>
        </w:tc>
      </w:tr>
      <w:tr>
        <w:tc>
          <w:tcPr>
            <w:tcW w:type="dxa" w:w="2160"/>
          </w:tcPr>
          <w:p>
            <w:pPr/>
            <w:r/>
            <w:r>
              <w:rPr>
                <w:rFonts w:ascii="Calibri" w:hAnsi="Calibri"/>
                <w:b/>
              </w:rPr>
              <w:t>SIFMU Designation</w:t>
            </w:r>
          </w:p>
        </w:tc>
        <w:tc>
          <w:tcPr>
            <w:tcW w:type="dxa" w:w="2160"/>
          </w:tcPr>
          <w:p>
            <w:pPr/>
            <w:r/>
            <w:r>
              <w:rPr>
                <w:rFonts w:ascii="Calibri" w:hAnsi="Calibri"/>
              </w:rPr>
              <w:t>No</w:t>
            </w:r>
          </w:p>
        </w:tc>
        <w:tc>
          <w:tcPr>
            <w:tcW w:type="dxa" w:w="2160"/>
          </w:tcPr>
          <w:p>
            <w:pPr/>
            <w:r/>
            <w:r>
              <w:rPr>
                <w:rFonts w:ascii="Calibri" w:hAnsi="Calibri"/>
              </w:rPr>
              <w:t>No</w:t>
            </w:r>
          </w:p>
        </w:tc>
        <w:tc>
          <w:tcPr>
            <w:tcW w:type="dxa" w:w="2160"/>
          </w:tcPr>
          <w:p>
            <w:pPr/>
            <w:r/>
            <w:r>
              <w:rPr>
                <w:rFonts w:ascii="Calibri" w:hAnsi="Calibri"/>
              </w:rPr>
              <w:t>Yes -- designated July 18, 2012 by FSOC under Dodd-Frank Title VIII</w:t>
            </w:r>
          </w:p>
        </w:tc>
      </w:tr>
      <w:tr>
        <w:tc>
          <w:tcPr>
            <w:tcW w:type="dxa" w:w="2160"/>
          </w:tcPr>
          <w:p>
            <w:pPr/>
            <w:r/>
            <w:r>
              <w:rPr>
                <w:rFonts w:ascii="Calibri" w:hAnsi="Calibri"/>
                <w:b/>
              </w:rPr>
              <w:t>QCCP Status</w:t>
            </w:r>
          </w:p>
        </w:tc>
        <w:tc>
          <w:tcPr>
            <w:tcW w:type="dxa" w:w="2160"/>
          </w:tcPr>
          <w:p>
            <w:pPr/>
            <w:r/>
            <w:r>
              <w:rPr>
                <w:rFonts w:ascii="Calibri" w:hAnsi="Calibri"/>
              </w:rPr>
              <w:t>Yes [unverified]</w:t>
            </w:r>
          </w:p>
        </w:tc>
        <w:tc>
          <w:tcPr>
            <w:tcW w:type="dxa" w:w="2160"/>
          </w:tcPr>
          <w:p>
            <w:pPr/>
            <w:r/>
            <w:r>
              <w:rPr>
                <w:rFonts w:ascii="Calibri" w:hAnsi="Calibri"/>
              </w:rPr>
              <w:t>Yes -- recognised under UK EMIR and EU EMIR</w:t>
            </w:r>
          </w:p>
        </w:tc>
        <w:tc>
          <w:tcPr>
            <w:tcW w:type="dxa" w:w="2160"/>
          </w:tcPr>
          <w:p>
            <w:pPr/>
            <w:r/>
            <w:r>
              <w:rPr>
                <w:rFonts w:ascii="Calibri" w:hAnsi="Calibri"/>
              </w:rPr>
              <w:t>Yes -- QCCP under U.S. bank capital rules</w:t>
            </w:r>
          </w:p>
        </w:tc>
      </w:tr>
      <w:tr>
        <w:tc>
          <w:tcPr>
            <w:tcW w:type="dxa" w:w="2160"/>
          </w:tcPr>
          <w:p>
            <w:pPr/>
            <w:r/>
            <w:r>
              <w:rPr>
                <w:rFonts w:ascii="Calibri" w:hAnsi="Calibri"/>
                <w:b/>
              </w:rPr>
              <w:t>PFMI Compliance</w:t>
            </w:r>
          </w:p>
        </w:tc>
        <w:tc>
          <w:tcPr>
            <w:tcW w:type="dxa" w:w="2160"/>
          </w:tcPr>
          <w:p>
            <w:pPr/>
            <w:r/>
            <w:r>
              <w:rPr>
                <w:rFonts w:ascii="Calibri" w:hAnsi="Calibri"/>
              </w:rPr>
              <w:t>Yes -- publishes PFMI qualitative disclosure framework and quarterly CPMI-IOSCO PQD</w:t>
            </w:r>
          </w:p>
        </w:tc>
        <w:tc>
          <w:tcPr>
            <w:tcW w:type="dxa" w:w="2160"/>
          </w:tcPr>
          <w:p>
            <w:pPr/>
            <w:r/>
            <w:r>
              <w:rPr>
                <w:rFonts w:ascii="Calibri" w:hAnsi="Calibri"/>
              </w:rPr>
              <w:t>Yes -- publishes PFMI disclosure framework</w:t>
            </w:r>
          </w:p>
        </w:tc>
        <w:tc>
          <w:tcPr>
            <w:tcW w:type="dxa" w:w="2160"/>
          </w:tcPr>
          <w:p>
            <w:pPr/>
            <w:r/>
            <w:r>
              <w:rPr>
                <w:rFonts w:ascii="Calibri" w:hAnsi="Calibri"/>
              </w:rPr>
              <w:t>Yes -- publishes PFMI disclosure framework</w:t>
            </w:r>
          </w:p>
        </w:tc>
      </w:tr>
    </w:tbl>
    <w:p/>
    <w:p>
      <w:r>
        <w:rPr>
          <w:rFonts w:ascii="Calibri" w:hAnsi="Calibri"/>
          <w:color w:val="0563C1"/>
          <w:u w:val="single"/>
        </w:rPr>
        <w:t>Source: [ICE Clear U.S. Regulation</w:t>
      </w:r>
      <w:r>
        <w:rPr>
          <w:rFonts w:ascii="Calibri" w:hAnsi="Calibri"/>
        </w:rPr>
        <w:t xml:space="preserve">; </w:t>
      </w:r>
      <w:r>
        <w:rPr>
          <w:rFonts w:ascii="Calibri" w:hAnsi="Calibri"/>
          <w:color w:val="0563C1"/>
          <w:u w:val="single"/>
        </w:rPr>
        <w:t>ICE Clear Europe Regulation</w:t>
      </w:r>
      <w:r>
        <w:rPr>
          <w:rFonts w:ascii="Calibri" w:hAnsi="Calibri"/>
        </w:rPr>
        <w:t xml:space="preserve">; </w:t>
      </w:r>
      <w:r>
        <w:rPr>
          <w:rFonts w:ascii="Calibri" w:hAnsi="Calibri"/>
          <w:color w:val="0563C1"/>
          <w:u w:val="single"/>
        </w:rPr>
        <w:t>ICE Clear Credit Regulation</w:t>
      </w:r>
      <w:r>
        <w:rPr>
          <w:rFonts w:ascii="Calibri" w:hAnsi="Calibri"/>
        </w:rPr>
        <w:t xml:space="preserve">; </w:t>
      </w:r>
      <w:r>
        <w:rPr>
          <w:rFonts w:ascii="Calibri" w:hAnsi="Calibri"/>
          <w:color w:val="0563C1"/>
          <w:u w:val="single"/>
        </w:rPr>
        <w:t>Federal Reserve -- Designated FMUs</w:t>
      </w:r>
      <w:r>
        <w:rPr>
          <w:rFonts w:ascii="Calibri" w:hAnsi="Calibri"/>
        </w:rPr>
        <w:t>]</w:t>
      </w:r>
    </w:p>
    <w:p>
      <w:pPr>
        <w:pStyle w:val="Heading3"/>
      </w:pPr>
      <w:r>
        <w:rPr>
          <w:rFonts w:ascii="Calibri" w:hAnsi="Calibri"/>
        </w:rPr>
        <w:t>1.2 Key Historical Milestones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Year</w:t>
            </w:r>
          </w:p>
        </w:tc>
        <w:tc>
          <w:tcPr>
            <w:tcW w:type="dxa" w:w="4320"/>
            <w:shd w:fill="4472C4" w:val="clear"/>
          </w:tcPr>
          <w:p>
            <w:pPr/>
            <w:r>
              <w:rPr>
                <w:b/>
                <w:color w:val="FFFFFF"/>
              </w:rPr>
            </w:r>
            <w:r>
              <w:rPr>
                <w:rFonts w:ascii="Calibri" w:hAnsi="Calibri"/>
                <w:b/>
                <w:color w:val="FFFFFF"/>
              </w:rPr>
              <w:t>Event</w:t>
            </w:r>
          </w:p>
        </w:tc>
      </w:tr>
      <w:tr>
        <w:tc>
          <w:tcPr>
            <w:tcW w:type="dxa" w:w="4320"/>
          </w:tcPr>
          <w:p>
            <w:pPr/>
            <w:r/>
            <w:r>
              <w:rPr>
                <w:rFonts w:ascii="Calibri" w:hAnsi="Calibri"/>
              </w:rPr>
              <w:t>2000</w:t>
            </w:r>
          </w:p>
        </w:tc>
        <w:tc>
          <w:tcPr>
            <w:tcW w:type="dxa" w:w="4320"/>
          </w:tcPr>
          <w:p>
            <w:pPr/>
            <w:r/>
            <w:r>
              <w:rPr>
                <w:rFonts w:ascii="Calibri" w:hAnsi="Calibri"/>
              </w:rPr>
              <w:t>Intercontinental Exchange (ICE) founded by Jeffrey C. Sprecher; launched electronic OTC energy marketplace</w:t>
            </w:r>
          </w:p>
        </w:tc>
      </w:tr>
      <w:tr>
        <w:tc>
          <w:tcPr>
            <w:tcW w:type="dxa" w:w="4320"/>
          </w:tcPr>
          <w:p>
            <w:pPr/>
            <w:r/>
            <w:r>
              <w:rPr>
                <w:rFonts w:ascii="Calibri" w:hAnsi="Calibri"/>
              </w:rPr>
              <w:t>2001</w:t>
            </w:r>
          </w:p>
        </w:tc>
        <w:tc>
          <w:tcPr>
            <w:tcW w:type="dxa" w:w="4320"/>
          </w:tcPr>
          <w:p>
            <w:pPr/>
            <w:r/>
            <w:r>
              <w:rPr>
                <w:rFonts w:ascii="Calibri" w:hAnsi="Calibri"/>
              </w:rPr>
              <w:t>ICE acquired International Petroleum Exchange (IPE) in London</w:t>
            </w:r>
          </w:p>
        </w:tc>
      </w:tr>
      <w:tr>
        <w:tc>
          <w:tcPr>
            <w:tcW w:type="dxa" w:w="4320"/>
          </w:tcPr>
          <w:p>
            <w:pPr/>
            <w:r/>
            <w:r>
              <w:rPr>
                <w:rFonts w:ascii="Calibri" w:hAnsi="Calibri"/>
              </w:rPr>
              <w:t>2005</w:t>
            </w:r>
          </w:p>
        </w:tc>
        <w:tc>
          <w:tcPr>
            <w:tcW w:type="dxa" w:w="4320"/>
          </w:tcPr>
          <w:p>
            <w:pPr/>
            <w:r/>
            <w:r>
              <w:rPr>
                <w:rFonts w:ascii="Calibri" w:hAnsi="Calibri"/>
              </w:rPr>
              <w:t>ICE IPO on NYSE</w:t>
            </w:r>
          </w:p>
        </w:tc>
      </w:tr>
      <w:tr>
        <w:tc>
          <w:tcPr>
            <w:tcW w:type="dxa" w:w="4320"/>
          </w:tcPr>
          <w:p>
            <w:pPr/>
            <w:r/>
            <w:r>
              <w:rPr>
                <w:rFonts w:ascii="Calibri" w:hAnsi="Calibri"/>
              </w:rPr>
              <w:t>2007</w:t>
            </w:r>
          </w:p>
        </w:tc>
        <w:tc>
          <w:tcPr>
            <w:tcW w:type="dxa" w:w="4320"/>
          </w:tcPr>
          <w:p>
            <w:pPr/>
            <w:r/>
            <w:r>
              <w:rPr>
                <w:rFonts w:ascii="Calibri" w:hAnsi="Calibri"/>
              </w:rPr>
              <w:t>ICE acquired New York Board of Trade (NYBOT), gaining a U.S.-based clearing house; renamed ICE Futures U.S. and ICE Clear U.S.</w:t>
            </w:r>
          </w:p>
        </w:tc>
      </w:tr>
      <w:tr>
        <w:tc>
          <w:tcPr>
            <w:tcW w:type="dxa" w:w="4320"/>
          </w:tcPr>
          <w:p>
            <w:pPr/>
            <w:r/>
            <w:r>
              <w:rPr>
                <w:rFonts w:ascii="Calibri" w:hAnsi="Calibri"/>
              </w:rPr>
              <w:t>2008</w:t>
            </w:r>
          </w:p>
        </w:tc>
        <w:tc>
          <w:tcPr>
            <w:tcW w:type="dxa" w:w="4320"/>
          </w:tcPr>
          <w:p>
            <w:pPr/>
            <w:r/>
            <w:r>
              <w:rPr>
                <w:rFonts w:ascii="Calibri" w:hAnsi="Calibri"/>
              </w:rPr>
              <w:t>ICE Clear Europe launched (November), taking over clearing of ICE Futures Europe and OTC energy markets from LCH.Clearnet</w:t>
            </w:r>
          </w:p>
        </w:tc>
      </w:tr>
      <w:tr>
        <w:tc>
          <w:tcPr>
            <w:tcW w:type="dxa" w:w="4320"/>
          </w:tcPr>
          <w:p>
            <w:pPr/>
            <w:r/>
            <w:r>
              <w:rPr>
                <w:rFonts w:ascii="Calibri" w:hAnsi="Calibri"/>
              </w:rPr>
              <w:t>2009</w:t>
            </w:r>
          </w:p>
        </w:tc>
        <w:tc>
          <w:tcPr>
            <w:tcW w:type="dxa" w:w="4320"/>
          </w:tcPr>
          <w:p>
            <w:pPr/>
            <w:r/>
            <w:r>
              <w:rPr>
                <w:rFonts w:ascii="Calibri" w:hAnsi="Calibri"/>
              </w:rPr>
              <w:t>ICE Clear Credit (then ICE Trust) launched CDS clearing in March, in response to the 2008 financial crisis; became the first CCP to clear CDS</w:t>
            </w:r>
          </w:p>
        </w:tc>
      </w:tr>
      <w:tr>
        <w:tc>
          <w:tcPr>
            <w:tcW w:type="dxa" w:w="4320"/>
          </w:tcPr>
          <w:p>
            <w:pPr/>
            <w:r/>
            <w:r>
              <w:rPr>
                <w:rFonts w:ascii="Calibri" w:hAnsi="Calibri"/>
              </w:rPr>
              <w:t>2010</w:t>
            </w:r>
          </w:p>
        </w:tc>
        <w:tc>
          <w:tcPr>
            <w:tcW w:type="dxa" w:w="4320"/>
          </w:tcPr>
          <w:p>
            <w:pPr/>
            <w:r/>
            <w:r>
              <w:rPr>
                <w:rFonts w:ascii="Calibri" w:hAnsi="Calibri"/>
              </w:rPr>
              <w:t>ICE Clear Europe began clearing European CDS</w:t>
            </w:r>
          </w:p>
        </w:tc>
      </w:tr>
      <w:tr>
        <w:tc>
          <w:tcPr>
            <w:tcW w:type="dxa" w:w="4320"/>
          </w:tcPr>
          <w:p>
            <w:pPr/>
            <w:r/>
            <w:r>
              <w:rPr>
                <w:rFonts w:ascii="Calibri" w:hAnsi="Calibri"/>
              </w:rPr>
              <w:t>2012</w:t>
            </w:r>
          </w:p>
        </w:tc>
        <w:tc>
          <w:tcPr>
            <w:tcW w:type="dxa" w:w="4320"/>
          </w:tcPr>
          <w:p>
            <w:pPr/>
            <w:r/>
            <w:r>
              <w:rPr>
                <w:rFonts w:ascii="Calibri" w:hAnsi="Calibri"/>
              </w:rPr>
              <w:t>ICE Clear Credit designated as SIFMU by FSOC (July 18)</w:t>
            </w:r>
          </w:p>
        </w:tc>
      </w:tr>
      <w:tr>
        <w:tc>
          <w:tcPr>
            <w:tcW w:type="dxa" w:w="4320"/>
          </w:tcPr>
          <w:p>
            <w:pPr/>
            <w:r/>
            <w:r>
              <w:rPr>
                <w:rFonts w:ascii="Calibri" w:hAnsi="Calibri"/>
              </w:rPr>
              <w:t>2013</w:t>
            </w:r>
          </w:p>
        </w:tc>
        <w:tc>
          <w:tcPr>
            <w:tcW w:type="dxa" w:w="4320"/>
          </w:tcPr>
          <w:p>
            <w:pPr/>
            <w:r/>
            <w:r>
              <w:rPr>
                <w:rFonts w:ascii="Calibri" w:hAnsi="Calibri"/>
              </w:rPr>
              <w:t>ICE acquired NYSE Euronext, becoming one of the world's largest exchange groups</w:t>
            </w:r>
          </w:p>
        </w:tc>
      </w:tr>
      <w:tr>
        <w:tc>
          <w:tcPr>
            <w:tcW w:type="dxa" w:w="4320"/>
          </w:tcPr>
          <w:p>
            <w:pPr/>
            <w:r/>
            <w:r>
              <w:rPr>
                <w:rFonts w:ascii="Calibri" w:hAnsi="Calibri"/>
              </w:rPr>
              <w:t>2014</w:t>
            </w:r>
          </w:p>
        </w:tc>
        <w:tc>
          <w:tcPr>
            <w:tcW w:type="dxa" w:w="4320"/>
          </w:tcPr>
          <w:p>
            <w:pPr/>
            <w:r/>
            <w:r>
              <w:rPr>
                <w:rFonts w:ascii="Calibri" w:hAnsi="Calibri"/>
              </w:rPr>
              <w:t>ICE Clear Europe received authorisation as CCP under EMIR Article 14</w:t>
            </w:r>
          </w:p>
        </w:tc>
      </w:tr>
      <w:tr>
        <w:tc>
          <w:tcPr>
            <w:tcW w:type="dxa" w:w="4320"/>
          </w:tcPr>
          <w:p>
            <w:pPr/>
            <w:r/>
            <w:r>
              <w:rPr>
                <w:rFonts w:ascii="Calibri" w:hAnsi="Calibri"/>
              </w:rPr>
              <w:t>2016</w:t>
            </w:r>
          </w:p>
        </w:tc>
        <w:tc>
          <w:tcPr>
            <w:tcW w:type="dxa" w:w="4320"/>
          </w:tcPr>
          <w:p>
            <w:pPr/>
            <w:r/>
            <w:r>
              <w:rPr>
                <w:rFonts w:ascii="Calibri" w:hAnsi="Calibri"/>
              </w:rPr>
              <w:t>ICE Clear Europe authorised as CCP under EMIR (September 19)</w:t>
            </w:r>
          </w:p>
        </w:tc>
      </w:tr>
      <w:tr>
        <w:tc>
          <w:tcPr>
            <w:tcW w:type="dxa" w:w="4320"/>
          </w:tcPr>
          <w:p>
            <w:pPr/>
            <w:r/>
            <w:r>
              <w:rPr>
                <w:rFonts w:ascii="Calibri" w:hAnsi="Calibri"/>
              </w:rPr>
              <w:t>2019</w:t>
            </w:r>
          </w:p>
        </w:tc>
        <w:tc>
          <w:tcPr>
            <w:tcW w:type="dxa" w:w="4320"/>
          </w:tcPr>
          <w:p>
            <w:pPr/>
            <w:r/>
            <w:r>
              <w:rPr>
                <w:rFonts w:ascii="Calibri" w:hAnsi="Calibri"/>
              </w:rPr>
              <w:t>ICE added default insurance layer to its clearing house default waterfalls</w:t>
            </w:r>
          </w:p>
        </w:tc>
      </w:tr>
      <w:tr>
        <w:tc>
          <w:tcPr>
            <w:tcW w:type="dxa" w:w="4320"/>
          </w:tcPr>
          <w:p>
            <w:pPr/>
            <w:r/>
            <w:r>
              <w:rPr>
                <w:rFonts w:ascii="Calibri" w:hAnsi="Calibri"/>
              </w:rPr>
              <w:t>2021</w:t>
            </w:r>
          </w:p>
        </w:tc>
        <w:tc>
          <w:tcPr>
            <w:tcW w:type="dxa" w:w="4320"/>
          </w:tcPr>
          <w:p>
            <w:pPr/>
            <w:r/>
            <w:r>
              <w:rPr>
                <w:rFonts w:ascii="Calibri" w:hAnsi="Calibri"/>
              </w:rPr>
              <w:t>ICE announced planned launch of Phase One of ICE Risk Model 2.0 (IRM 2), a VaR-based portfolio margining methodology</w:t>
            </w:r>
          </w:p>
        </w:tc>
      </w:tr>
      <w:tr>
        <w:tc>
          <w:tcPr>
            <w:tcW w:type="dxa" w:w="4320"/>
          </w:tcPr>
          <w:p>
            <w:pPr/>
            <w:r/>
            <w:r>
              <w:rPr>
                <w:rFonts w:ascii="Calibri" w:hAnsi="Calibri"/>
              </w:rPr>
              <w:t>2022</w:t>
            </w:r>
          </w:p>
        </w:tc>
        <w:tc>
          <w:tcPr>
            <w:tcW w:type="dxa" w:w="4320"/>
          </w:tcPr>
          <w:p>
            <w:pPr/>
            <w:r/>
            <w:r>
              <w:rPr>
                <w:rFonts w:ascii="Calibri" w:hAnsi="Calibri"/>
              </w:rPr>
              <w:t>IRM 2 went live for ICE Equity Index Futures cleared at ICE Clear U.S. (January 24)</w:t>
            </w:r>
          </w:p>
        </w:tc>
      </w:tr>
      <w:tr>
        <w:tc>
          <w:tcPr>
            <w:tcW w:type="dxa" w:w="4320"/>
          </w:tcPr>
          <w:p>
            <w:pPr/>
            <w:r/>
            <w:r>
              <w:rPr>
                <w:rFonts w:ascii="Calibri" w:hAnsi="Calibri"/>
              </w:rPr>
              <w:t>2025</w:t>
            </w:r>
          </w:p>
        </w:tc>
        <w:tc>
          <w:tcPr>
            <w:tcW w:type="dxa" w:w="4320"/>
          </w:tcPr>
          <w:p>
            <w:pPr/>
            <w:r/>
            <w:r>
              <w:rPr>
                <w:rFonts w:ascii="Calibri" w:hAnsi="Calibri"/>
              </w:rPr>
              <w:t>IRM 2 rolled out to ICE Clear Europe freight products (September) and further energy products (November); ICE Clear Credit filed U.S. Treasury clearing application with SEC (August); default insurance renewed for three-year term commencing September 17</w:t>
            </w:r>
          </w:p>
        </w:tc>
      </w:tr>
      <w:tr>
        <w:tc>
          <w:tcPr>
            <w:tcW w:type="dxa" w:w="4320"/>
          </w:tcPr>
          <w:p>
            <w:pPr/>
            <w:r/>
            <w:r>
              <w:rPr>
                <w:rFonts w:ascii="Calibri" w:hAnsi="Calibri"/>
              </w:rPr>
              <w:t>2026</w:t>
            </w:r>
          </w:p>
        </w:tc>
        <w:tc>
          <w:tcPr>
            <w:tcW w:type="dxa" w:w="4320"/>
          </w:tcPr>
          <w:p>
            <w:pPr/>
            <w:r/>
            <w:r>
              <w:rPr>
                <w:rFonts w:ascii="Calibri" w:hAnsi="Calibri"/>
              </w:rPr>
              <w:t>ICE Clear Credit received SEC approval for U.S. Treasury clearing and became operationally live -- the first alternative venue for clearing U.S. Treasury securities (February)</w:t>
            </w:r>
          </w:p>
        </w:tc>
      </w:tr>
    </w:tbl>
    <w:p/>
    <w:p>
      <w:r>
        <w:rPr>
          <w:rFonts w:ascii="Calibri" w:hAnsi="Calibri"/>
          <w:color w:val="0563C1"/>
          <w:u w:val="single"/>
        </w:rPr>
        <w:t>Source: [ICE History</w:t>
      </w:r>
      <w:r>
        <w:rPr>
          <w:rFonts w:ascii="Calibri" w:hAnsi="Calibri"/>
        </w:rPr>
        <w:t xml:space="preserve">; </w:t>
      </w:r>
      <w:r>
        <w:rPr>
          <w:rFonts w:ascii="Calibri" w:hAnsi="Calibri"/>
          <w:color w:val="0563C1"/>
          <w:u w:val="single"/>
        </w:rPr>
        <w:t>Wikipedia -- Intercontinental Exchange</w:t>
      </w:r>
      <w:r>
        <w:rPr>
          <w:rFonts w:ascii="Calibri" w:hAnsi="Calibri"/>
        </w:rPr>
        <w:t xml:space="preserve">; </w:t>
      </w:r>
      <w:r>
        <w:rPr>
          <w:rFonts w:ascii="Calibri" w:hAnsi="Calibri"/>
          <w:color w:val="0563C1"/>
          <w:u w:val="single"/>
        </w:rPr>
        <w:t>ICE Clear Europe -- MarketsWiki</w:t>
      </w:r>
      <w:r>
        <w:rPr>
          <w:rFonts w:ascii="Calibri" w:hAnsi="Calibri"/>
        </w:rPr>
        <w:t xml:space="preserve">; </w:t>
      </w:r>
      <w:r>
        <w:rPr>
          <w:rFonts w:ascii="Calibri" w:hAnsi="Calibri"/>
          <w:color w:val="0563C1"/>
          <w:u w:val="single"/>
        </w:rPr>
        <w:t>ICE Press Release, February 2026</w:t>
      </w:r>
      <w:r>
        <w:rPr>
          <w:rFonts w:ascii="Calibri" w:hAnsi="Calibri"/>
        </w:rPr>
        <w:t>]</w:t>
      </w:r>
    </w:p>
    <w:p>
      <w:pPr>
        <w:pBdr>
          <w:bottom w:val="single" w:sz="4" w:space="1" w:color="auto"/>
        </w:pBdr>
      </w:pPr>
    </w:p>
    <w:p>
      <w:pPr>
        <w:pStyle w:val="Heading2"/>
      </w:pPr>
      <w:r>
        <w:rPr>
          <w:rFonts w:ascii="Calibri" w:hAnsi="Calibri"/>
        </w:rPr>
        <w:t>2. Clearing Model</w:t>
      </w:r>
    </w:p>
    <w:p>
      <w:pPr>
        <w:pStyle w:val="Heading3"/>
      </w:pPr>
      <w:r>
        <w:rPr>
          <w:rFonts w:ascii="Calibri" w:hAnsi="Calibri"/>
        </w:rPr>
        <w:t>2.1 CCP Services</w:t>
      </w:r>
    </w:p>
    <w:p>
      <w:r>
        <w:rPr>
          <w:rFonts w:ascii="Calibri" w:hAnsi="Calibri"/>
        </w:rPr>
        <w:t>ICE's clearing houses collectively cover a wide range of asset classes, with particular strength in energy, commodities, and CDS clearing.</w:t>
      </w:r>
    </w:p>
    <w:p>
      <w:r>
        <w:rPr>
          <w:rFonts w:ascii="Calibri" w:hAnsi="Calibri"/>
          <w:b/>
        </w:rPr>
        <w:t>ICE Clear U.S.: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Product Category</w:t>
            </w:r>
          </w:p>
        </w:tc>
        <w:tc>
          <w:tcPr>
            <w:tcW w:type="dxa" w:w="2880"/>
            <w:shd w:fill="4472C4" w:val="clear"/>
          </w:tcPr>
          <w:p>
            <w:pPr/>
            <w:r>
              <w:rPr>
                <w:b/>
                <w:color w:val="FFFFFF"/>
              </w:rPr>
            </w:r>
            <w:r>
              <w:rPr>
                <w:rFonts w:ascii="Calibri" w:hAnsi="Calibri"/>
                <w:b/>
                <w:color w:val="FFFFFF"/>
              </w:rPr>
              <w:t>Exchange / Platform</w:t>
            </w:r>
          </w:p>
        </w:tc>
        <w:tc>
          <w:tcPr>
            <w:tcW w:type="dxa" w:w="2880"/>
            <w:shd w:fill="4472C4" w:val="clear"/>
          </w:tcPr>
          <w:p>
            <w:pPr/>
            <w:r>
              <w:rPr>
                <w:b/>
                <w:color w:val="FFFFFF"/>
              </w:rPr>
            </w:r>
            <w:r>
              <w:rPr>
                <w:rFonts w:ascii="Calibri" w:hAnsi="Calibri"/>
                <w:b/>
                <w:color w:val="FFFFFF"/>
              </w:rPr>
              <w:t>Examples</w:t>
            </w:r>
          </w:p>
        </w:tc>
      </w:tr>
      <w:tr>
        <w:tc>
          <w:tcPr>
            <w:tcW w:type="dxa" w:w="2880"/>
          </w:tcPr>
          <w:p>
            <w:pPr/>
            <w:r/>
            <w:r>
              <w:rPr>
                <w:rFonts w:ascii="Calibri" w:hAnsi="Calibri"/>
              </w:rPr>
              <w:t>Agricultural / Soft Commodities</w:t>
            </w:r>
          </w:p>
        </w:tc>
        <w:tc>
          <w:tcPr>
            <w:tcW w:type="dxa" w:w="2880"/>
          </w:tcPr>
          <w:p>
            <w:pPr/>
            <w:r/>
            <w:r>
              <w:rPr>
                <w:rFonts w:ascii="Calibri" w:hAnsi="Calibri"/>
              </w:rPr>
              <w:t>ICE Futures U.S.</w:t>
            </w:r>
          </w:p>
        </w:tc>
        <w:tc>
          <w:tcPr>
            <w:tcW w:type="dxa" w:w="2880"/>
          </w:tcPr>
          <w:p>
            <w:pPr/>
            <w:r/>
            <w:r>
              <w:rPr>
                <w:rFonts w:ascii="Calibri" w:hAnsi="Calibri"/>
              </w:rPr>
              <w:t>Coffee (Arabica &amp; Robusta), Sugar No. 11, Cocoa, Cotton No. 2, FCOJ</w:t>
            </w:r>
          </w:p>
        </w:tc>
      </w:tr>
      <w:tr>
        <w:tc>
          <w:tcPr>
            <w:tcW w:type="dxa" w:w="2880"/>
          </w:tcPr>
          <w:p>
            <w:pPr/>
            <w:r/>
            <w:r>
              <w:rPr>
                <w:rFonts w:ascii="Calibri" w:hAnsi="Calibri"/>
              </w:rPr>
              <w:t>Energy</w:t>
            </w:r>
          </w:p>
        </w:tc>
        <w:tc>
          <w:tcPr>
            <w:tcW w:type="dxa" w:w="2880"/>
          </w:tcPr>
          <w:p>
            <w:pPr/>
            <w:r/>
            <w:r>
              <w:rPr>
                <w:rFonts w:ascii="Calibri" w:hAnsi="Calibri"/>
              </w:rPr>
              <w:t>ICE Futures U.S.</w:t>
            </w:r>
          </w:p>
        </w:tc>
        <w:tc>
          <w:tcPr>
            <w:tcW w:type="dxa" w:w="2880"/>
          </w:tcPr>
          <w:p>
            <w:pPr/>
            <w:r/>
            <w:r>
              <w:rPr>
                <w:rFonts w:ascii="Calibri" w:hAnsi="Calibri"/>
              </w:rPr>
              <w:t>ERCOT Power, PJM Power</w:t>
            </w:r>
          </w:p>
        </w:tc>
      </w:tr>
      <w:tr>
        <w:tc>
          <w:tcPr>
            <w:tcW w:type="dxa" w:w="2880"/>
          </w:tcPr>
          <w:p>
            <w:pPr/>
            <w:r/>
            <w:r>
              <w:rPr>
                <w:rFonts w:ascii="Calibri" w:hAnsi="Calibri"/>
              </w:rPr>
              <w:t>Equity Derivatives</w:t>
            </w:r>
          </w:p>
        </w:tc>
        <w:tc>
          <w:tcPr>
            <w:tcW w:type="dxa" w:w="2880"/>
          </w:tcPr>
          <w:p>
            <w:pPr/>
            <w:r/>
            <w:r>
              <w:rPr>
                <w:rFonts w:ascii="Calibri" w:hAnsi="Calibri"/>
              </w:rPr>
              <w:t>ICE Futures U.S.</w:t>
            </w:r>
          </w:p>
        </w:tc>
        <w:tc>
          <w:tcPr>
            <w:tcW w:type="dxa" w:w="2880"/>
          </w:tcPr>
          <w:p>
            <w:pPr/>
            <w:r/>
            <w:r>
              <w:rPr>
                <w:rFonts w:ascii="Calibri" w:hAnsi="Calibri"/>
              </w:rPr>
              <w:t>MSCI Index futures &amp; options, NYSE FANG+ Index</w:t>
            </w:r>
          </w:p>
        </w:tc>
      </w:tr>
      <w:tr>
        <w:tc>
          <w:tcPr>
            <w:tcW w:type="dxa" w:w="2880"/>
          </w:tcPr>
          <w:p>
            <w:pPr/>
            <w:r/>
            <w:r>
              <w:rPr>
                <w:rFonts w:ascii="Calibri" w:hAnsi="Calibri"/>
              </w:rPr>
              <w:t>Metals</w:t>
            </w:r>
          </w:p>
        </w:tc>
        <w:tc>
          <w:tcPr>
            <w:tcW w:type="dxa" w:w="2880"/>
          </w:tcPr>
          <w:p>
            <w:pPr/>
            <w:r/>
            <w:r>
              <w:rPr>
                <w:rFonts w:ascii="Calibri" w:hAnsi="Calibri"/>
              </w:rPr>
              <w:t>ICE Futures U.S.</w:t>
            </w:r>
          </w:p>
        </w:tc>
        <w:tc>
          <w:tcPr>
            <w:tcW w:type="dxa" w:w="2880"/>
          </w:tcPr>
          <w:p>
            <w:pPr/>
            <w:r/>
            <w:r>
              <w:rPr>
                <w:rFonts w:ascii="Calibri" w:hAnsi="Calibri"/>
              </w:rPr>
              <w:t>Gold, Silver (mini contracts)</w:t>
            </w:r>
          </w:p>
        </w:tc>
      </w:tr>
      <w:tr>
        <w:tc>
          <w:tcPr>
            <w:tcW w:type="dxa" w:w="2880"/>
          </w:tcPr>
          <w:p>
            <w:pPr/>
            <w:r/>
            <w:r>
              <w:rPr>
                <w:rFonts w:ascii="Calibri" w:hAnsi="Calibri"/>
              </w:rPr>
              <w:t>FX</w:t>
            </w:r>
          </w:p>
        </w:tc>
        <w:tc>
          <w:tcPr>
            <w:tcW w:type="dxa" w:w="2880"/>
          </w:tcPr>
          <w:p>
            <w:pPr/>
            <w:r/>
            <w:r>
              <w:rPr>
                <w:rFonts w:ascii="Calibri" w:hAnsi="Calibri"/>
              </w:rPr>
              <w:t>ICE Futures U.S.</w:t>
            </w:r>
          </w:p>
        </w:tc>
        <w:tc>
          <w:tcPr>
            <w:tcW w:type="dxa" w:w="2880"/>
          </w:tcPr>
          <w:p>
            <w:pPr/>
            <w:r/>
            <w:r>
              <w:rPr>
                <w:rFonts w:ascii="Calibri" w:hAnsi="Calibri"/>
              </w:rPr>
              <w:t>USD Index (USDX) futures &amp; options</w:t>
            </w:r>
          </w:p>
        </w:tc>
      </w:tr>
      <w:tr>
        <w:tc>
          <w:tcPr>
            <w:tcW w:type="dxa" w:w="2880"/>
          </w:tcPr>
          <w:p>
            <w:pPr/>
            <w:r/>
            <w:r>
              <w:rPr>
                <w:rFonts w:ascii="Calibri" w:hAnsi="Calibri"/>
              </w:rPr>
              <w:t>Credit Futures</w:t>
            </w:r>
          </w:p>
        </w:tc>
        <w:tc>
          <w:tcPr>
            <w:tcW w:type="dxa" w:w="2880"/>
          </w:tcPr>
          <w:p>
            <w:pPr/>
            <w:r/>
            <w:r>
              <w:rPr>
                <w:rFonts w:ascii="Calibri" w:hAnsi="Calibri"/>
              </w:rPr>
              <w:t>ICE Futures U.S.</w:t>
            </w:r>
          </w:p>
        </w:tc>
        <w:tc>
          <w:tcPr>
            <w:tcW w:type="dxa" w:w="2880"/>
          </w:tcPr>
          <w:p>
            <w:pPr/>
            <w:r/>
            <w:r>
              <w:rPr>
                <w:rFonts w:ascii="Calibri" w:hAnsi="Calibri"/>
              </w:rPr>
              <w:t>Credit default futures</w:t>
            </w:r>
          </w:p>
        </w:tc>
      </w:tr>
    </w:tbl>
    <w:p/>
    <w:p>
      <w:r>
        <w:rPr>
          <w:rFonts w:ascii="Calibri" w:hAnsi="Calibri"/>
          <w:b/>
        </w:rPr>
        <w:t>ICE Clear Europe: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Product Category</w:t>
            </w:r>
          </w:p>
        </w:tc>
        <w:tc>
          <w:tcPr>
            <w:tcW w:type="dxa" w:w="2880"/>
            <w:shd w:fill="4472C4" w:val="clear"/>
          </w:tcPr>
          <w:p>
            <w:pPr/>
            <w:r>
              <w:rPr>
                <w:b/>
                <w:color w:val="FFFFFF"/>
              </w:rPr>
            </w:r>
            <w:r>
              <w:rPr>
                <w:rFonts w:ascii="Calibri" w:hAnsi="Calibri"/>
                <w:b/>
                <w:color w:val="FFFFFF"/>
              </w:rPr>
              <w:t>Exchange / Platform</w:t>
            </w:r>
          </w:p>
        </w:tc>
        <w:tc>
          <w:tcPr>
            <w:tcW w:type="dxa" w:w="2880"/>
            <w:shd w:fill="4472C4" w:val="clear"/>
          </w:tcPr>
          <w:p>
            <w:pPr/>
            <w:r>
              <w:rPr>
                <w:b/>
                <w:color w:val="FFFFFF"/>
              </w:rPr>
            </w:r>
            <w:r>
              <w:rPr>
                <w:rFonts w:ascii="Calibri" w:hAnsi="Calibri"/>
                <w:b/>
                <w:color w:val="FFFFFF"/>
              </w:rPr>
              <w:t>Examples</w:t>
            </w:r>
          </w:p>
        </w:tc>
      </w:tr>
      <w:tr>
        <w:tc>
          <w:tcPr>
            <w:tcW w:type="dxa" w:w="2880"/>
          </w:tcPr>
          <w:p>
            <w:pPr/>
            <w:r/>
            <w:r>
              <w:rPr>
                <w:rFonts w:ascii="Calibri" w:hAnsi="Calibri"/>
              </w:rPr>
              <w:t>Energy Derivatives</w:t>
            </w:r>
          </w:p>
        </w:tc>
        <w:tc>
          <w:tcPr>
            <w:tcW w:type="dxa" w:w="2880"/>
          </w:tcPr>
          <w:p>
            <w:pPr/>
            <w:r/>
            <w:r>
              <w:rPr>
                <w:rFonts w:ascii="Calibri" w:hAnsi="Calibri"/>
              </w:rPr>
              <w:t>ICE Futures Europe, ICE Endex</w:t>
            </w:r>
          </w:p>
        </w:tc>
        <w:tc>
          <w:tcPr>
            <w:tcW w:type="dxa" w:w="2880"/>
          </w:tcPr>
          <w:p>
            <w:pPr/>
            <w:r/>
            <w:r>
              <w:rPr>
                <w:rFonts w:ascii="Calibri" w:hAnsi="Calibri"/>
              </w:rPr>
              <w:t>Brent Crude Oil, Gasoil, UK Natural Gas (NBP), Dutch TTF Natural Gas, European Power, Emissions (EUA, CER)</w:t>
            </w:r>
          </w:p>
        </w:tc>
      </w:tr>
      <w:tr>
        <w:tc>
          <w:tcPr>
            <w:tcW w:type="dxa" w:w="2880"/>
          </w:tcPr>
          <w:p>
            <w:pPr/>
            <w:r/>
            <w:r>
              <w:rPr>
                <w:rFonts w:ascii="Calibri" w:hAnsi="Calibri"/>
              </w:rPr>
              <w:t>Agricultural / Soft Commodities</w:t>
            </w:r>
          </w:p>
        </w:tc>
        <w:tc>
          <w:tcPr>
            <w:tcW w:type="dxa" w:w="2880"/>
          </w:tcPr>
          <w:p>
            <w:pPr/>
            <w:r/>
            <w:r>
              <w:rPr>
                <w:rFonts w:ascii="Calibri" w:hAnsi="Calibri"/>
              </w:rPr>
              <w:t>ICE Futures Europe</w:t>
            </w:r>
          </w:p>
        </w:tc>
        <w:tc>
          <w:tcPr>
            <w:tcW w:type="dxa" w:w="2880"/>
          </w:tcPr>
          <w:p>
            <w:pPr/>
            <w:r/>
            <w:r>
              <w:rPr>
                <w:rFonts w:ascii="Calibri" w:hAnsi="Calibri"/>
              </w:rPr>
              <w:t>Robusta Coffee, White Sugar, Cocoa (London)</w:t>
            </w:r>
          </w:p>
        </w:tc>
      </w:tr>
      <w:tr>
        <w:tc>
          <w:tcPr>
            <w:tcW w:type="dxa" w:w="2880"/>
          </w:tcPr>
          <w:p>
            <w:pPr/>
            <w:r/>
            <w:r>
              <w:rPr>
                <w:rFonts w:ascii="Calibri" w:hAnsi="Calibri"/>
              </w:rPr>
              <w:t>Interest Rate Derivatives</w:t>
            </w:r>
          </w:p>
        </w:tc>
        <w:tc>
          <w:tcPr>
            <w:tcW w:type="dxa" w:w="2880"/>
          </w:tcPr>
          <w:p>
            <w:pPr/>
            <w:r/>
            <w:r>
              <w:rPr>
                <w:rFonts w:ascii="Calibri" w:hAnsi="Calibri"/>
              </w:rPr>
              <w:t>ICE Futures Europe</w:t>
            </w:r>
          </w:p>
        </w:tc>
        <w:tc>
          <w:tcPr>
            <w:tcW w:type="dxa" w:w="2880"/>
          </w:tcPr>
          <w:p>
            <w:pPr/>
            <w:r/>
            <w:r>
              <w:rPr>
                <w:rFonts w:ascii="Calibri" w:hAnsi="Calibri"/>
              </w:rPr>
              <w:t>SONIA, Euribor futures &amp; options</w:t>
            </w:r>
          </w:p>
        </w:tc>
      </w:tr>
      <w:tr>
        <w:tc>
          <w:tcPr>
            <w:tcW w:type="dxa" w:w="2880"/>
          </w:tcPr>
          <w:p>
            <w:pPr/>
            <w:r/>
            <w:r>
              <w:rPr>
                <w:rFonts w:ascii="Calibri" w:hAnsi="Calibri"/>
              </w:rPr>
              <w:t>Equity Index Derivatives</w:t>
            </w:r>
          </w:p>
        </w:tc>
        <w:tc>
          <w:tcPr>
            <w:tcW w:type="dxa" w:w="2880"/>
          </w:tcPr>
          <w:p>
            <w:pPr/>
            <w:r/>
            <w:r>
              <w:rPr>
                <w:rFonts w:ascii="Calibri" w:hAnsi="Calibri"/>
              </w:rPr>
              <w:t>ICE Futures Europe</w:t>
            </w:r>
          </w:p>
        </w:tc>
        <w:tc>
          <w:tcPr>
            <w:tcW w:type="dxa" w:w="2880"/>
          </w:tcPr>
          <w:p>
            <w:pPr/>
            <w:r/>
            <w:r>
              <w:rPr>
                <w:rFonts w:ascii="Calibri" w:hAnsi="Calibri"/>
              </w:rPr>
              <w:t>FTSE 100, MSCI World index futures &amp; options</w:t>
            </w:r>
          </w:p>
        </w:tc>
      </w:tr>
      <w:tr>
        <w:tc>
          <w:tcPr>
            <w:tcW w:type="dxa" w:w="2880"/>
          </w:tcPr>
          <w:p>
            <w:pPr/>
            <w:r/>
            <w:r>
              <w:rPr>
                <w:rFonts w:ascii="Calibri" w:hAnsi="Calibri"/>
              </w:rPr>
              <w:t>Freight Derivatives</w:t>
            </w:r>
          </w:p>
        </w:tc>
        <w:tc>
          <w:tcPr>
            <w:tcW w:type="dxa" w:w="2880"/>
          </w:tcPr>
          <w:p>
            <w:pPr/>
            <w:r/>
            <w:r>
              <w:rPr>
                <w:rFonts w:ascii="Calibri" w:hAnsi="Calibri"/>
              </w:rPr>
              <w:t>ICE Futures Europe</w:t>
            </w:r>
          </w:p>
        </w:tc>
        <w:tc>
          <w:tcPr>
            <w:tcW w:type="dxa" w:w="2880"/>
          </w:tcPr>
          <w:p>
            <w:pPr/>
            <w:r/>
            <w:r>
              <w:rPr>
                <w:rFonts w:ascii="Calibri" w:hAnsi="Calibri"/>
              </w:rPr>
              <w:t>Freight futures (dry bulk, tanker)</w:t>
            </w:r>
          </w:p>
        </w:tc>
      </w:tr>
      <w:tr>
        <w:tc>
          <w:tcPr>
            <w:tcW w:type="dxa" w:w="2880"/>
          </w:tcPr>
          <w:p>
            <w:pPr/>
            <w:r/>
            <w:r>
              <w:rPr>
                <w:rFonts w:ascii="Calibri" w:hAnsi="Calibri"/>
              </w:rPr>
              <w:t>OTC Energy</w:t>
            </w:r>
          </w:p>
        </w:tc>
        <w:tc>
          <w:tcPr>
            <w:tcW w:type="dxa" w:w="2880"/>
          </w:tcPr>
          <w:p>
            <w:pPr/>
            <w:r/>
            <w:r>
              <w:rPr>
                <w:rFonts w:ascii="Calibri" w:hAnsi="Calibri"/>
              </w:rPr>
              <w:t>ICE OTC platform</w:t>
            </w:r>
          </w:p>
        </w:tc>
        <w:tc>
          <w:tcPr>
            <w:tcW w:type="dxa" w:w="2880"/>
          </w:tcPr>
          <w:p>
            <w:pPr/>
            <w:r/>
            <w:r>
              <w:rPr>
                <w:rFonts w:ascii="Calibri" w:hAnsi="Calibri"/>
              </w:rPr>
              <w:t>OTC energy swaps and options</w:t>
            </w:r>
          </w:p>
        </w:tc>
      </w:tr>
    </w:tbl>
    <w:p/>
    <w:p>
      <w:r>
        <w:rPr>
          <w:rFonts w:ascii="Calibri" w:hAnsi="Calibri"/>
          <w:b/>
        </w:rPr>
        <w:t>ICE Clear Credit:</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Product Category</w:t>
            </w:r>
          </w:p>
        </w:tc>
        <w:tc>
          <w:tcPr>
            <w:tcW w:type="dxa" w:w="2880"/>
            <w:shd w:fill="4472C4" w:val="clear"/>
          </w:tcPr>
          <w:p>
            <w:pPr/>
            <w:r>
              <w:rPr>
                <w:b/>
                <w:color w:val="FFFFFF"/>
              </w:rPr>
            </w:r>
            <w:r>
              <w:rPr>
                <w:rFonts w:ascii="Calibri" w:hAnsi="Calibri"/>
                <w:b/>
                <w:color w:val="FFFFFF"/>
              </w:rPr>
              <w:t>Platform</w:t>
            </w:r>
          </w:p>
        </w:tc>
        <w:tc>
          <w:tcPr>
            <w:tcW w:type="dxa" w:w="2880"/>
            <w:shd w:fill="4472C4" w:val="clear"/>
          </w:tcPr>
          <w:p>
            <w:pPr/>
            <w:r>
              <w:rPr>
                <w:b/>
                <w:color w:val="FFFFFF"/>
              </w:rPr>
            </w:r>
            <w:r>
              <w:rPr>
                <w:rFonts w:ascii="Calibri" w:hAnsi="Calibri"/>
                <w:b/>
                <w:color w:val="FFFFFF"/>
              </w:rPr>
              <w:t>Examples</w:t>
            </w:r>
          </w:p>
        </w:tc>
      </w:tr>
      <w:tr>
        <w:tc>
          <w:tcPr>
            <w:tcW w:type="dxa" w:w="2880"/>
          </w:tcPr>
          <w:p>
            <w:pPr/>
            <w:r/>
            <w:r>
              <w:rPr>
                <w:rFonts w:ascii="Calibri" w:hAnsi="Calibri"/>
              </w:rPr>
              <w:t>North American CDS Indices</w:t>
            </w:r>
          </w:p>
        </w:tc>
        <w:tc>
          <w:tcPr>
            <w:tcW w:type="dxa" w:w="2880"/>
          </w:tcPr>
          <w:p>
            <w:pPr/>
            <w:r/>
            <w:r>
              <w:rPr>
                <w:rFonts w:ascii="Calibri" w:hAnsi="Calibri"/>
              </w:rPr>
              <w:t>ICE OTC</w:t>
            </w:r>
          </w:p>
        </w:tc>
        <w:tc>
          <w:tcPr>
            <w:tcW w:type="dxa" w:w="2880"/>
          </w:tcPr>
          <w:p>
            <w:pPr/>
            <w:r/>
            <w:r>
              <w:rPr>
                <w:rFonts w:ascii="Calibri" w:hAnsi="Calibri"/>
              </w:rPr>
              <w:t>CDX.NA.IG, CDX.NA.HY</w:t>
            </w:r>
          </w:p>
        </w:tc>
      </w:tr>
      <w:tr>
        <w:tc>
          <w:tcPr>
            <w:tcW w:type="dxa" w:w="2880"/>
          </w:tcPr>
          <w:p>
            <w:pPr/>
            <w:r/>
            <w:r>
              <w:rPr>
                <w:rFonts w:ascii="Calibri" w:hAnsi="Calibri"/>
              </w:rPr>
              <w:t>North American Single Names</w:t>
            </w:r>
          </w:p>
        </w:tc>
        <w:tc>
          <w:tcPr>
            <w:tcW w:type="dxa" w:w="2880"/>
          </w:tcPr>
          <w:p>
            <w:pPr/>
            <w:r/>
            <w:r>
              <w:rPr>
                <w:rFonts w:ascii="Calibri" w:hAnsi="Calibri"/>
              </w:rPr>
              <w:t>ICE OTC</w:t>
            </w:r>
          </w:p>
        </w:tc>
        <w:tc>
          <w:tcPr>
            <w:tcW w:type="dxa" w:w="2880"/>
          </w:tcPr>
          <w:p>
            <w:pPr/>
            <w:r/>
            <w:r>
              <w:rPr>
                <w:rFonts w:ascii="Calibri" w:hAnsi="Calibri"/>
              </w:rPr>
              <w:t>Corporate single-name CDS</w:t>
            </w:r>
          </w:p>
        </w:tc>
      </w:tr>
      <w:tr>
        <w:tc>
          <w:tcPr>
            <w:tcW w:type="dxa" w:w="2880"/>
          </w:tcPr>
          <w:p>
            <w:pPr/>
            <w:r/>
            <w:r>
              <w:rPr>
                <w:rFonts w:ascii="Calibri" w:hAnsi="Calibri"/>
              </w:rPr>
              <w:t>European CDS Indices</w:t>
            </w:r>
          </w:p>
        </w:tc>
        <w:tc>
          <w:tcPr>
            <w:tcW w:type="dxa" w:w="2880"/>
          </w:tcPr>
          <w:p>
            <w:pPr/>
            <w:r/>
            <w:r>
              <w:rPr>
                <w:rFonts w:ascii="Calibri" w:hAnsi="Calibri"/>
              </w:rPr>
              <w:t>ICE OTC</w:t>
            </w:r>
          </w:p>
        </w:tc>
        <w:tc>
          <w:tcPr>
            <w:tcW w:type="dxa" w:w="2880"/>
          </w:tcPr>
          <w:p>
            <w:pPr/>
            <w:r/>
            <w:r>
              <w:rPr>
                <w:rFonts w:ascii="Calibri" w:hAnsi="Calibri"/>
              </w:rPr>
              <w:t>iTraxx Europe, iTraxx Crossover</w:t>
            </w:r>
          </w:p>
        </w:tc>
      </w:tr>
      <w:tr>
        <w:tc>
          <w:tcPr>
            <w:tcW w:type="dxa" w:w="2880"/>
          </w:tcPr>
          <w:p>
            <w:pPr/>
            <w:r/>
            <w:r>
              <w:rPr>
                <w:rFonts w:ascii="Calibri" w:hAnsi="Calibri"/>
              </w:rPr>
              <w:t>European Single Names</w:t>
            </w:r>
          </w:p>
        </w:tc>
        <w:tc>
          <w:tcPr>
            <w:tcW w:type="dxa" w:w="2880"/>
          </w:tcPr>
          <w:p>
            <w:pPr/>
            <w:r/>
            <w:r>
              <w:rPr>
                <w:rFonts w:ascii="Calibri" w:hAnsi="Calibri"/>
              </w:rPr>
              <w:t>ICE OTC</w:t>
            </w:r>
          </w:p>
        </w:tc>
        <w:tc>
          <w:tcPr>
            <w:tcW w:type="dxa" w:w="2880"/>
          </w:tcPr>
          <w:p>
            <w:pPr/>
            <w:r/>
            <w:r>
              <w:rPr>
                <w:rFonts w:ascii="Calibri" w:hAnsi="Calibri"/>
              </w:rPr>
              <w:t>European corporate single-name CDS</w:t>
            </w:r>
          </w:p>
        </w:tc>
      </w:tr>
      <w:tr>
        <w:tc>
          <w:tcPr>
            <w:tcW w:type="dxa" w:w="2880"/>
          </w:tcPr>
          <w:p>
            <w:pPr/>
            <w:r/>
            <w:r>
              <w:rPr>
                <w:rFonts w:ascii="Calibri" w:hAnsi="Calibri"/>
              </w:rPr>
              <w:t>Asia/Pacific CDS</w:t>
            </w:r>
          </w:p>
        </w:tc>
        <w:tc>
          <w:tcPr>
            <w:tcW w:type="dxa" w:w="2880"/>
          </w:tcPr>
          <w:p>
            <w:pPr/>
            <w:r/>
            <w:r>
              <w:rPr>
                <w:rFonts w:ascii="Calibri" w:hAnsi="Calibri"/>
              </w:rPr>
              <w:t>ICE OTC</w:t>
            </w:r>
          </w:p>
        </w:tc>
        <w:tc>
          <w:tcPr>
            <w:tcW w:type="dxa" w:w="2880"/>
          </w:tcPr>
          <w:p>
            <w:pPr/>
            <w:r/>
            <w:r>
              <w:rPr>
                <w:rFonts w:ascii="Calibri" w:hAnsi="Calibri"/>
              </w:rPr>
              <w:t>iTraxx Asia, emerging market single-name CDS</w:t>
            </w:r>
          </w:p>
        </w:tc>
      </w:tr>
      <w:tr>
        <w:tc>
          <w:tcPr>
            <w:tcW w:type="dxa" w:w="2880"/>
          </w:tcPr>
          <w:p>
            <w:pPr/>
            <w:r/>
            <w:r>
              <w:rPr>
                <w:rFonts w:ascii="Calibri" w:hAnsi="Calibri"/>
              </w:rPr>
              <w:t>Sovereign CDS</w:t>
            </w:r>
          </w:p>
        </w:tc>
        <w:tc>
          <w:tcPr>
            <w:tcW w:type="dxa" w:w="2880"/>
          </w:tcPr>
          <w:p>
            <w:pPr/>
            <w:r/>
            <w:r>
              <w:rPr>
                <w:rFonts w:ascii="Calibri" w:hAnsi="Calibri"/>
              </w:rPr>
              <w:t>ICE OTC</w:t>
            </w:r>
          </w:p>
        </w:tc>
        <w:tc>
          <w:tcPr>
            <w:tcW w:type="dxa" w:w="2880"/>
          </w:tcPr>
          <w:p>
            <w:pPr/>
            <w:r/>
            <w:r>
              <w:rPr>
                <w:rFonts w:ascii="Calibri" w:hAnsi="Calibri"/>
              </w:rPr>
              <w:t>Sovereign single-name CDS</w:t>
            </w:r>
          </w:p>
        </w:tc>
      </w:tr>
      <w:tr>
        <w:tc>
          <w:tcPr>
            <w:tcW w:type="dxa" w:w="2880"/>
          </w:tcPr>
          <w:p>
            <w:pPr/>
            <w:r/>
            <w:r>
              <w:rPr>
                <w:rFonts w:ascii="Calibri" w:hAnsi="Calibri"/>
              </w:rPr>
              <w:t>Emerging Markets Indices</w:t>
            </w:r>
          </w:p>
        </w:tc>
        <w:tc>
          <w:tcPr>
            <w:tcW w:type="dxa" w:w="2880"/>
          </w:tcPr>
          <w:p>
            <w:pPr/>
            <w:r/>
            <w:r>
              <w:rPr>
                <w:rFonts w:ascii="Calibri" w:hAnsi="Calibri"/>
              </w:rPr>
              <w:t>ICE OTC</w:t>
            </w:r>
          </w:p>
        </w:tc>
        <w:tc>
          <w:tcPr>
            <w:tcW w:type="dxa" w:w="2880"/>
          </w:tcPr>
          <w:p>
            <w:pPr/>
            <w:r/>
            <w:r>
              <w:rPr>
                <w:rFonts w:ascii="Calibri" w:hAnsi="Calibri"/>
              </w:rPr>
              <w:t>CDX.EM</w:t>
            </w:r>
          </w:p>
        </w:tc>
      </w:tr>
      <w:tr>
        <w:tc>
          <w:tcPr>
            <w:tcW w:type="dxa" w:w="2880"/>
          </w:tcPr>
          <w:p>
            <w:pPr/>
            <w:r/>
            <w:r>
              <w:rPr>
                <w:rFonts w:ascii="Calibri" w:hAnsi="Calibri"/>
              </w:rPr>
              <w:t>U.S. Treasury Securities</w:t>
            </w:r>
          </w:p>
        </w:tc>
        <w:tc>
          <w:tcPr>
            <w:tcW w:type="dxa" w:w="2880"/>
          </w:tcPr>
          <w:p>
            <w:pPr/>
            <w:r/>
            <w:r>
              <w:rPr>
                <w:rFonts w:ascii="Calibri" w:hAnsi="Calibri"/>
              </w:rPr>
              <w:t>ICE Clear Credit</w:t>
            </w:r>
          </w:p>
        </w:tc>
        <w:tc>
          <w:tcPr>
            <w:tcW w:type="dxa" w:w="2880"/>
          </w:tcPr>
          <w:p>
            <w:pPr/>
            <w:r/>
            <w:r>
              <w:rPr>
                <w:rFonts w:ascii="Calibri" w:hAnsi="Calibri"/>
              </w:rPr>
              <w:t>U.S. Treasury cash and repo (launched February 2026)</w:t>
            </w:r>
          </w:p>
        </w:tc>
      </w:tr>
    </w:tbl>
    <w:p/>
    <w:p>
      <w:r>
        <w:rPr>
          <w:rFonts w:ascii="Calibri" w:hAnsi="Calibri"/>
        </w:rPr>
        <w:t xml:space="preserve">ICE Clear Credit is the world's largest CCP for credit default swaps, with over $2 trillion in current open interest. </w:t>
      </w:r>
      <w:r>
        <w:rPr>
          <w:rFonts w:ascii="Calibri" w:hAnsi="Calibri"/>
          <w:color w:val="0563C1"/>
          <w:u w:val="single"/>
        </w:rPr>
        <w:t>Source: [ICE Clear Credit</w:t>
      </w:r>
      <w:r>
        <w:rPr>
          <w:rFonts w:ascii="Calibri" w:hAnsi="Calibri"/>
        </w:rPr>
        <w:t xml:space="preserve">; </w:t>
      </w:r>
      <w:r>
        <w:rPr>
          <w:rFonts w:ascii="Calibri" w:hAnsi="Calibri"/>
          <w:color w:val="0563C1"/>
          <w:u w:val="single"/>
        </w:rPr>
        <w:t>NY Fed TMPG Presentation, October 2025</w:t>
      </w:r>
      <w:r>
        <w:rPr>
          <w:rFonts w:ascii="Calibri" w:hAnsi="Calibri"/>
        </w:rPr>
        <w:t>]</w:t>
      </w:r>
    </w:p>
    <w:p>
      <w:r>
        <w:rPr>
          <w:rFonts w:ascii="Calibri" w:hAnsi="Calibri"/>
        </w:rPr>
        <w:t xml:space="preserve">ICE Clear Europe clears approximately 5 million contracts per day across multiple asset classes and is one of the world's most significant energy derivatives clearing houses, handling the globally benchmarked Brent Crude Oil futures contract. </w:t>
      </w:r>
      <w:r>
        <w:rPr>
          <w:rFonts w:ascii="Calibri" w:hAnsi="Calibri"/>
          <w:color w:val="0563C1"/>
          <w:u w:val="single"/>
        </w:rPr>
        <w:t>Source: [ICE Clear Europe</w:t>
      </w:r>
      <w:r>
        <w:rPr>
          <w:rFonts w:ascii="Calibri" w:hAnsi="Calibri"/>
        </w:rPr>
        <w:t>]</w:t>
      </w:r>
    </w:p>
    <w:p>
      <w:pPr>
        <w:pStyle w:val="Heading3"/>
      </w:pPr>
      <w:r>
        <w:rPr>
          <w:rFonts w:ascii="Calibri" w:hAnsi="Calibri"/>
        </w:rPr>
        <w:t>2.2 Novation Process</w:t>
      </w:r>
    </w:p>
    <w:p>
      <w:r>
        <w:rPr>
          <w:rFonts w:ascii="Calibri" w:hAnsi="Calibri"/>
        </w:rPr>
        <w:t>Upon acceptance of a trade for clearing, each ICE clearing house interposes itself as the central counterparty through novation. The original bilateral contract between buyer and seller is extinguished and replaced by two new contracts: one between the CCP and the buyer, and one between the CCP and the seller. Each clearing member's counterparty exposure is thereby solely to the relevant ICE clearing house rather than to any bilateral counterparty.</w:t>
      </w:r>
    </w:p>
    <w:p>
      <w:r>
        <w:rPr>
          <w:rFonts w:ascii="Calibri" w:hAnsi="Calibri"/>
        </w:rPr>
        <w:t xml:space="preserve">For CDS clearing at ICE Clear Credit, the novation process involves the submission of eligible CDS contracts by clearing participants; once accepted, ICE Clear Credit becomes the buyer to every seller and the seller to every buyer. </w:t>
      </w:r>
      <w:r>
        <w:rPr>
          <w:rFonts w:ascii="Calibri" w:hAnsi="Calibri"/>
          <w:color w:val="0563C1"/>
          <w:u w:val="single"/>
        </w:rPr>
        <w:t>Source: [ICE Clear Credit -- CDS Client Clearing</w:t>
      </w:r>
      <w:r>
        <w:rPr>
          <w:rFonts w:ascii="Calibri" w:hAnsi="Calibri"/>
        </w:rPr>
        <w:t>]</w:t>
      </w:r>
    </w:p>
    <w:p>
      <w:pPr>
        <w:pStyle w:val="Heading3"/>
      </w:pPr>
      <w:r>
        <w:rPr>
          <w:rFonts w:ascii="Calibri" w:hAnsi="Calibri"/>
        </w:rPr>
        <w:t>2.3 Netting</w:t>
      </w:r>
    </w:p>
    <w:p>
      <w:r>
        <w:rPr>
          <w:rFonts w:ascii="Calibri" w:hAnsi="Calibri"/>
        </w:rPr>
        <w:t>Each ICE clearing house provides multilateral netting across all positions within a clearing member's account. Variation margin is calculated and netted across all positions, resulting in a single net pay or collect amount per settlement cycle. Initial margin benefits from portfolio-based margining under the ICE Risk Model (IRM) and IRM 2, which recognise offsets and diversification within a portfolio of correlated positions.</w:t>
      </w:r>
    </w:p>
    <w:p>
      <w:r>
        <w:rPr>
          <w:rFonts w:ascii="Calibri" w:hAnsi="Calibri"/>
        </w:rPr>
        <w:t xml:space="preserve">ICE Clear Europe provides separate netting pools by product segment (Energy, Financials &amp; Softs). </w:t>
      </w:r>
      <w:r>
        <w:rPr>
          <w:rFonts w:ascii="Calibri" w:hAnsi="Calibri"/>
          <w:color w:val="0563C1"/>
          <w:u w:val="single"/>
        </w:rPr>
        <w:t>Source: [ICE Clear Europe Risk Management</w:t>
      </w:r>
      <w:r>
        <w:rPr>
          <w:rFonts w:ascii="Calibri" w:hAnsi="Calibri"/>
        </w:rPr>
        <w:t>]</w:t>
      </w:r>
    </w:p>
    <w:p>
      <w:pPr>
        <w:pStyle w:val="Heading3"/>
      </w:pPr>
      <w:r>
        <w:rPr>
          <w:rFonts w:ascii="Calibri" w:hAnsi="Calibri"/>
        </w:rPr>
        <w:t>2.4 Clearing Membership</w:t>
      </w:r>
    </w:p>
    <w:p>
      <w:r>
        <w:rPr>
          <w:rFonts w:ascii="Calibri" w:hAnsi="Calibri"/>
          <w:b/>
        </w:rPr>
        <w:t>ICE Clear U.S.: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Requirement</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Minimum Capital</w:t>
            </w:r>
          </w:p>
        </w:tc>
        <w:tc>
          <w:tcPr>
            <w:tcW w:type="dxa" w:w="4320"/>
          </w:tcPr>
          <w:p>
            <w:pPr/>
            <w:r/>
            <w:r>
              <w:rPr>
                <w:rFonts w:ascii="Calibri" w:hAnsi="Calibri"/>
              </w:rPr>
              <w:t>$5 million adjusted net capital</w:t>
            </w:r>
          </w:p>
        </w:tc>
      </w:tr>
      <w:tr>
        <w:tc>
          <w:tcPr>
            <w:tcW w:type="dxa" w:w="4320"/>
          </w:tcPr>
          <w:p>
            <w:pPr/>
            <w:r/>
            <w:r>
              <w:rPr>
                <w:rFonts w:ascii="Calibri" w:hAnsi="Calibri"/>
              </w:rPr>
              <w:t>Minimum Guaranty Fund Contribution</w:t>
            </w:r>
          </w:p>
        </w:tc>
        <w:tc>
          <w:tcPr>
            <w:tcW w:type="dxa" w:w="4320"/>
          </w:tcPr>
          <w:p>
            <w:pPr/>
            <w:r/>
            <w:r>
              <w:rPr>
                <w:rFonts w:ascii="Calibri" w:hAnsi="Calibri"/>
              </w:rPr>
              <w:t>$2,000,000 per clearing member</w:t>
            </w:r>
          </w:p>
        </w:tc>
      </w:tr>
      <w:tr>
        <w:tc>
          <w:tcPr>
            <w:tcW w:type="dxa" w:w="4320"/>
          </w:tcPr>
          <w:p>
            <w:pPr/>
            <w:r/>
            <w:r>
              <w:rPr>
                <w:rFonts w:ascii="Calibri" w:hAnsi="Calibri"/>
              </w:rPr>
              <w:t>Regulatory Status</w:t>
            </w:r>
          </w:p>
        </w:tc>
        <w:tc>
          <w:tcPr>
            <w:tcW w:type="dxa" w:w="4320"/>
          </w:tcPr>
          <w:p>
            <w:pPr/>
            <w:r/>
            <w:r>
              <w:rPr>
                <w:rFonts w:ascii="Calibri" w:hAnsi="Calibri"/>
              </w:rPr>
              <w:t>Must hold applicable CFTC registrations (e.g., FCM)</w:t>
            </w:r>
          </w:p>
        </w:tc>
      </w:tr>
      <w:tr>
        <w:tc>
          <w:tcPr>
            <w:tcW w:type="dxa" w:w="4320"/>
          </w:tcPr>
          <w:p>
            <w:pPr/>
            <w:r/>
            <w:r>
              <w:rPr>
                <w:rFonts w:ascii="Calibri" w:hAnsi="Calibri"/>
              </w:rPr>
              <w:t>Operational</w:t>
            </w:r>
          </w:p>
        </w:tc>
        <w:tc>
          <w:tcPr>
            <w:tcW w:type="dxa" w:w="4320"/>
          </w:tcPr>
          <w:p>
            <w:pPr/>
            <w:r/>
            <w:r>
              <w:rPr>
                <w:rFonts w:ascii="Calibri" w:hAnsi="Calibri"/>
              </w:rPr>
              <w:t>Must maintain adequate systems and back-office operations</w:t>
            </w:r>
          </w:p>
        </w:tc>
      </w:tr>
    </w:tbl>
    <w:p/>
    <w:p>
      <w:r>
        <w:rPr>
          <w:rFonts w:ascii="Calibri" w:hAnsi="Calibri"/>
          <w:color w:val="0563C1"/>
          <w:u w:val="single"/>
        </w:rPr>
        <w:t>Source: [ICE Clear U.S. -- Membership</w:t>
      </w:r>
      <w:r>
        <w:rPr>
          <w:rFonts w:ascii="Calibri" w:hAnsi="Calibri"/>
        </w:rPr>
        <w:t xml:space="preserve">; </w:t>
      </w:r>
      <w:r>
        <w:rPr>
          <w:rFonts w:ascii="Calibri" w:hAnsi="Calibri"/>
          <w:color w:val="0563C1"/>
          <w:u w:val="single"/>
        </w:rPr>
        <w:t>ICE Clear U.S. Disclosure Framework</w:t>
      </w:r>
      <w:r>
        <w:rPr>
          <w:rFonts w:ascii="Calibri" w:hAnsi="Calibri"/>
        </w:rPr>
        <w:t>]</w:t>
      </w:r>
    </w:p>
    <w:p>
      <w:r>
        <w:rPr>
          <w:rFonts w:ascii="Calibri" w:hAnsi="Calibri"/>
          <w:b/>
        </w:rPr>
        <w:t>ICE Clear Europe: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Requirement</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Minimum Capital</w:t>
            </w:r>
          </w:p>
        </w:tc>
        <w:tc>
          <w:tcPr>
            <w:tcW w:type="dxa" w:w="4320"/>
          </w:tcPr>
          <w:p>
            <w:pPr/>
            <w:r/>
            <w:r>
              <w:rPr>
                <w:rFonts w:ascii="Calibri" w:hAnsi="Calibri"/>
              </w:rPr>
              <w:t>$20 million net capital (for Clearing General Participants and Clearing Trade Participants) [unverified -- figure derived from ICE Endex membership standards which reference ICE Clear Europe requirements]</w:t>
            </w:r>
          </w:p>
        </w:tc>
      </w:tr>
      <w:tr>
        <w:tc>
          <w:tcPr>
            <w:tcW w:type="dxa" w:w="4320"/>
          </w:tcPr>
          <w:p>
            <w:pPr/>
            <w:r/>
            <w:r>
              <w:rPr>
                <w:rFonts w:ascii="Calibri" w:hAnsi="Calibri"/>
              </w:rPr>
              <w:t>Membership Categories</w:t>
            </w:r>
          </w:p>
        </w:tc>
        <w:tc>
          <w:tcPr>
            <w:tcW w:type="dxa" w:w="4320"/>
          </w:tcPr>
          <w:p>
            <w:pPr/>
            <w:r/>
            <w:r>
              <w:rPr>
                <w:rFonts w:ascii="Calibri" w:hAnsi="Calibri"/>
              </w:rPr>
              <w:t>Futures &amp; Options Clearing Member; CDS Clearing Member</w:t>
            </w:r>
          </w:p>
        </w:tc>
      </w:tr>
      <w:tr>
        <w:tc>
          <w:tcPr>
            <w:tcW w:type="dxa" w:w="4320"/>
          </w:tcPr>
          <w:p>
            <w:pPr/>
            <w:r/>
            <w:r>
              <w:rPr>
                <w:rFonts w:ascii="Calibri" w:hAnsi="Calibri"/>
              </w:rPr>
              <w:t>Regulatory Status</w:t>
            </w:r>
          </w:p>
        </w:tc>
        <w:tc>
          <w:tcPr>
            <w:tcW w:type="dxa" w:w="4320"/>
          </w:tcPr>
          <w:p>
            <w:pPr/>
            <w:r/>
            <w:r>
              <w:rPr>
                <w:rFonts w:ascii="Calibri" w:hAnsi="Calibri"/>
              </w:rPr>
              <w:t>Must hold all applicable regulatory authorisations</w:t>
            </w:r>
          </w:p>
        </w:tc>
      </w:tr>
      <w:tr>
        <w:tc>
          <w:tcPr>
            <w:tcW w:type="dxa" w:w="4320"/>
          </w:tcPr>
          <w:p>
            <w:pPr/>
            <w:r/>
            <w:r>
              <w:rPr>
                <w:rFonts w:ascii="Calibri" w:hAnsi="Calibri"/>
              </w:rPr>
              <w:t>Operational</w:t>
            </w:r>
          </w:p>
        </w:tc>
        <w:tc>
          <w:tcPr>
            <w:tcW w:type="dxa" w:w="4320"/>
          </w:tcPr>
          <w:p>
            <w:pPr/>
            <w:r/>
            <w:r>
              <w:rPr>
                <w:rFonts w:ascii="Calibri" w:hAnsi="Calibri"/>
              </w:rPr>
              <w:t>Must demonstrate operational capability and connectivity</w:t>
            </w:r>
          </w:p>
        </w:tc>
      </w:tr>
    </w:tbl>
    <w:p/>
    <w:p>
      <w:r>
        <w:rPr>
          <w:rFonts w:ascii="Calibri" w:hAnsi="Calibri"/>
          <w:color w:val="0563C1"/>
          <w:u w:val="single"/>
        </w:rPr>
        <w:t>Source: [ICE Clear Europe -- Membership</w:t>
      </w:r>
      <w:r>
        <w:rPr>
          <w:rFonts w:ascii="Calibri" w:hAnsi="Calibri"/>
        </w:rPr>
        <w:t>]</w:t>
      </w:r>
    </w:p>
    <w:p>
      <w:r>
        <w:rPr>
          <w:rFonts w:ascii="Calibri" w:hAnsi="Calibri"/>
          <w:b/>
        </w:rPr>
        <w:t>ICE Clear Credit:</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Requirement</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Minimum Guaranty Fund Contribution</w:t>
            </w:r>
          </w:p>
        </w:tc>
        <w:tc>
          <w:tcPr>
            <w:tcW w:type="dxa" w:w="4320"/>
          </w:tcPr>
          <w:p>
            <w:pPr/>
            <w:r/>
            <w:r>
              <w:rPr>
                <w:rFonts w:ascii="Calibri" w:hAnsi="Calibri"/>
              </w:rPr>
              <w:t>$20 million per clearing participant</w:t>
            </w:r>
          </w:p>
        </w:tc>
      </w:tr>
      <w:tr>
        <w:tc>
          <w:tcPr>
            <w:tcW w:type="dxa" w:w="4320"/>
          </w:tcPr>
          <w:p>
            <w:pPr/>
            <w:r/>
            <w:r>
              <w:rPr>
                <w:rFonts w:ascii="Calibri" w:hAnsi="Calibri"/>
              </w:rPr>
              <w:t>SITG Contribution from ICC</w:t>
            </w:r>
          </w:p>
        </w:tc>
        <w:tc>
          <w:tcPr>
            <w:tcW w:type="dxa" w:w="4320"/>
          </w:tcPr>
          <w:p>
            <w:pPr/>
            <w:r/>
            <w:r>
              <w:rPr>
                <w:rFonts w:ascii="Calibri" w:hAnsi="Calibri"/>
              </w:rPr>
              <w:t>$100 million (ICE's own "skin in the game")</w:t>
            </w:r>
          </w:p>
        </w:tc>
      </w:tr>
      <w:tr>
        <w:tc>
          <w:tcPr>
            <w:tcW w:type="dxa" w:w="4320"/>
          </w:tcPr>
          <w:p>
            <w:pPr/>
            <w:r/>
            <w:r>
              <w:rPr>
                <w:rFonts w:ascii="Calibri" w:hAnsi="Calibri"/>
              </w:rPr>
              <w:t>Regulatory Status</w:t>
            </w:r>
          </w:p>
        </w:tc>
        <w:tc>
          <w:tcPr>
            <w:tcW w:type="dxa" w:w="4320"/>
          </w:tcPr>
          <w:p>
            <w:pPr/>
            <w:r/>
            <w:r>
              <w:rPr>
                <w:rFonts w:ascii="Calibri" w:hAnsi="Calibri"/>
              </w:rPr>
              <w:t>Must be registered or exempt under applicable regulations</w:t>
            </w:r>
          </w:p>
        </w:tc>
      </w:tr>
      <w:tr>
        <w:tc>
          <w:tcPr>
            <w:tcW w:type="dxa" w:w="4320"/>
          </w:tcPr>
          <w:p>
            <w:pPr/>
            <w:r/>
            <w:r>
              <w:rPr>
                <w:rFonts w:ascii="Calibri" w:hAnsi="Calibri"/>
              </w:rPr>
              <w:t>Access</w:t>
            </w:r>
          </w:p>
        </w:tc>
        <w:tc>
          <w:tcPr>
            <w:tcW w:type="dxa" w:w="4320"/>
          </w:tcPr>
          <w:p>
            <w:pPr/>
            <w:r/>
            <w:r>
              <w:rPr>
                <w:rFonts w:ascii="Calibri" w:hAnsi="Calibri"/>
              </w:rPr>
              <w:t>Provides client clearing through clearing participants</w:t>
            </w:r>
          </w:p>
        </w:tc>
      </w:tr>
    </w:tbl>
    <w:p/>
    <w:p>
      <w:r>
        <w:rPr>
          <w:rFonts w:ascii="Calibri" w:hAnsi="Calibri"/>
          <w:color w:val="0563C1"/>
          <w:u w:val="single"/>
        </w:rPr>
        <w:t>Source: [ICE Clear Credit Regulation and Governance</w:t>
      </w:r>
      <w:r>
        <w:rPr>
          <w:rFonts w:ascii="Calibri" w:hAnsi="Calibri"/>
        </w:rPr>
        <w:t xml:space="preserve">; </w:t>
      </w:r>
      <w:r>
        <w:rPr>
          <w:rFonts w:ascii="Calibri" w:hAnsi="Calibri"/>
          <w:color w:val="0563C1"/>
          <w:u w:val="single"/>
        </w:rPr>
        <w:t>NY Fed TMPG Presentation, October 2025</w:t>
      </w:r>
      <w:r>
        <w:rPr>
          <w:rFonts w:ascii="Calibri" w:hAnsi="Calibri"/>
        </w:rPr>
        <w:t>]</w:t>
      </w:r>
    </w:p>
    <w:p>
      <w:pPr>
        <w:pBdr>
          <w:bottom w:val="single" w:sz="4" w:space="1" w:color="auto"/>
        </w:pBdr>
      </w:pPr>
    </w:p>
    <w:p>
      <w:pPr>
        <w:pStyle w:val="Heading2"/>
      </w:pPr>
      <w:r>
        <w:rPr>
          <w:rFonts w:ascii="Calibri" w:hAnsi="Calibri"/>
        </w:rPr>
        <w:t>3. Risk Management</w:t>
      </w:r>
    </w:p>
    <w:p>
      <w:pPr>
        <w:pStyle w:val="Heading3"/>
      </w:pPr>
      <w:r>
        <w:rPr>
          <w:rFonts w:ascii="Calibri" w:hAnsi="Calibri"/>
        </w:rPr>
        <w:t>3.1 Margin Framework</w:t>
      </w:r>
    </w:p>
    <w:p>
      <w:r>
        <w:rPr>
          <w:rFonts w:ascii="Calibri" w:hAnsi="Calibri"/>
        </w:rPr>
        <w:t>ICE uses two proprietary margin models across its clearing houses:</w:t>
      </w:r>
    </w:p>
    <w:p>
      <w:r>
        <w:rPr>
          <w:rFonts w:ascii="Calibri" w:hAnsi="Calibri"/>
          <w:b/>
        </w:rPr>
        <w:t>ICE Risk Model (IRM 1) -- Legacy Model:</w:t>
      </w:r>
    </w:p>
    <w:p>
      <w:r>
        <w:rPr>
          <w:rFonts w:ascii="Calibri" w:hAnsi="Calibri"/>
        </w:rPr>
        <w:t>The original ICE Risk Model calculates initial margin on at least a daily basis for futures and options. It uses a scenario-based approach similar to SPAN, evaluating potential portfolio losses across a range of price and volatility movements. Margin parameters (scanning ranges) are calibrated to cover potential losses under normal and stressed market conditions.</w:t>
      </w:r>
    </w:p>
    <w:p>
      <w:r>
        <w:rPr>
          <w:rFonts w:ascii="Calibri" w:hAnsi="Calibri"/>
          <w:b/>
        </w:rPr>
        <w:t>ICE Risk Model 2 (IRM 2) -- Next-Generation VaR Model:</w:t>
      </w:r>
    </w:p>
    <w:p>
      <w:r>
        <w:rPr>
          <w:rFonts w:ascii="Calibri" w:hAnsi="Calibri"/>
        </w:rPr>
        <w:t>IRM 2 is a Filtered Historical Simulation (FHS) Value-at-Risk (VaR) methodology that represents a significant evolution from IRM 1.</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Feature</w:t>
            </w:r>
          </w:p>
        </w:tc>
        <w:tc>
          <w:tcPr>
            <w:tcW w:type="dxa" w:w="2880"/>
            <w:shd w:fill="4472C4" w:val="clear"/>
          </w:tcPr>
          <w:p>
            <w:pPr/>
            <w:r>
              <w:rPr>
                <w:b/>
                <w:color w:val="FFFFFF"/>
              </w:rPr>
            </w:r>
            <w:r>
              <w:rPr>
                <w:rFonts w:ascii="Calibri" w:hAnsi="Calibri"/>
                <w:b/>
                <w:color w:val="FFFFFF"/>
              </w:rPr>
              <w:t>IRM 1 (Legacy)</w:t>
            </w:r>
          </w:p>
        </w:tc>
        <w:tc>
          <w:tcPr>
            <w:tcW w:type="dxa" w:w="2880"/>
            <w:shd w:fill="4472C4" w:val="clear"/>
          </w:tcPr>
          <w:p>
            <w:pPr/>
            <w:r>
              <w:rPr>
                <w:b/>
                <w:color w:val="FFFFFF"/>
              </w:rPr>
            </w:r>
            <w:r>
              <w:rPr>
                <w:rFonts w:ascii="Calibri" w:hAnsi="Calibri"/>
                <w:b/>
                <w:color w:val="FFFFFF"/>
              </w:rPr>
              <w:t>IRM 2</w:t>
            </w:r>
          </w:p>
        </w:tc>
      </w:tr>
      <w:tr>
        <w:tc>
          <w:tcPr>
            <w:tcW w:type="dxa" w:w="2880"/>
          </w:tcPr>
          <w:p>
            <w:pPr/>
            <w:r/>
            <w:r>
              <w:rPr>
                <w:rFonts w:ascii="Calibri" w:hAnsi="Calibri"/>
              </w:rPr>
              <w:t>Methodology</w:t>
            </w:r>
          </w:p>
        </w:tc>
        <w:tc>
          <w:tcPr>
            <w:tcW w:type="dxa" w:w="2880"/>
          </w:tcPr>
          <w:p>
            <w:pPr/>
            <w:r/>
            <w:r>
              <w:rPr>
                <w:rFonts w:ascii="Calibri" w:hAnsi="Calibri"/>
              </w:rPr>
              <w:t>Scenario-based (parametric, similar to SPAN)</w:t>
            </w:r>
          </w:p>
        </w:tc>
        <w:tc>
          <w:tcPr>
            <w:tcW w:type="dxa" w:w="2880"/>
          </w:tcPr>
          <w:p>
            <w:pPr/>
            <w:r/>
            <w:r>
              <w:rPr>
                <w:rFonts w:ascii="Calibri" w:hAnsi="Calibri"/>
              </w:rPr>
              <w:t>Filtered Historical Simulation VaR</w:t>
            </w:r>
          </w:p>
        </w:tc>
      </w:tr>
      <w:tr>
        <w:tc>
          <w:tcPr>
            <w:tcW w:type="dxa" w:w="2880"/>
          </w:tcPr>
          <w:p>
            <w:pPr/>
            <w:r/>
            <w:r>
              <w:rPr>
                <w:rFonts w:ascii="Calibri" w:hAnsi="Calibri"/>
              </w:rPr>
              <w:t>Risk Perspective</w:t>
            </w:r>
          </w:p>
        </w:tc>
        <w:tc>
          <w:tcPr>
            <w:tcW w:type="dxa" w:w="2880"/>
          </w:tcPr>
          <w:p>
            <w:pPr/>
            <w:r/>
            <w:r>
              <w:rPr>
                <w:rFonts w:ascii="Calibri" w:hAnsi="Calibri"/>
              </w:rPr>
              <w:t>Instrument-by-instrument</w:t>
            </w:r>
          </w:p>
        </w:tc>
        <w:tc>
          <w:tcPr>
            <w:tcW w:type="dxa" w:w="2880"/>
          </w:tcPr>
          <w:p>
            <w:pPr/>
            <w:r/>
            <w:r>
              <w:rPr>
                <w:rFonts w:ascii="Calibri" w:hAnsi="Calibri"/>
              </w:rPr>
              <w:t>Portfolio-level -- captures all relationships and diversifying effects</w:t>
            </w:r>
          </w:p>
        </w:tc>
      </w:tr>
      <w:tr>
        <w:tc>
          <w:tcPr>
            <w:tcW w:type="dxa" w:w="2880"/>
          </w:tcPr>
          <w:p>
            <w:pPr/>
            <w:r/>
            <w:r>
              <w:rPr>
                <w:rFonts w:ascii="Calibri" w:hAnsi="Calibri"/>
              </w:rPr>
              <w:t>Responsiveness</w:t>
            </w:r>
          </w:p>
        </w:tc>
        <w:tc>
          <w:tcPr>
            <w:tcW w:type="dxa" w:w="2880"/>
          </w:tcPr>
          <w:p>
            <w:pPr/>
            <w:r/>
            <w:r>
              <w:rPr>
                <w:rFonts w:ascii="Calibri" w:hAnsi="Calibri"/>
              </w:rPr>
              <w:t>Static parameter updates</w:t>
            </w:r>
          </w:p>
        </w:tc>
        <w:tc>
          <w:tcPr>
            <w:tcW w:type="dxa" w:w="2880"/>
          </w:tcPr>
          <w:p>
            <w:pPr/>
            <w:r/>
            <w:r>
              <w:rPr>
                <w:rFonts w:ascii="Calibri" w:hAnsi="Calibri"/>
              </w:rPr>
              <w:t>Dynamic -- responsive to changing market conditions through volatility filtering</w:t>
            </w:r>
          </w:p>
        </w:tc>
      </w:tr>
      <w:tr>
        <w:tc>
          <w:tcPr>
            <w:tcW w:type="dxa" w:w="2880"/>
          </w:tcPr>
          <w:p>
            <w:pPr/>
            <w:r/>
            <w:r>
              <w:rPr>
                <w:rFonts w:ascii="Calibri" w:hAnsi="Calibri"/>
              </w:rPr>
              <w:t>Anti-Procyclicality</w:t>
            </w:r>
          </w:p>
        </w:tc>
        <w:tc>
          <w:tcPr>
            <w:tcW w:type="dxa" w:w="2880"/>
          </w:tcPr>
          <w:p>
            <w:pPr/>
            <w:r/>
            <w:r>
              <w:rPr>
                <w:rFonts w:ascii="Calibri" w:hAnsi="Calibri"/>
              </w:rPr>
              <w:t>Limited</w:t>
            </w:r>
          </w:p>
        </w:tc>
        <w:tc>
          <w:tcPr>
            <w:tcW w:type="dxa" w:w="2880"/>
          </w:tcPr>
          <w:p>
            <w:pPr/>
            <w:r/>
            <w:r>
              <w:rPr>
                <w:rFonts w:ascii="Calibri" w:hAnsi="Calibri"/>
              </w:rPr>
              <w:t>Built-in anti-procyclical features to avoid "big step" margin changes</w:t>
            </w:r>
          </w:p>
        </w:tc>
      </w:tr>
      <w:tr>
        <w:tc>
          <w:tcPr>
            <w:tcW w:type="dxa" w:w="2880"/>
          </w:tcPr>
          <w:p>
            <w:pPr/>
            <w:r/>
            <w:r>
              <w:rPr>
                <w:rFonts w:ascii="Calibri" w:hAnsi="Calibri"/>
              </w:rPr>
              <w:t>Stress Resilience</w:t>
            </w:r>
          </w:p>
        </w:tc>
        <w:tc>
          <w:tcPr>
            <w:tcW w:type="dxa" w:w="2880"/>
          </w:tcPr>
          <w:p>
            <w:pPr/>
            <w:r/>
            <w:r>
              <w:rPr>
                <w:rFonts w:ascii="Calibri" w:hAnsi="Calibri"/>
              </w:rPr>
              <w:t>Scenario add-ons</w:t>
            </w:r>
          </w:p>
        </w:tc>
        <w:tc>
          <w:tcPr>
            <w:tcW w:type="dxa" w:w="2880"/>
          </w:tcPr>
          <w:p>
            <w:pPr/>
            <w:r/>
            <w:r>
              <w:rPr>
                <w:rFonts w:ascii="Calibri" w:hAnsi="Calibri"/>
              </w:rPr>
              <w:t>Resilient against stress events and correlation breakdown</w:t>
            </w:r>
          </w:p>
        </w:tc>
      </w:tr>
      <w:tr>
        <w:tc>
          <w:tcPr>
            <w:tcW w:type="dxa" w:w="2880"/>
          </w:tcPr>
          <w:p>
            <w:pPr/>
            <w:r/>
            <w:r>
              <w:rPr>
                <w:rFonts w:ascii="Calibri" w:hAnsi="Calibri"/>
              </w:rPr>
              <w:t>Seasonality</w:t>
            </w:r>
          </w:p>
        </w:tc>
        <w:tc>
          <w:tcPr>
            <w:tcW w:type="dxa" w:w="2880"/>
          </w:tcPr>
          <w:p>
            <w:pPr/>
            <w:r/>
            <w:r>
              <w:rPr>
                <w:rFonts w:ascii="Calibri" w:hAnsi="Calibri"/>
              </w:rPr>
              <w:t>Not explicitly modelled</w:t>
            </w:r>
          </w:p>
        </w:tc>
        <w:tc>
          <w:tcPr>
            <w:tcW w:type="dxa" w:w="2880"/>
          </w:tcPr>
          <w:p>
            <w:pPr/>
            <w:r/>
            <w:r>
              <w:rPr>
                <w:rFonts w:ascii="Calibri" w:hAnsi="Calibri"/>
              </w:rPr>
              <w:t>Adjusts for seasonality where appropriate</w:t>
            </w:r>
          </w:p>
        </w:tc>
      </w:tr>
    </w:tbl>
    <w:p/>
    <w:p>
      <w:r>
        <w:rPr>
          <w:rFonts w:ascii="Calibri" w:hAnsi="Calibri"/>
          <w:b/>
        </w:rPr>
        <w:t>IRM 2 Calculation Steps:</w:t>
      </w:r>
    </w:p>
    <w:p>
      <w:pPr>
        <w:pStyle w:val="ListBullet"/>
      </w:pPr>
      <w:r>
        <w:rPr>
          <w:rFonts w:ascii="Calibri" w:hAnsi="Calibri"/>
          <w:b/>
        </w:rPr>
        <w:t>Risk Factor Transformation</w:t>
      </w:r>
      <w:r>
        <w:rPr>
          <w:rFonts w:ascii="Calibri" w:hAnsi="Calibri"/>
        </w:rPr>
        <w:t xml:space="preserve"> -- Market data objects are transformed from original instruments to a coherent set of risk factors (price, rate, and volatility factors required to price all traded futures and options)</w:t>
      </w:r>
    </w:p>
    <w:p>
      <w:pPr>
        <w:pStyle w:val="ListBullet"/>
      </w:pPr>
      <w:r>
        <w:rPr>
          <w:rFonts w:ascii="Calibri" w:hAnsi="Calibri"/>
          <w:b/>
        </w:rPr>
        <w:t>Scenario Generation</w:t>
      </w:r>
      <w:r>
        <w:rPr>
          <w:rFonts w:ascii="Calibri" w:hAnsi="Calibri"/>
        </w:rPr>
        <w:t xml:space="preserve"> -- Risk factors are scaled to generate risk scenarios reflecting current market conditions via filtered historical simulation</w:t>
      </w:r>
    </w:p>
    <w:p>
      <w:pPr>
        <w:pStyle w:val="ListBullet"/>
      </w:pPr>
      <w:r>
        <w:rPr>
          <w:rFonts w:ascii="Calibri" w:hAnsi="Calibri"/>
          <w:b/>
        </w:rPr>
        <w:t>Portfolio Repricing</w:t>
      </w:r>
      <w:r>
        <w:rPr>
          <w:rFonts w:ascii="Calibri" w:hAnsi="Calibri"/>
        </w:rPr>
        <w:t xml:space="preserve"> -- Relevant pricing functions convert risk factor scenarios back to instrument-level P&amp;L</w:t>
      </w:r>
    </w:p>
    <w:p>
      <w:pPr>
        <w:pStyle w:val="ListBullet"/>
      </w:pPr>
      <w:r>
        <w:rPr>
          <w:rFonts w:ascii="Calibri" w:hAnsi="Calibri"/>
          <w:b/>
        </w:rPr>
        <w:t>Base Margin</w:t>
      </w:r>
      <w:r>
        <w:rPr>
          <w:rFonts w:ascii="Calibri" w:hAnsi="Calibri"/>
        </w:rPr>
        <w:t xml:space="preserve"> -- Portfolio VaR is calculated from the distribution of simulated P&amp;L outcomes</w:t>
      </w:r>
    </w:p>
    <w:p>
      <w:r>
        <w:rPr>
          <w:rFonts w:ascii="Calibri" w:hAnsi="Calibri"/>
          <w:b/>
        </w:rPr>
        <w:t>IRM 2 Rollout Status (as of early 2026):</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Clearing House</w:t>
            </w:r>
          </w:p>
        </w:tc>
        <w:tc>
          <w:tcPr>
            <w:tcW w:type="dxa" w:w="2880"/>
            <w:shd w:fill="4472C4" w:val="clear"/>
          </w:tcPr>
          <w:p>
            <w:pPr/>
            <w:r>
              <w:rPr>
                <w:b/>
                <w:color w:val="FFFFFF"/>
              </w:rPr>
            </w:r>
            <w:r>
              <w:rPr>
                <w:rFonts w:ascii="Calibri" w:hAnsi="Calibri"/>
                <w:b/>
                <w:color w:val="FFFFFF"/>
              </w:rPr>
              <w:t>Product Category</w:t>
            </w:r>
          </w:p>
        </w:tc>
        <w:tc>
          <w:tcPr>
            <w:tcW w:type="dxa" w:w="2880"/>
            <w:shd w:fill="4472C4" w:val="clear"/>
          </w:tcPr>
          <w:p>
            <w:pPr/>
            <w:r>
              <w:rPr>
                <w:b/>
                <w:color w:val="FFFFFF"/>
              </w:rPr>
            </w:r>
            <w:r>
              <w:rPr>
                <w:rFonts w:ascii="Calibri" w:hAnsi="Calibri"/>
                <w:b/>
                <w:color w:val="FFFFFF"/>
              </w:rPr>
              <w:t>IRM 2 Status</w:t>
            </w:r>
          </w:p>
        </w:tc>
      </w:tr>
      <w:tr>
        <w:tc>
          <w:tcPr>
            <w:tcW w:type="dxa" w:w="2880"/>
          </w:tcPr>
          <w:p>
            <w:pPr/>
            <w:r/>
            <w:r>
              <w:rPr>
                <w:rFonts w:ascii="Calibri" w:hAnsi="Calibri"/>
              </w:rPr>
              <w:t>ICE Clear U.S.</w:t>
            </w:r>
          </w:p>
        </w:tc>
        <w:tc>
          <w:tcPr>
            <w:tcW w:type="dxa" w:w="2880"/>
          </w:tcPr>
          <w:p>
            <w:pPr/>
            <w:r/>
            <w:r>
              <w:rPr>
                <w:rFonts w:ascii="Calibri" w:hAnsi="Calibri"/>
              </w:rPr>
              <w:t>Equity Index Futures</w:t>
            </w:r>
          </w:p>
        </w:tc>
        <w:tc>
          <w:tcPr>
            <w:tcW w:type="dxa" w:w="2880"/>
          </w:tcPr>
          <w:p>
            <w:pPr/>
            <w:r/>
            <w:r>
              <w:rPr>
                <w:rFonts w:ascii="Calibri" w:hAnsi="Calibri"/>
              </w:rPr>
              <w:t>Live since January 24, 2022</w:t>
            </w:r>
          </w:p>
        </w:tc>
      </w:tr>
      <w:tr>
        <w:tc>
          <w:tcPr>
            <w:tcW w:type="dxa" w:w="2880"/>
          </w:tcPr>
          <w:p>
            <w:pPr/>
            <w:r/>
            <w:r>
              <w:rPr>
                <w:rFonts w:ascii="Calibri" w:hAnsi="Calibri"/>
              </w:rPr>
              <w:t>ICE Clear Europe</w:t>
            </w:r>
          </w:p>
        </w:tc>
        <w:tc>
          <w:tcPr>
            <w:tcW w:type="dxa" w:w="2880"/>
          </w:tcPr>
          <w:p>
            <w:pPr/>
            <w:r/>
            <w:r>
              <w:rPr>
                <w:rFonts w:ascii="Calibri" w:hAnsi="Calibri"/>
              </w:rPr>
              <w:t>Freight Derivatives</w:t>
            </w:r>
          </w:p>
        </w:tc>
        <w:tc>
          <w:tcPr>
            <w:tcW w:type="dxa" w:w="2880"/>
          </w:tcPr>
          <w:p>
            <w:pPr/>
            <w:r/>
            <w:r>
              <w:rPr>
                <w:rFonts w:ascii="Calibri" w:hAnsi="Calibri"/>
              </w:rPr>
              <w:t>Live since September 12, 2025</w:t>
            </w:r>
          </w:p>
        </w:tc>
      </w:tr>
      <w:tr>
        <w:tc>
          <w:tcPr>
            <w:tcW w:type="dxa" w:w="2880"/>
          </w:tcPr>
          <w:p>
            <w:pPr/>
            <w:r/>
            <w:r>
              <w:rPr>
                <w:rFonts w:ascii="Calibri" w:hAnsi="Calibri"/>
              </w:rPr>
              <w:t>ICE Clear Europe</w:t>
            </w:r>
          </w:p>
        </w:tc>
        <w:tc>
          <w:tcPr>
            <w:tcW w:type="dxa" w:w="2880"/>
          </w:tcPr>
          <w:p>
            <w:pPr/>
            <w:r/>
            <w:r>
              <w:rPr>
                <w:rFonts w:ascii="Calibri" w:hAnsi="Calibri"/>
              </w:rPr>
              <w:t>Energy Products (partial)</w:t>
            </w:r>
          </w:p>
        </w:tc>
        <w:tc>
          <w:tcPr>
            <w:tcW w:type="dxa" w:w="2880"/>
          </w:tcPr>
          <w:p>
            <w:pPr/>
            <w:r/>
            <w:r>
              <w:rPr>
                <w:rFonts w:ascii="Calibri" w:hAnsi="Calibri"/>
              </w:rPr>
              <w:t>Live since November 7, 2025</w:t>
            </w:r>
          </w:p>
        </w:tc>
      </w:tr>
      <w:tr>
        <w:tc>
          <w:tcPr>
            <w:tcW w:type="dxa" w:w="2880"/>
          </w:tcPr>
          <w:p>
            <w:pPr/>
            <w:r/>
            <w:r>
              <w:rPr>
                <w:rFonts w:ascii="Calibri" w:hAnsi="Calibri"/>
              </w:rPr>
              <w:t>ICE Clear Europe</w:t>
            </w:r>
          </w:p>
        </w:tc>
        <w:tc>
          <w:tcPr>
            <w:tcW w:type="dxa" w:w="2880"/>
          </w:tcPr>
          <w:p>
            <w:pPr/>
            <w:r/>
            <w:r>
              <w:rPr>
                <w:rFonts w:ascii="Calibri" w:hAnsi="Calibri"/>
              </w:rPr>
              <w:t>Remaining Energy, Interest Rates, Equity Derivatives, Agricultural</w:t>
            </w:r>
          </w:p>
        </w:tc>
        <w:tc>
          <w:tcPr>
            <w:tcW w:type="dxa" w:w="2880"/>
          </w:tcPr>
          <w:p>
            <w:pPr/>
            <w:r/>
            <w:r>
              <w:rPr>
                <w:rFonts w:ascii="Calibri" w:hAnsi="Calibri"/>
              </w:rPr>
              <w:t>Planned -- dates TBD</w:t>
            </w:r>
          </w:p>
        </w:tc>
      </w:tr>
      <w:tr>
        <w:tc>
          <w:tcPr>
            <w:tcW w:type="dxa" w:w="2880"/>
          </w:tcPr>
          <w:p>
            <w:pPr/>
            <w:r/>
            <w:r>
              <w:rPr>
                <w:rFonts w:ascii="Calibri" w:hAnsi="Calibri"/>
              </w:rPr>
              <w:t>ICE Clear U.S.</w:t>
            </w:r>
          </w:p>
        </w:tc>
        <w:tc>
          <w:tcPr>
            <w:tcW w:type="dxa" w:w="2880"/>
          </w:tcPr>
          <w:p>
            <w:pPr/>
            <w:r/>
            <w:r>
              <w:rPr>
                <w:rFonts w:ascii="Calibri" w:hAnsi="Calibri"/>
              </w:rPr>
              <w:t>Other products</w:t>
            </w:r>
          </w:p>
        </w:tc>
        <w:tc>
          <w:tcPr>
            <w:tcW w:type="dxa" w:w="2880"/>
          </w:tcPr>
          <w:p>
            <w:pPr/>
            <w:r/>
            <w:r>
              <w:rPr>
                <w:rFonts w:ascii="Calibri" w:hAnsi="Calibri"/>
              </w:rPr>
              <w:t>Planned -- dates TBD</w:t>
            </w:r>
          </w:p>
        </w:tc>
      </w:tr>
    </w:tbl>
    <w:p/>
    <w:p>
      <w:r>
        <w:rPr>
          <w:rFonts w:ascii="Calibri" w:hAnsi="Calibri"/>
          <w:color w:val="0563C1"/>
          <w:u w:val="single"/>
        </w:rPr>
        <w:t>Source: [ICE Risk Model 2 Methodology</w:t>
      </w:r>
      <w:r>
        <w:rPr>
          <w:rFonts w:ascii="Calibri" w:hAnsi="Calibri"/>
        </w:rPr>
        <w:t xml:space="preserve">; </w:t>
      </w:r>
      <w:r>
        <w:rPr>
          <w:rFonts w:ascii="Calibri" w:hAnsi="Calibri"/>
          <w:color w:val="0563C1"/>
          <w:u w:val="single"/>
        </w:rPr>
        <w:t>ICE Risk Model 2</w:t>
      </w:r>
      <w:r>
        <w:rPr>
          <w:rFonts w:ascii="Calibri" w:hAnsi="Calibri"/>
        </w:rPr>
        <w:t xml:space="preserve">; </w:t>
      </w:r>
      <w:r>
        <w:rPr>
          <w:rFonts w:ascii="Calibri" w:hAnsi="Calibri"/>
          <w:color w:val="0563C1"/>
          <w:u w:val="single"/>
        </w:rPr>
        <w:t>BusinessWire, November 17, 2025</w:t>
      </w:r>
      <w:r>
        <w:rPr>
          <w:rFonts w:ascii="Calibri" w:hAnsi="Calibri"/>
        </w:rPr>
        <w:t xml:space="preserve">; </w:t>
      </w:r>
      <w:r>
        <w:rPr>
          <w:rFonts w:ascii="Calibri" w:hAnsi="Calibri"/>
          <w:color w:val="0563C1"/>
          <w:u w:val="single"/>
        </w:rPr>
        <w:t>ICE Clear Europe Circular C25/069</w:t>
      </w:r>
      <w:r>
        <w:rPr>
          <w:rFonts w:ascii="Calibri" w:hAnsi="Calibri"/>
        </w:rPr>
        <w:t>]</w:t>
      </w:r>
    </w:p>
    <w:p>
      <w:r>
        <w:rPr>
          <w:rFonts w:ascii="Calibri" w:hAnsi="Calibri"/>
          <w:b/>
        </w:rPr>
        <w:t>Additional Margin Components:</w:t>
      </w:r>
    </w:p>
    <w:p>
      <w:r>
        <w:rPr>
          <w:rFonts w:ascii="Calibri" w:hAnsi="Calibri"/>
        </w:rPr>
        <w:t>Beyond base initial margin, ICE clearing houses may require additional margin to cover:</w:t>
      </w:r>
    </w:p>
    <w:p>
      <w:pPr>
        <w:pStyle w:val="ListBullet"/>
      </w:pPr>
      <w:r>
        <w:rPr>
          <w:rFonts w:ascii="Calibri" w:hAnsi="Calibri"/>
          <w:b/>
        </w:rPr>
        <w:t>Concentration risk</w:t>
      </w:r>
      <w:r>
        <w:rPr>
          <w:rFonts w:ascii="Calibri" w:hAnsi="Calibri"/>
        </w:rPr>
        <w:t xml:space="preserve"> -- for large or illiquid positions</w:t>
      </w:r>
    </w:p>
    <w:p>
      <w:pPr>
        <w:pStyle w:val="ListBullet"/>
      </w:pPr>
      <w:r>
        <w:rPr>
          <w:rFonts w:ascii="Calibri" w:hAnsi="Calibri"/>
          <w:b/>
        </w:rPr>
        <w:t>Wrong-way risk</w:t>
      </w:r>
      <w:r>
        <w:rPr>
          <w:rFonts w:ascii="Calibri" w:hAnsi="Calibri"/>
        </w:rPr>
        <w:t xml:space="preserve"> -- where exposure increases as counterparty creditworthiness deteriorates</w:t>
      </w:r>
    </w:p>
    <w:p>
      <w:pPr>
        <w:pStyle w:val="ListBullet"/>
      </w:pPr>
      <w:r>
        <w:rPr>
          <w:rFonts w:ascii="Calibri" w:hAnsi="Calibri"/>
          <w:b/>
        </w:rPr>
        <w:t>Liquidity risk</w:t>
      </w:r>
      <w:r>
        <w:rPr>
          <w:rFonts w:ascii="Calibri" w:hAnsi="Calibri"/>
        </w:rPr>
        <w:t xml:space="preserve"> -- for positions that cannot be readily liquidated</w:t>
      </w:r>
    </w:p>
    <w:p>
      <w:r>
        <w:rPr>
          <w:rFonts w:ascii="Calibri" w:hAnsi="Calibri"/>
          <w:color w:val="0563C1"/>
          <w:u w:val="single"/>
        </w:rPr>
        <w:t>Source: [ICE Clearing Margin Models</w:t>
      </w:r>
      <w:r>
        <w:rPr>
          <w:rFonts w:ascii="Calibri" w:hAnsi="Calibri"/>
        </w:rPr>
        <w:t>]</w:t>
      </w:r>
    </w:p>
    <w:p>
      <w:pPr>
        <w:pStyle w:val="Heading3"/>
      </w:pPr>
      <w:r>
        <w:rPr>
          <w:rFonts w:ascii="Calibri" w:hAnsi="Calibri"/>
        </w:rPr>
        <w:t>3.2 Margin Call Schedule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Entity</w:t>
            </w:r>
          </w:p>
        </w:tc>
        <w:tc>
          <w:tcPr>
            <w:tcW w:type="dxa" w:w="2880"/>
            <w:shd w:fill="4472C4" w:val="clear"/>
          </w:tcPr>
          <w:p>
            <w:pPr/>
            <w:r>
              <w:rPr>
                <w:b/>
                <w:color w:val="FFFFFF"/>
              </w:rPr>
            </w:r>
            <w:r>
              <w:rPr>
                <w:rFonts w:ascii="Calibri" w:hAnsi="Calibri"/>
                <w:b/>
                <w:color w:val="FFFFFF"/>
              </w:rPr>
              <w:t>Routine Margin Calls</w:t>
            </w:r>
          </w:p>
        </w:tc>
        <w:tc>
          <w:tcPr>
            <w:tcW w:type="dxa" w:w="2880"/>
            <w:shd w:fill="4472C4" w:val="clear"/>
          </w:tcPr>
          <w:p>
            <w:pPr/>
            <w:r>
              <w:rPr>
                <w:b/>
                <w:color w:val="FFFFFF"/>
              </w:rPr>
            </w:r>
            <w:r>
              <w:rPr>
                <w:rFonts w:ascii="Calibri" w:hAnsi="Calibri"/>
                <w:b/>
                <w:color w:val="FFFFFF"/>
              </w:rPr>
              <w:t>Intraday Margin Calls</w:t>
            </w:r>
          </w:p>
        </w:tc>
      </w:tr>
      <w:tr>
        <w:tc>
          <w:tcPr>
            <w:tcW w:type="dxa" w:w="2880"/>
          </w:tcPr>
          <w:p>
            <w:pPr/>
            <w:r/>
            <w:r>
              <w:rPr>
                <w:rFonts w:ascii="Calibri" w:hAnsi="Calibri"/>
              </w:rPr>
              <w:t>ICE Clear U.S.</w:t>
            </w:r>
          </w:p>
        </w:tc>
        <w:tc>
          <w:tcPr>
            <w:tcW w:type="dxa" w:w="2880"/>
          </w:tcPr>
          <w:p>
            <w:pPr/>
            <w:r/>
            <w:r>
              <w:rPr>
                <w:rFonts w:ascii="Calibri" w:hAnsi="Calibri"/>
              </w:rPr>
              <w:t>Daily, based on end-of-day settlement prices</w:t>
            </w:r>
          </w:p>
        </w:tc>
        <w:tc>
          <w:tcPr>
            <w:tcW w:type="dxa" w:w="2880"/>
          </w:tcPr>
          <w:p>
            <w:pPr/>
            <w:r/>
            <w:r>
              <w:rPr>
                <w:rFonts w:ascii="Calibri" w:hAnsi="Calibri"/>
              </w:rPr>
              <w:t>Intraday calls as market conditions warrant; ICE Clear U.S. monitors positions in real time</w:t>
            </w:r>
          </w:p>
        </w:tc>
      </w:tr>
      <w:tr>
        <w:tc>
          <w:tcPr>
            <w:tcW w:type="dxa" w:w="2880"/>
          </w:tcPr>
          <w:p>
            <w:pPr/>
            <w:r/>
            <w:r>
              <w:rPr>
                <w:rFonts w:ascii="Calibri" w:hAnsi="Calibri"/>
              </w:rPr>
              <w:t>ICE Clear Europe</w:t>
            </w:r>
          </w:p>
        </w:tc>
        <w:tc>
          <w:tcPr>
            <w:tcW w:type="dxa" w:w="2880"/>
          </w:tcPr>
          <w:p>
            <w:pPr/>
            <w:r/>
            <w:r>
              <w:rPr>
                <w:rFonts w:ascii="Calibri" w:hAnsi="Calibri"/>
              </w:rPr>
              <w:t>Daily margin calls, typically early morning (UK time)</w:t>
            </w:r>
          </w:p>
        </w:tc>
        <w:tc>
          <w:tcPr>
            <w:tcW w:type="dxa" w:w="2880"/>
          </w:tcPr>
          <w:p>
            <w:pPr/>
            <w:r/>
            <w:r>
              <w:rPr>
                <w:rFonts w:ascii="Calibri" w:hAnsi="Calibri"/>
              </w:rPr>
              <w:t>Intraday margin calls may be issued; ICE Clear Europe has the ability to call for additional margin at any time during the business day</w:t>
            </w:r>
          </w:p>
        </w:tc>
      </w:tr>
      <w:tr>
        <w:tc>
          <w:tcPr>
            <w:tcW w:type="dxa" w:w="2880"/>
          </w:tcPr>
          <w:p>
            <w:pPr/>
            <w:r/>
            <w:r>
              <w:rPr>
                <w:rFonts w:ascii="Calibri" w:hAnsi="Calibri"/>
              </w:rPr>
              <w:t>ICE Clear Credit</w:t>
            </w:r>
          </w:p>
        </w:tc>
        <w:tc>
          <w:tcPr>
            <w:tcW w:type="dxa" w:w="2880"/>
          </w:tcPr>
          <w:p>
            <w:pPr/>
            <w:r/>
            <w:r>
              <w:rPr>
                <w:rFonts w:ascii="Calibri" w:hAnsi="Calibri"/>
              </w:rPr>
              <w:t>Daily margin calls</w:t>
            </w:r>
          </w:p>
        </w:tc>
        <w:tc>
          <w:tcPr>
            <w:tcW w:type="dxa" w:w="2880"/>
          </w:tcPr>
          <w:p>
            <w:pPr/>
            <w:r/>
            <w:r>
              <w:rPr>
                <w:rFonts w:ascii="Calibri" w:hAnsi="Calibri"/>
              </w:rPr>
              <w:t>Intraday calls as needed; ICE Clear Credit monitors CDS mark-to-market positions continuously</w:t>
            </w:r>
          </w:p>
        </w:tc>
      </w:tr>
    </w:tbl>
    <w:p/>
    <w:p>
      <w:r>
        <w:rPr>
          <w:rFonts w:ascii="Calibri" w:hAnsi="Calibri"/>
          <w:color w:val="0563C1"/>
          <w:u w:val="single"/>
        </w:rPr>
        <w:t>Source: [ICE Clear U.S. Risk Management</w:t>
      </w:r>
      <w:r>
        <w:rPr>
          <w:rFonts w:ascii="Calibri" w:hAnsi="Calibri"/>
        </w:rPr>
        <w:t xml:space="preserve">; </w:t>
      </w:r>
      <w:r>
        <w:rPr>
          <w:rFonts w:ascii="Calibri" w:hAnsi="Calibri"/>
          <w:color w:val="0563C1"/>
          <w:u w:val="single"/>
        </w:rPr>
        <w:t>ICE Clear Europe Risk Management</w:t>
      </w:r>
      <w:r>
        <w:rPr>
          <w:rFonts w:ascii="Calibri" w:hAnsi="Calibri"/>
        </w:rPr>
        <w:t>]</w:t>
      </w:r>
    </w:p>
    <w:p>
      <w:pPr>
        <w:pStyle w:val="Heading3"/>
      </w:pPr>
      <w:r>
        <w:rPr>
          <w:rFonts w:ascii="Calibri" w:hAnsi="Calibri"/>
        </w:rPr>
        <w:t>3.3 Default Waterfall</w:t>
      </w:r>
    </w:p>
    <w:p>
      <w:r>
        <w:rPr>
          <w:rFonts w:ascii="Calibri" w:hAnsi="Calibri"/>
        </w:rPr>
        <w:t>Each ICE clearing entity maintains a separate default waterfall. The general structure across all three entities follows a similar pattern but with entity-specific variations.</w:t>
      </w:r>
    </w:p>
    <w:p>
      <w:r>
        <w:rPr>
          <w:rFonts w:ascii="Calibri" w:hAnsi="Calibri"/>
          <w:b/>
        </w:rPr>
        <w:t>ICE Clear U.S. Default Waterfall:</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Layer</w:t>
            </w:r>
          </w:p>
        </w:tc>
        <w:tc>
          <w:tcPr>
            <w:tcW w:type="dxa" w:w="2880"/>
            <w:shd w:fill="4472C4" w:val="clear"/>
          </w:tcPr>
          <w:p>
            <w:pPr/>
            <w:r>
              <w:rPr>
                <w:b/>
                <w:color w:val="FFFFFF"/>
              </w:rPr>
            </w:r>
            <w:r>
              <w:rPr>
                <w:rFonts w:ascii="Calibri" w:hAnsi="Calibri"/>
                <w:b/>
                <w:color w:val="FFFFFF"/>
              </w:rPr>
              <w:t>Resource</w:t>
            </w:r>
          </w:p>
        </w:tc>
        <w:tc>
          <w:tcPr>
            <w:tcW w:type="dxa" w:w="2880"/>
            <w:shd w:fill="4472C4" w:val="clear"/>
          </w:tcPr>
          <w:p>
            <w:pPr/>
            <w:r>
              <w:rPr>
                <w:b/>
                <w:color w:val="FFFFFF"/>
              </w:rPr>
            </w:r>
            <w:r>
              <w:rPr>
                <w:rFonts w:ascii="Calibri" w:hAnsi="Calibri"/>
                <w:b/>
                <w:color w:val="FFFFFF"/>
              </w:rPr>
              <w:t>Approximate Size</w:t>
            </w:r>
          </w:p>
        </w:tc>
      </w:tr>
      <w:tr>
        <w:tc>
          <w:tcPr>
            <w:tcW w:type="dxa" w:w="2880"/>
          </w:tcPr>
          <w:p>
            <w:pPr/>
            <w:r/>
            <w:r>
              <w:rPr>
                <w:rFonts w:ascii="Calibri" w:hAnsi="Calibri"/>
              </w:rPr>
              <w:t>1</w:t>
            </w:r>
          </w:p>
        </w:tc>
        <w:tc>
          <w:tcPr>
            <w:tcW w:type="dxa" w:w="2880"/>
          </w:tcPr>
          <w:p>
            <w:pPr/>
            <w:r/>
            <w:r>
              <w:rPr>
                <w:rFonts w:ascii="Calibri" w:hAnsi="Calibri"/>
              </w:rPr>
              <w:t>Defaulting member's initial margin</w:t>
            </w:r>
          </w:p>
        </w:tc>
        <w:tc>
          <w:tcPr>
            <w:tcW w:type="dxa" w:w="2880"/>
          </w:tcPr>
          <w:p>
            <w:pPr/>
            <w:r/>
            <w:r>
              <w:rPr>
                <w:rFonts w:ascii="Calibri" w:hAnsi="Calibri"/>
              </w:rPr>
              <w:t>Varies (total initial margin on deposit: ~$23 billion as of Q3 2025)</w:t>
            </w:r>
          </w:p>
        </w:tc>
      </w:tr>
      <w:tr>
        <w:tc>
          <w:tcPr>
            <w:tcW w:type="dxa" w:w="2880"/>
          </w:tcPr>
          <w:p>
            <w:pPr/>
            <w:r/>
            <w:r>
              <w:rPr>
                <w:rFonts w:ascii="Calibri" w:hAnsi="Calibri"/>
              </w:rPr>
              <w:t>2</w:t>
            </w:r>
          </w:p>
        </w:tc>
        <w:tc>
          <w:tcPr>
            <w:tcW w:type="dxa" w:w="2880"/>
          </w:tcPr>
          <w:p>
            <w:pPr/>
            <w:r/>
            <w:r>
              <w:rPr>
                <w:rFonts w:ascii="Calibri" w:hAnsi="Calibri"/>
              </w:rPr>
              <w:t>Defaulting member's Guaranty Fund contribution</w:t>
            </w:r>
          </w:p>
        </w:tc>
        <w:tc>
          <w:tcPr>
            <w:tcW w:type="dxa" w:w="2880"/>
          </w:tcPr>
          <w:p>
            <w:pPr/>
            <w:r/>
            <w:r>
              <w:rPr>
                <w:rFonts w:ascii="Calibri" w:hAnsi="Calibri"/>
              </w:rPr>
              <w:t>Minimum $2 million per member</w:t>
            </w:r>
          </w:p>
        </w:tc>
      </w:tr>
      <w:tr>
        <w:tc>
          <w:tcPr>
            <w:tcW w:type="dxa" w:w="2880"/>
          </w:tcPr>
          <w:p>
            <w:pPr/>
            <w:r/>
            <w:r>
              <w:rPr>
                <w:rFonts w:ascii="Calibri" w:hAnsi="Calibri"/>
              </w:rPr>
              <w:t>3</w:t>
            </w:r>
          </w:p>
        </w:tc>
        <w:tc>
          <w:tcPr>
            <w:tcW w:type="dxa" w:w="2880"/>
          </w:tcPr>
          <w:p>
            <w:pPr/>
            <w:r/>
            <w:r>
              <w:rPr>
                <w:rFonts w:ascii="Calibri" w:hAnsi="Calibri"/>
              </w:rPr>
              <w:t>ICE's own capital contribution ("Skin in the Game")</w:t>
            </w:r>
          </w:p>
        </w:tc>
        <w:tc>
          <w:tcPr>
            <w:tcW w:type="dxa" w:w="2880"/>
          </w:tcPr>
          <w:p>
            <w:pPr/>
            <w:r/>
            <w:r>
              <w:rPr>
                <w:rFonts w:ascii="Calibri" w:hAnsi="Calibri"/>
              </w:rPr>
              <w:t>[unverified -- estimated ~$75 million based on Q2 2025 disclosures]</w:t>
            </w:r>
          </w:p>
        </w:tc>
      </w:tr>
      <w:tr>
        <w:tc>
          <w:tcPr>
            <w:tcW w:type="dxa" w:w="2880"/>
          </w:tcPr>
          <w:p>
            <w:pPr/>
            <w:r/>
            <w:r>
              <w:rPr>
                <w:rFonts w:ascii="Calibri" w:hAnsi="Calibri"/>
              </w:rPr>
              <w:t>4</w:t>
            </w:r>
          </w:p>
        </w:tc>
        <w:tc>
          <w:tcPr>
            <w:tcW w:type="dxa" w:w="2880"/>
          </w:tcPr>
          <w:p>
            <w:pPr/>
            <w:r/>
            <w:r>
              <w:rPr>
                <w:rFonts w:ascii="Calibri" w:hAnsi="Calibri"/>
              </w:rPr>
              <w:t>Default Insurance</w:t>
            </w:r>
          </w:p>
        </w:tc>
        <w:tc>
          <w:tcPr>
            <w:tcW w:type="dxa" w:w="2880"/>
          </w:tcPr>
          <w:p>
            <w:pPr/>
            <w:r/>
            <w:r>
              <w:rPr>
                <w:rFonts w:ascii="Calibri" w:hAnsi="Calibri"/>
              </w:rPr>
              <w:t>$25 million (renewed September 2025, three-year term)</w:t>
            </w:r>
          </w:p>
        </w:tc>
      </w:tr>
      <w:tr>
        <w:tc>
          <w:tcPr>
            <w:tcW w:type="dxa" w:w="2880"/>
          </w:tcPr>
          <w:p>
            <w:pPr/>
            <w:r/>
            <w:r>
              <w:rPr>
                <w:rFonts w:ascii="Calibri" w:hAnsi="Calibri"/>
              </w:rPr>
              <w:t>5</w:t>
            </w:r>
          </w:p>
        </w:tc>
        <w:tc>
          <w:tcPr>
            <w:tcW w:type="dxa" w:w="2880"/>
          </w:tcPr>
          <w:p>
            <w:pPr/>
            <w:r/>
            <w:r>
              <w:rPr>
                <w:rFonts w:ascii="Calibri" w:hAnsi="Calibri"/>
              </w:rPr>
              <w:t>Non-defaulting members' Guaranty Fund contributions</w:t>
            </w:r>
          </w:p>
        </w:tc>
        <w:tc>
          <w:tcPr>
            <w:tcW w:type="dxa" w:w="2880"/>
          </w:tcPr>
          <w:p>
            <w:pPr/>
            <w:r/>
            <w:r>
              <w:rPr>
                <w:rFonts w:ascii="Calibri" w:hAnsi="Calibri"/>
              </w:rPr>
              <w:t>Pro rata from remaining Guaranty Fund</w:t>
            </w:r>
          </w:p>
        </w:tc>
      </w:tr>
      <w:tr>
        <w:tc>
          <w:tcPr>
            <w:tcW w:type="dxa" w:w="2880"/>
          </w:tcPr>
          <w:p>
            <w:pPr/>
            <w:r/>
            <w:r>
              <w:rPr>
                <w:rFonts w:ascii="Calibri" w:hAnsi="Calibri"/>
              </w:rPr>
              <w:t>6</w:t>
            </w:r>
          </w:p>
        </w:tc>
        <w:tc>
          <w:tcPr>
            <w:tcW w:type="dxa" w:w="2880"/>
          </w:tcPr>
          <w:p>
            <w:pPr/>
            <w:r/>
            <w:r>
              <w:rPr>
                <w:rFonts w:ascii="Calibri" w:hAnsi="Calibri"/>
              </w:rPr>
              <w:t>Assessment powers on non-defaulting members</w:t>
            </w:r>
          </w:p>
        </w:tc>
        <w:tc>
          <w:tcPr>
            <w:tcW w:type="dxa" w:w="2880"/>
          </w:tcPr>
          <w:p>
            <w:pPr/>
            <w:r/>
            <w:r>
              <w:rPr>
                <w:rFonts w:ascii="Calibri" w:hAnsi="Calibri"/>
              </w:rPr>
              <w:t>Capped amounts per rules</w:t>
            </w:r>
          </w:p>
        </w:tc>
      </w:tr>
    </w:tbl>
    <w:p/>
    <w:p>
      <w:r>
        <w:rPr>
          <w:rFonts w:ascii="Calibri" w:hAnsi="Calibri"/>
          <w:b/>
        </w:rPr>
        <w:t>ICE Clear Europe Default Waterfall:</w:t>
      </w:r>
    </w:p>
    <w:p>
      <w:r>
        <w:rPr>
          <w:rFonts w:ascii="Calibri" w:hAnsi="Calibri"/>
        </w:rPr>
        <w:t xml:space="preserve">ICE Clear Europe operates two separate Guaranty Fund segments for Futures &amp; Options: an </w:t>
      </w:r>
      <w:r>
        <w:rPr>
          <w:rFonts w:ascii="Calibri" w:hAnsi="Calibri"/>
          <w:b/>
        </w:rPr>
        <w:t>Energy Segment</w:t>
      </w:r>
      <w:r>
        <w:rPr>
          <w:rFonts w:ascii="Calibri" w:hAnsi="Calibri"/>
        </w:rPr>
        <w:t xml:space="preserve"> and a </w:t>
      </w:r>
      <w:r>
        <w:rPr>
          <w:rFonts w:ascii="Calibri" w:hAnsi="Calibri"/>
          <w:b/>
        </w:rPr>
        <w:t>Financials &amp; Softs Segment</w:t>
      </w:r>
      <w:r>
        <w:rPr>
          <w:rFonts w:ascii="Calibri" w:hAnsi="Calibri"/>
        </w:rPr>
        <w:t>. Each segment is calibrated on a Cover-2 basis (sufficient to cover the simultaneous default of the two clearing member groups with the largest aggregate exposure under extreme but plausible scenarios).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Layer</w:t>
            </w:r>
          </w:p>
        </w:tc>
        <w:tc>
          <w:tcPr>
            <w:tcW w:type="dxa" w:w="2880"/>
            <w:shd w:fill="4472C4" w:val="clear"/>
          </w:tcPr>
          <w:p>
            <w:pPr/>
            <w:r>
              <w:rPr>
                <w:b/>
                <w:color w:val="FFFFFF"/>
              </w:rPr>
            </w:r>
            <w:r>
              <w:rPr>
                <w:rFonts w:ascii="Calibri" w:hAnsi="Calibri"/>
                <w:b/>
                <w:color w:val="FFFFFF"/>
              </w:rPr>
              <w:t>Resource</w:t>
            </w:r>
          </w:p>
        </w:tc>
        <w:tc>
          <w:tcPr>
            <w:tcW w:type="dxa" w:w="2880"/>
            <w:shd w:fill="4472C4" w:val="clear"/>
          </w:tcPr>
          <w:p>
            <w:pPr/>
            <w:r>
              <w:rPr>
                <w:b/>
                <w:color w:val="FFFFFF"/>
              </w:rPr>
            </w:r>
            <w:r>
              <w:rPr>
                <w:rFonts w:ascii="Calibri" w:hAnsi="Calibri"/>
                <w:b/>
                <w:color w:val="FFFFFF"/>
              </w:rPr>
              <w:t>Approximate Size</w:t>
            </w:r>
          </w:p>
        </w:tc>
      </w:tr>
      <w:tr>
        <w:tc>
          <w:tcPr>
            <w:tcW w:type="dxa" w:w="2880"/>
          </w:tcPr>
          <w:p>
            <w:pPr/>
            <w:r/>
            <w:r>
              <w:rPr>
                <w:rFonts w:ascii="Calibri" w:hAnsi="Calibri"/>
              </w:rPr>
              <w:t>1</w:t>
            </w:r>
          </w:p>
        </w:tc>
        <w:tc>
          <w:tcPr>
            <w:tcW w:type="dxa" w:w="2880"/>
          </w:tcPr>
          <w:p>
            <w:pPr/>
            <w:r/>
            <w:r>
              <w:rPr>
                <w:rFonts w:ascii="Calibri" w:hAnsi="Calibri"/>
              </w:rPr>
              <w:t>Defaulting member's initial margin</w:t>
            </w:r>
          </w:p>
        </w:tc>
        <w:tc>
          <w:tcPr>
            <w:tcW w:type="dxa" w:w="2880"/>
          </w:tcPr>
          <w:p>
            <w:pPr/>
            <w:r/>
            <w:r>
              <w:rPr>
                <w:rFonts w:ascii="Calibri" w:hAnsi="Calibri"/>
              </w:rPr>
              <w:t>Varies</w:t>
            </w:r>
          </w:p>
        </w:tc>
      </w:tr>
      <w:tr>
        <w:tc>
          <w:tcPr>
            <w:tcW w:type="dxa" w:w="2880"/>
          </w:tcPr>
          <w:p>
            <w:pPr/>
            <w:r/>
            <w:r>
              <w:rPr>
                <w:rFonts w:ascii="Calibri" w:hAnsi="Calibri"/>
              </w:rPr>
              <w:t>2</w:t>
            </w:r>
          </w:p>
        </w:tc>
        <w:tc>
          <w:tcPr>
            <w:tcW w:type="dxa" w:w="2880"/>
          </w:tcPr>
          <w:p>
            <w:pPr/>
            <w:r/>
            <w:r>
              <w:rPr>
                <w:rFonts w:ascii="Calibri" w:hAnsi="Calibri"/>
              </w:rPr>
              <w:t>Defaulting member's Guaranty Fund contribution</w:t>
            </w:r>
          </w:p>
        </w:tc>
        <w:tc>
          <w:tcPr>
            <w:tcW w:type="dxa" w:w="2880"/>
          </w:tcPr>
          <w:p>
            <w:pPr/>
            <w:r/>
            <w:r>
              <w:rPr>
                <w:rFonts w:ascii="Calibri" w:hAnsi="Calibri"/>
              </w:rPr>
              <w:t>Full amount consumed before other resources</w:t>
            </w:r>
          </w:p>
        </w:tc>
      </w:tr>
      <w:tr>
        <w:tc>
          <w:tcPr>
            <w:tcW w:type="dxa" w:w="2880"/>
          </w:tcPr>
          <w:p>
            <w:pPr/>
            <w:r/>
            <w:r>
              <w:rPr>
                <w:rFonts w:ascii="Calibri" w:hAnsi="Calibri"/>
              </w:rPr>
              <w:t>3</w:t>
            </w:r>
          </w:p>
        </w:tc>
        <w:tc>
          <w:tcPr>
            <w:tcW w:type="dxa" w:w="2880"/>
          </w:tcPr>
          <w:p>
            <w:pPr/>
            <w:r/>
            <w:r>
              <w:rPr>
                <w:rFonts w:ascii="Calibri" w:hAnsi="Calibri"/>
              </w:rPr>
              <w:t>ICE's F&amp;O Initial Contribution ("Skin in the Game")</w:t>
            </w:r>
          </w:p>
        </w:tc>
        <w:tc>
          <w:tcPr>
            <w:tcW w:type="dxa" w:w="2880"/>
          </w:tcPr>
          <w:p>
            <w:pPr/>
            <w:r/>
            <w:r>
              <w:rPr>
                <w:rFonts w:ascii="Calibri" w:hAnsi="Calibri"/>
              </w:rPr>
              <w:t>Consumed before non-defaulting members' contributions</w:t>
            </w:r>
          </w:p>
        </w:tc>
      </w:tr>
      <w:tr>
        <w:tc>
          <w:tcPr>
            <w:tcW w:type="dxa" w:w="2880"/>
          </w:tcPr>
          <w:p>
            <w:pPr/>
            <w:r/>
            <w:r>
              <w:rPr>
                <w:rFonts w:ascii="Calibri" w:hAnsi="Calibri"/>
              </w:rPr>
              <w:t>4</w:t>
            </w:r>
          </w:p>
        </w:tc>
        <w:tc>
          <w:tcPr>
            <w:tcW w:type="dxa" w:w="2880"/>
          </w:tcPr>
          <w:p>
            <w:pPr/>
            <w:r/>
            <w:r>
              <w:rPr>
                <w:rFonts w:ascii="Calibri" w:hAnsi="Calibri"/>
              </w:rPr>
              <w:t>Default Insurance</w:t>
            </w:r>
          </w:p>
        </w:tc>
        <w:tc>
          <w:tcPr>
            <w:tcW w:type="dxa" w:w="2880"/>
          </w:tcPr>
          <w:p>
            <w:pPr/>
            <w:r/>
            <w:r>
              <w:rPr>
                <w:rFonts w:ascii="Calibri" w:hAnsi="Calibri"/>
              </w:rPr>
              <w:t>$100 million (renewed September 2025, three-year term)</w:t>
            </w:r>
          </w:p>
        </w:tc>
      </w:tr>
      <w:tr>
        <w:tc>
          <w:tcPr>
            <w:tcW w:type="dxa" w:w="2880"/>
          </w:tcPr>
          <w:p>
            <w:pPr/>
            <w:r/>
            <w:r>
              <w:rPr>
                <w:rFonts w:ascii="Calibri" w:hAnsi="Calibri"/>
              </w:rPr>
              <w:t>5</w:t>
            </w:r>
          </w:p>
        </w:tc>
        <w:tc>
          <w:tcPr>
            <w:tcW w:type="dxa" w:w="2880"/>
          </w:tcPr>
          <w:p>
            <w:pPr/>
            <w:r/>
            <w:r>
              <w:rPr>
                <w:rFonts w:ascii="Calibri" w:hAnsi="Calibri"/>
              </w:rPr>
              <w:t>Non-defaulting members' Guaranty Fund contributions (relevant segment first)</w:t>
            </w:r>
          </w:p>
        </w:tc>
        <w:tc>
          <w:tcPr>
            <w:tcW w:type="dxa" w:w="2880"/>
          </w:tcPr>
          <w:p>
            <w:pPr/>
            <w:r/>
            <w:r>
              <w:rPr>
                <w:rFonts w:ascii="Calibri" w:hAnsi="Calibri"/>
              </w:rPr>
              <w:t>Total minimum Guaranty Fund requirements ~$2.9 billion (as of January 31, 2025)</w:t>
            </w:r>
          </w:p>
        </w:tc>
      </w:tr>
      <w:tr>
        <w:tc>
          <w:tcPr>
            <w:tcW w:type="dxa" w:w="2880"/>
          </w:tcPr>
          <w:p>
            <w:pPr/>
            <w:r/>
            <w:r>
              <w:rPr>
                <w:rFonts w:ascii="Calibri" w:hAnsi="Calibri"/>
              </w:rPr>
              <w:t>6</w:t>
            </w:r>
          </w:p>
        </w:tc>
        <w:tc>
          <w:tcPr>
            <w:tcW w:type="dxa" w:w="2880"/>
          </w:tcPr>
          <w:p>
            <w:pPr/>
            <w:r/>
            <w:r>
              <w:rPr>
                <w:rFonts w:ascii="Calibri" w:hAnsi="Calibri"/>
              </w:rPr>
              <w:t>Cross-segment Guaranty Fund (if loss exceeds relevant segment)</w:t>
            </w:r>
          </w:p>
        </w:tc>
        <w:tc>
          <w:tcPr>
            <w:tcW w:type="dxa" w:w="2880"/>
          </w:tcPr>
          <w:p>
            <w:pPr/>
            <w:r/>
            <w:r>
              <w:rPr>
                <w:rFonts w:ascii="Calibri" w:hAnsi="Calibri"/>
              </w:rPr>
              <w:t>Contributions from the other F&amp;O segment</w:t>
            </w:r>
          </w:p>
        </w:tc>
      </w:tr>
      <w:tr>
        <w:tc>
          <w:tcPr>
            <w:tcW w:type="dxa" w:w="2880"/>
          </w:tcPr>
          <w:p>
            <w:pPr/>
            <w:r/>
            <w:r>
              <w:rPr>
                <w:rFonts w:ascii="Calibri" w:hAnsi="Calibri"/>
              </w:rPr>
              <w:t>7</w:t>
            </w:r>
          </w:p>
        </w:tc>
        <w:tc>
          <w:tcPr>
            <w:tcW w:type="dxa" w:w="2880"/>
          </w:tcPr>
          <w:p>
            <w:pPr/>
            <w:r/>
            <w:r>
              <w:rPr>
                <w:rFonts w:ascii="Calibri" w:hAnsi="Calibri"/>
              </w:rPr>
              <w:t>Assessment powers on non-defaulting members</w:t>
            </w:r>
          </w:p>
        </w:tc>
        <w:tc>
          <w:tcPr>
            <w:tcW w:type="dxa" w:w="2880"/>
          </w:tcPr>
          <w:p>
            <w:pPr/>
            <w:r/>
            <w:r>
              <w:rPr>
                <w:rFonts w:ascii="Calibri" w:hAnsi="Calibri"/>
              </w:rPr>
              <w:t>Limited to a set multiple of prior Guaranty Fund contributions</w:t>
            </w:r>
          </w:p>
        </w:tc>
      </w:tr>
    </w:tbl>
    <w:p/>
    <w:p>
      <w:r>
        <w:rPr>
          <w:rFonts w:ascii="Calibri" w:hAnsi="Calibri"/>
          <w:b/>
        </w:rPr>
        <w:t>Segment Segregation Rule:</w:t>
      </w:r>
      <w:r>
        <w:rPr>
          <w:rFonts w:ascii="Calibri" w:hAnsi="Calibri"/>
        </w:rPr>
        <w:t xml:space="preserve"> Where a loss relates to Financials &amp; Softs contracts, the clearing member's Financials &amp; Softs Segment contributions are exhausted before the Energy Segment is accessed, and vice versa. </w:t>
      </w:r>
      <w:r>
        <w:rPr>
          <w:rFonts w:ascii="Calibri" w:hAnsi="Calibri"/>
          <w:color w:val="0563C1"/>
          <w:u w:val="single"/>
        </w:rPr>
        <w:t>Source: [ICE Clear Europe Risk Management</w:t>
      </w:r>
      <w:r>
        <w:rPr>
          <w:rFonts w:ascii="Calibri" w:hAnsi="Calibri"/>
        </w:rPr>
        <w:t xml:space="preserve">; </w:t>
      </w:r>
      <w:r>
        <w:rPr>
          <w:rFonts w:ascii="Calibri" w:hAnsi="Calibri"/>
          <w:color w:val="0563C1"/>
          <w:u w:val="single"/>
        </w:rPr>
        <w:t>ICE Clear Europe Risk FAQ</w:t>
      </w:r>
      <w:r>
        <w:rPr>
          <w:rFonts w:ascii="Calibri" w:hAnsi="Calibri"/>
        </w:rPr>
        <w:t>]</w:t>
      </w:r>
    </w:p>
    <w:p>
      <w:r>
        <w:rPr>
          <w:rFonts w:ascii="Calibri" w:hAnsi="Calibri"/>
          <w:b/>
        </w:rPr>
        <w:t>ICE Clear Credit Default Waterfall:</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Layer</w:t>
            </w:r>
          </w:p>
        </w:tc>
        <w:tc>
          <w:tcPr>
            <w:tcW w:type="dxa" w:w="2880"/>
            <w:shd w:fill="4472C4" w:val="clear"/>
          </w:tcPr>
          <w:p>
            <w:pPr/>
            <w:r>
              <w:rPr>
                <w:b/>
                <w:color w:val="FFFFFF"/>
              </w:rPr>
            </w:r>
            <w:r>
              <w:rPr>
                <w:rFonts w:ascii="Calibri" w:hAnsi="Calibri"/>
                <w:b/>
                <w:color w:val="FFFFFF"/>
              </w:rPr>
              <w:t>Resource</w:t>
            </w:r>
          </w:p>
        </w:tc>
        <w:tc>
          <w:tcPr>
            <w:tcW w:type="dxa" w:w="2880"/>
            <w:shd w:fill="4472C4" w:val="clear"/>
          </w:tcPr>
          <w:p>
            <w:pPr/>
            <w:r>
              <w:rPr>
                <w:b/>
                <w:color w:val="FFFFFF"/>
              </w:rPr>
            </w:r>
            <w:r>
              <w:rPr>
                <w:rFonts w:ascii="Calibri" w:hAnsi="Calibri"/>
                <w:b/>
                <w:color w:val="FFFFFF"/>
              </w:rPr>
              <w:t>Approximate Size</w:t>
            </w:r>
          </w:p>
        </w:tc>
      </w:tr>
      <w:tr>
        <w:tc>
          <w:tcPr>
            <w:tcW w:type="dxa" w:w="2880"/>
          </w:tcPr>
          <w:p>
            <w:pPr/>
            <w:r/>
            <w:r>
              <w:rPr>
                <w:rFonts w:ascii="Calibri" w:hAnsi="Calibri"/>
              </w:rPr>
              <w:t>1</w:t>
            </w:r>
          </w:p>
        </w:tc>
        <w:tc>
          <w:tcPr>
            <w:tcW w:type="dxa" w:w="2880"/>
          </w:tcPr>
          <w:p>
            <w:pPr/>
            <w:r/>
            <w:r>
              <w:rPr>
                <w:rFonts w:ascii="Calibri" w:hAnsi="Calibri"/>
              </w:rPr>
              <w:t>Defaulting participant's initial margin</w:t>
            </w:r>
          </w:p>
        </w:tc>
        <w:tc>
          <w:tcPr>
            <w:tcW w:type="dxa" w:w="2880"/>
          </w:tcPr>
          <w:p>
            <w:pPr/>
            <w:r/>
            <w:r>
              <w:rPr>
                <w:rFonts w:ascii="Calibri" w:hAnsi="Calibri"/>
              </w:rPr>
              <w:t>Varies (over $20 billion in USD cash margin held at Federal Reserve Bank of Chicago)</w:t>
            </w:r>
          </w:p>
        </w:tc>
      </w:tr>
      <w:tr>
        <w:tc>
          <w:tcPr>
            <w:tcW w:type="dxa" w:w="2880"/>
          </w:tcPr>
          <w:p>
            <w:pPr/>
            <w:r/>
            <w:r>
              <w:rPr>
                <w:rFonts w:ascii="Calibri" w:hAnsi="Calibri"/>
              </w:rPr>
              <w:t>2</w:t>
            </w:r>
          </w:p>
        </w:tc>
        <w:tc>
          <w:tcPr>
            <w:tcW w:type="dxa" w:w="2880"/>
          </w:tcPr>
          <w:p>
            <w:pPr/>
            <w:r/>
            <w:r>
              <w:rPr>
                <w:rFonts w:ascii="Calibri" w:hAnsi="Calibri"/>
              </w:rPr>
              <w:t>Defaulting participant's Guaranty Fund contribution</w:t>
            </w:r>
          </w:p>
        </w:tc>
        <w:tc>
          <w:tcPr>
            <w:tcW w:type="dxa" w:w="2880"/>
          </w:tcPr>
          <w:p>
            <w:pPr/>
            <w:r/>
            <w:r>
              <w:rPr>
                <w:rFonts w:ascii="Calibri" w:hAnsi="Calibri"/>
              </w:rPr>
              <w:t>Minimum $20 million per participant</w:t>
            </w:r>
          </w:p>
        </w:tc>
      </w:tr>
      <w:tr>
        <w:tc>
          <w:tcPr>
            <w:tcW w:type="dxa" w:w="2880"/>
          </w:tcPr>
          <w:p>
            <w:pPr/>
            <w:r/>
            <w:r>
              <w:rPr>
                <w:rFonts w:ascii="Calibri" w:hAnsi="Calibri"/>
              </w:rPr>
              <w:t>3</w:t>
            </w:r>
          </w:p>
        </w:tc>
        <w:tc>
          <w:tcPr>
            <w:tcW w:type="dxa" w:w="2880"/>
          </w:tcPr>
          <w:p>
            <w:pPr/>
            <w:r/>
            <w:r>
              <w:rPr>
                <w:rFonts w:ascii="Calibri" w:hAnsi="Calibri"/>
              </w:rPr>
              <w:t>ICE's own capital contribution ("Skin in the Game")</w:t>
            </w:r>
          </w:p>
        </w:tc>
        <w:tc>
          <w:tcPr>
            <w:tcW w:type="dxa" w:w="2880"/>
          </w:tcPr>
          <w:p>
            <w:pPr/>
            <w:r/>
            <w:r>
              <w:rPr>
                <w:rFonts w:ascii="Calibri" w:hAnsi="Calibri"/>
              </w:rPr>
              <w:t>$100 million (consumed before non-defaulting members' contributions)</w:t>
            </w:r>
          </w:p>
        </w:tc>
      </w:tr>
      <w:tr>
        <w:tc>
          <w:tcPr>
            <w:tcW w:type="dxa" w:w="2880"/>
          </w:tcPr>
          <w:p>
            <w:pPr/>
            <w:r/>
            <w:r>
              <w:rPr>
                <w:rFonts w:ascii="Calibri" w:hAnsi="Calibri"/>
              </w:rPr>
              <w:t>4</w:t>
            </w:r>
          </w:p>
        </w:tc>
        <w:tc>
          <w:tcPr>
            <w:tcW w:type="dxa" w:w="2880"/>
          </w:tcPr>
          <w:p>
            <w:pPr/>
            <w:r/>
            <w:r>
              <w:rPr>
                <w:rFonts w:ascii="Calibri" w:hAnsi="Calibri"/>
              </w:rPr>
              <w:t>Default Insurance</w:t>
            </w:r>
          </w:p>
        </w:tc>
        <w:tc>
          <w:tcPr>
            <w:tcW w:type="dxa" w:w="2880"/>
          </w:tcPr>
          <w:p>
            <w:pPr/>
            <w:r/>
            <w:r>
              <w:rPr>
                <w:rFonts w:ascii="Calibri" w:hAnsi="Calibri"/>
              </w:rPr>
              <w:t>$75 million (renewed September 2025, three-year term)</w:t>
            </w:r>
          </w:p>
        </w:tc>
      </w:tr>
      <w:tr>
        <w:tc>
          <w:tcPr>
            <w:tcW w:type="dxa" w:w="2880"/>
          </w:tcPr>
          <w:p>
            <w:pPr/>
            <w:r/>
            <w:r>
              <w:rPr>
                <w:rFonts w:ascii="Calibri" w:hAnsi="Calibri"/>
              </w:rPr>
              <w:t>5</w:t>
            </w:r>
          </w:p>
        </w:tc>
        <w:tc>
          <w:tcPr>
            <w:tcW w:type="dxa" w:w="2880"/>
          </w:tcPr>
          <w:p>
            <w:pPr/>
            <w:r/>
            <w:r>
              <w:rPr>
                <w:rFonts w:ascii="Calibri" w:hAnsi="Calibri"/>
              </w:rPr>
              <w:t>Non-defaulting participants' Guaranty Fund contributions</w:t>
            </w:r>
          </w:p>
        </w:tc>
        <w:tc>
          <w:tcPr>
            <w:tcW w:type="dxa" w:w="2880"/>
          </w:tcPr>
          <w:p>
            <w:pPr/>
            <w:r/>
            <w:r>
              <w:rPr>
                <w:rFonts w:ascii="Calibri" w:hAnsi="Calibri"/>
              </w:rPr>
              <w:t>Pro rata</w:t>
            </w:r>
          </w:p>
        </w:tc>
      </w:tr>
      <w:tr>
        <w:tc>
          <w:tcPr>
            <w:tcW w:type="dxa" w:w="2880"/>
          </w:tcPr>
          <w:p>
            <w:pPr/>
            <w:r/>
            <w:r>
              <w:rPr>
                <w:rFonts w:ascii="Calibri" w:hAnsi="Calibri"/>
              </w:rPr>
              <w:t>6</w:t>
            </w:r>
          </w:p>
        </w:tc>
        <w:tc>
          <w:tcPr>
            <w:tcW w:type="dxa" w:w="2880"/>
          </w:tcPr>
          <w:p>
            <w:pPr/>
            <w:r/>
            <w:r>
              <w:rPr>
                <w:rFonts w:ascii="Calibri" w:hAnsi="Calibri"/>
              </w:rPr>
              <w:t>Assessment powers</w:t>
            </w:r>
          </w:p>
        </w:tc>
        <w:tc>
          <w:tcPr>
            <w:tcW w:type="dxa" w:w="2880"/>
          </w:tcPr>
          <w:p>
            <w:pPr/>
            <w:r/>
            <w:r>
              <w:rPr>
                <w:rFonts w:ascii="Calibri" w:hAnsi="Calibri"/>
              </w:rPr>
              <w:t>Per ICC rules</w:t>
            </w:r>
          </w:p>
        </w:tc>
      </w:tr>
    </w:tbl>
    <w:p/>
    <w:p>
      <w:r>
        <w:rPr>
          <w:rFonts w:ascii="Calibri" w:hAnsi="Calibri"/>
          <w:b/>
        </w:rPr>
        <w:t>Note on ICE's SITG placement:</w:t>
      </w:r>
      <w:r>
        <w:rPr>
          <w:rFonts w:ascii="Calibri" w:hAnsi="Calibri"/>
        </w:rPr>
        <w:t xml:space="preserve"> Unlike some CCPs where the CCP's own contribution comes after non-defaulting members' resources, ICE places its SITG before non-defaulting members' Guaranty Fund contributions. This means ICE's own capital is consumed prior to the Guaranty Fund contributions of non-defaulters, providing an alignment of incentives for robust risk management. </w:t>
      </w:r>
      <w:r>
        <w:rPr>
          <w:rFonts w:ascii="Calibri" w:hAnsi="Calibri"/>
          <w:color w:val="0563C1"/>
          <w:u w:val="single"/>
        </w:rPr>
        <w:t>Source: [WFE Focus -- The Importance of Skin-in-the-Game in Managing CCP Risk</w:t>
      </w:r>
      <w:r>
        <w:rPr>
          <w:rFonts w:ascii="Calibri" w:hAnsi="Calibri"/>
        </w:rPr>
        <w:t xml:space="preserve">; </w:t>
      </w:r>
      <w:r>
        <w:rPr>
          <w:rFonts w:ascii="Calibri" w:hAnsi="Calibri"/>
          <w:color w:val="0563C1"/>
          <w:u w:val="single"/>
        </w:rPr>
        <w:t>Risk.net -- Ice adds insurance to default waterfall</w:t>
      </w:r>
      <w:r>
        <w:rPr>
          <w:rFonts w:ascii="Calibri" w:hAnsi="Calibri"/>
        </w:rPr>
        <w:t>]</w:t>
      </w:r>
    </w:p>
    <w:p>
      <w:r>
        <w:rPr>
          <w:rFonts w:ascii="Calibri" w:hAnsi="Calibri"/>
          <w:b/>
        </w:rPr>
        <w:t>Aggregate ICE SITG and Default Insurance:</w:t>
      </w:r>
    </w:p>
    <w:p>
      <w:r>
        <w:rPr>
          <w:rFonts w:ascii="Calibri" w:hAnsi="Calibri"/>
        </w:rPr>
        <w:t xml:space="preserve">In aggregate across all ICE clearing houses, ICE has contributed in excess of US$660 million in the form of SITG and default insurance, with over US$410 million of ICE's own capital on a voluntary basis as SITG. </w:t>
      </w:r>
      <w:r>
        <w:rPr>
          <w:rFonts w:ascii="Calibri" w:hAnsi="Calibri"/>
          <w:color w:val="0563C1"/>
          <w:u w:val="single"/>
        </w:rPr>
        <w:t>Source: [ICE Quarterly Clearing Disclosures Q2 2025</w:t>
      </w:r>
      <w:r>
        <w:rPr>
          <w:rFonts w:ascii="Calibri" w:hAnsi="Calibri"/>
        </w:rPr>
        <w:t>]</w:t>
      </w:r>
    </w:p>
    <w:p>
      <w:pPr>
        <w:pStyle w:val="Heading3"/>
      </w:pPr>
      <w:r>
        <w:rPr>
          <w:rFonts w:ascii="Calibri" w:hAnsi="Calibri"/>
        </w:rPr>
        <w:t>3.4 Default Fund / Guarantee Fund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Entity</w:t>
            </w:r>
          </w:p>
        </w:tc>
        <w:tc>
          <w:tcPr>
            <w:tcW w:type="dxa" w:w="2160"/>
            <w:shd w:fill="4472C4" w:val="clear"/>
          </w:tcPr>
          <w:p>
            <w:pPr/>
            <w:r>
              <w:rPr>
                <w:b/>
                <w:color w:val="FFFFFF"/>
              </w:rPr>
            </w:r>
            <w:r>
              <w:rPr>
                <w:rFonts w:ascii="Calibri" w:hAnsi="Calibri"/>
                <w:b/>
                <w:color w:val="FFFFFF"/>
              </w:rPr>
              <w:t>Fund Structure</w:t>
            </w:r>
          </w:p>
        </w:tc>
        <w:tc>
          <w:tcPr>
            <w:tcW w:type="dxa" w:w="2160"/>
            <w:shd w:fill="4472C4" w:val="clear"/>
          </w:tcPr>
          <w:p>
            <w:pPr/>
            <w:r>
              <w:rPr>
                <w:b/>
                <w:color w:val="FFFFFF"/>
              </w:rPr>
            </w:r>
            <w:r>
              <w:rPr>
                <w:rFonts w:ascii="Calibri" w:hAnsi="Calibri"/>
                <w:b/>
                <w:color w:val="FFFFFF"/>
              </w:rPr>
              <w:t>Cover Standard</w:t>
            </w:r>
          </w:p>
        </w:tc>
        <w:tc>
          <w:tcPr>
            <w:tcW w:type="dxa" w:w="2160"/>
            <w:shd w:fill="4472C4" w:val="clear"/>
          </w:tcPr>
          <w:p>
            <w:pPr/>
            <w:r>
              <w:rPr>
                <w:b/>
                <w:color w:val="FFFFFF"/>
              </w:rPr>
            </w:r>
            <w:r>
              <w:rPr>
                <w:rFonts w:ascii="Calibri" w:hAnsi="Calibri"/>
                <w:b/>
                <w:color w:val="FFFFFF"/>
              </w:rPr>
              <w:t>Approximate Size</w:t>
            </w:r>
          </w:p>
        </w:tc>
      </w:tr>
      <w:tr>
        <w:tc>
          <w:tcPr>
            <w:tcW w:type="dxa" w:w="2160"/>
          </w:tcPr>
          <w:p>
            <w:pPr/>
            <w:r/>
            <w:r>
              <w:rPr>
                <w:rFonts w:ascii="Calibri" w:hAnsi="Calibri"/>
              </w:rPr>
              <w:t>ICE Clear U.S.</w:t>
            </w:r>
          </w:p>
        </w:tc>
        <w:tc>
          <w:tcPr>
            <w:tcW w:type="dxa" w:w="2160"/>
          </w:tcPr>
          <w:p>
            <w:pPr/>
            <w:r/>
            <w:r>
              <w:rPr>
                <w:rFonts w:ascii="Calibri" w:hAnsi="Calibri"/>
              </w:rPr>
              <w:t>Single Guaranty Fund</w:t>
            </w:r>
          </w:p>
        </w:tc>
        <w:tc>
          <w:tcPr>
            <w:tcW w:type="dxa" w:w="2160"/>
          </w:tcPr>
          <w:p>
            <w:pPr/>
            <w:r/>
            <w:r>
              <w:rPr>
                <w:rFonts w:ascii="Calibri" w:hAnsi="Calibri"/>
              </w:rPr>
              <w:t>Cover-2 (two largest clearing member groups under extreme but plausible scenarios)</w:t>
            </w:r>
          </w:p>
        </w:tc>
        <w:tc>
          <w:tcPr>
            <w:tcW w:type="dxa" w:w="2160"/>
          </w:tcPr>
          <w:p>
            <w:pPr/>
            <w:r/>
            <w:r>
              <w:rPr>
                <w:rFonts w:ascii="Calibri" w:hAnsi="Calibri"/>
              </w:rPr>
              <w:t>[unverified -- not publicly disclosed in aggregate; minimum member contribution is $2 million]</w:t>
            </w:r>
          </w:p>
        </w:tc>
      </w:tr>
      <w:tr>
        <w:tc>
          <w:tcPr>
            <w:tcW w:type="dxa" w:w="2160"/>
          </w:tcPr>
          <w:p>
            <w:pPr/>
            <w:r/>
            <w:r>
              <w:rPr>
                <w:rFonts w:ascii="Calibri" w:hAnsi="Calibri"/>
              </w:rPr>
              <w:t>ICE Clear Europe</w:t>
            </w:r>
          </w:p>
        </w:tc>
        <w:tc>
          <w:tcPr>
            <w:tcW w:type="dxa" w:w="2160"/>
          </w:tcPr>
          <w:p>
            <w:pPr/>
            <w:r/>
            <w:r>
              <w:rPr>
                <w:rFonts w:ascii="Calibri" w:hAnsi="Calibri"/>
              </w:rPr>
              <w:t>F&amp;O Guaranty Fund (Energy Segment + Financials &amp; Softs Segment)</w:t>
            </w:r>
          </w:p>
        </w:tc>
        <w:tc>
          <w:tcPr>
            <w:tcW w:type="dxa" w:w="2160"/>
          </w:tcPr>
          <w:p>
            <w:pPr/>
            <w:r/>
            <w:r>
              <w:rPr>
                <w:rFonts w:ascii="Calibri" w:hAnsi="Calibri"/>
              </w:rPr>
              <w:t>Cover-2 per segment</w:t>
            </w:r>
          </w:p>
        </w:tc>
        <w:tc>
          <w:tcPr>
            <w:tcW w:type="dxa" w:w="2160"/>
          </w:tcPr>
          <w:p>
            <w:pPr/>
            <w:r/>
            <w:r>
              <w:rPr>
                <w:rFonts w:ascii="Calibri" w:hAnsi="Calibri"/>
              </w:rPr>
              <w:t>~$2.9 billion total minimum (as of January 31, 2025)</w:t>
            </w:r>
          </w:p>
        </w:tc>
      </w:tr>
      <w:tr>
        <w:tc>
          <w:tcPr>
            <w:tcW w:type="dxa" w:w="2160"/>
          </w:tcPr>
          <w:p>
            <w:pPr/>
            <w:r/>
            <w:r>
              <w:rPr>
                <w:rFonts w:ascii="Calibri" w:hAnsi="Calibri"/>
              </w:rPr>
              <w:t>ICE Clear Credit</w:t>
            </w:r>
          </w:p>
        </w:tc>
        <w:tc>
          <w:tcPr>
            <w:tcW w:type="dxa" w:w="2160"/>
          </w:tcPr>
          <w:p>
            <w:pPr/>
            <w:r/>
            <w:r>
              <w:rPr>
                <w:rFonts w:ascii="Calibri" w:hAnsi="Calibri"/>
              </w:rPr>
              <w:t>CDS Guaranty Fund; Treasury Guaranty Fund (separate, established 2026)</w:t>
            </w:r>
          </w:p>
        </w:tc>
        <w:tc>
          <w:tcPr>
            <w:tcW w:type="dxa" w:w="2160"/>
          </w:tcPr>
          <w:p>
            <w:pPr/>
            <w:r/>
            <w:r>
              <w:rPr>
                <w:rFonts w:ascii="Calibri" w:hAnsi="Calibri"/>
              </w:rPr>
              <w:t>Cover-2</w:t>
            </w:r>
          </w:p>
        </w:tc>
        <w:tc>
          <w:tcPr>
            <w:tcW w:type="dxa" w:w="2160"/>
          </w:tcPr>
          <w:p>
            <w:pPr/>
            <w:r/>
            <w:r>
              <w:rPr>
                <w:rFonts w:ascii="Calibri" w:hAnsi="Calibri"/>
              </w:rPr>
              <w:t>[unverified -- minimum $20 million per participant, total not publicly disclosed in search results]</w:t>
            </w:r>
          </w:p>
        </w:tc>
      </w:tr>
    </w:tbl>
    <w:p/>
    <w:p>
      <w:r>
        <w:rPr>
          <w:rFonts w:ascii="Calibri" w:hAnsi="Calibri"/>
        </w:rPr>
        <w:t xml:space="preserve">The Guaranty Fund adequacy at ICE Clear Europe is monitored daily and reviewed regularly by the relevant risk committees. </w:t>
      </w:r>
      <w:r>
        <w:rPr>
          <w:rFonts w:ascii="Calibri" w:hAnsi="Calibri"/>
          <w:color w:val="0563C1"/>
          <w:u w:val="single"/>
        </w:rPr>
        <w:t>Source: [ICE Clear Europe Risk Management</w:t>
      </w:r>
      <w:r>
        <w:rPr>
          <w:rFonts w:ascii="Calibri" w:hAnsi="Calibri"/>
        </w:rPr>
        <w:t>]</w:t>
      </w:r>
    </w:p>
    <w:p>
      <w:pPr>
        <w:pStyle w:val="Heading3"/>
      </w:pPr>
      <w:r>
        <w:rPr>
          <w:rFonts w:ascii="Calibri" w:hAnsi="Calibri"/>
        </w:rPr>
        <w:t>3.5 Stress Testing &amp; Back-testing</w:t>
      </w:r>
    </w:p>
    <w:p>
      <w:r>
        <w:rPr>
          <w:rFonts w:ascii="Calibri" w:hAnsi="Calibri"/>
          <w:b/>
        </w:rPr>
        <w:t>Stress Testing:</w:t>
      </w:r>
    </w:p>
    <w:p>
      <w:r>
        <w:rPr>
          <w:rFonts w:ascii="Calibri" w:hAnsi="Calibri"/>
        </w:rPr>
        <w:t>All ICE clearing houses conduct daily stress testing to assess the adequacy of their financial resources:</w:t>
      </w:r>
    </w:p>
    <w:p>
      <w:pPr>
        <w:pStyle w:val="ListBullet"/>
      </w:pPr>
      <w:r>
        <w:rPr>
          <w:rFonts w:ascii="Calibri" w:hAnsi="Calibri"/>
          <w:b/>
        </w:rPr>
        <w:t>ICE Clear Europe:</w:t>
      </w:r>
      <w:r>
        <w:rPr>
          <w:rFonts w:ascii="Calibri" w:hAnsi="Calibri"/>
        </w:rPr>
        <w:t xml:space="preserve"> Stress tests are designed to determine whether the Guaranty Fund is sufficient to cover the simultaneous default of the two clearing member groups with the largest aggregate credit exposure under extreme but plausible market conditions. Stress scenarios include historical scenarios (e.g., 2008 financial crisis, 2020 COVID shock) and hypothetical scenarios.</w:t>
      </w:r>
    </w:p>
    <w:p>
      <w:pPr>
        <w:pStyle w:val="ListBullet"/>
      </w:pPr>
      <w:r>
        <w:rPr>
          <w:rFonts w:ascii="Calibri" w:hAnsi="Calibri"/>
          <w:b/>
        </w:rPr>
        <w:t>ICE Clear U.S.:</w:t>
      </w:r>
      <w:r>
        <w:rPr>
          <w:rFonts w:ascii="Calibri" w:hAnsi="Calibri"/>
        </w:rPr>
        <w:t xml:space="preserve"> Conducts daily stress testing of margin and Guaranty Fund adequacy. The ICUS Guaranty Fund is designed to provide adequate funds based on Cover-2 under extreme but plausible market conditions.</w:t>
      </w:r>
    </w:p>
    <w:p>
      <w:pPr>
        <w:pStyle w:val="ListBullet"/>
      </w:pPr>
      <w:r>
        <w:rPr>
          <w:rFonts w:ascii="Calibri" w:hAnsi="Calibri"/>
          <w:b/>
        </w:rPr>
        <w:t>ICE Clear Credit:</w:t>
      </w:r>
      <w:r>
        <w:rPr>
          <w:rFonts w:ascii="Calibri" w:hAnsi="Calibri"/>
        </w:rPr>
        <w:t xml:space="preserve"> Conducts stress testing under extreme but plausible scenarios for the CDS portfolio and the Treasury portfolio (separately).</w:t>
      </w:r>
    </w:p>
    <w:p>
      <w:r>
        <w:rPr>
          <w:rFonts w:ascii="Calibri" w:hAnsi="Calibri"/>
          <w:b/>
        </w:rPr>
        <w:t>Back-testing:</w:t>
      </w:r>
    </w:p>
    <w:p>
      <w:r>
        <w:rPr>
          <w:rFonts w:ascii="Calibri" w:hAnsi="Calibri"/>
        </w:rPr>
        <w:t>ICE conducts daily back-testing to validate that its margin models adequately cover actual portfolio losses at the required confidence level. Back-testing compares predicted margin coverage against actual observed P&amp;L. Results are reviewed by risk committees and model calibration is adjusted as needed.</w:t>
      </w:r>
    </w:p>
    <w:p>
      <w:r>
        <w:rPr>
          <w:rFonts w:ascii="Calibri" w:hAnsi="Calibri"/>
          <w:color w:val="0563C1"/>
          <w:u w:val="single"/>
        </w:rPr>
        <w:t>Source: [ICE Clear Europe PFMI Disclosure Framework</w:t>
      </w:r>
      <w:r>
        <w:rPr>
          <w:rFonts w:ascii="Calibri" w:hAnsi="Calibri"/>
        </w:rPr>
        <w:t xml:space="preserve">; </w:t>
      </w:r>
      <w:r>
        <w:rPr>
          <w:rFonts w:ascii="Calibri" w:hAnsi="Calibri"/>
          <w:color w:val="0563C1"/>
          <w:u w:val="single"/>
        </w:rPr>
        <w:t>ICE Clear U.S. Disclosure Framework</w:t>
      </w:r>
      <w:r>
        <w:rPr>
          <w:rFonts w:ascii="Calibri" w:hAnsi="Calibri"/>
        </w:rPr>
        <w:t>]</w:t>
      </w:r>
    </w:p>
    <w:p>
      <w:pPr>
        <w:pStyle w:val="Heading3"/>
      </w:pPr>
      <w:r>
        <w:rPr>
          <w:rFonts w:ascii="Calibri" w:hAnsi="Calibri"/>
        </w:rPr>
        <w:t>3.6 Recovery &amp; Resolution</w:t>
      </w:r>
    </w:p>
    <w:p>
      <w:r>
        <w:rPr>
          <w:rFonts w:ascii="Calibri" w:hAnsi="Calibri"/>
          <w:b/>
        </w:rPr>
        <w:t>ICE Clear Europe Recovery Plan:</w:t>
      </w:r>
    </w:p>
    <w:p>
      <w:r>
        <w:rPr>
          <w:rFonts w:ascii="Calibri" w:hAnsi="Calibri"/>
        </w:rPr>
        <w:t>ICE Clear Europe maintains a comprehensive recovery plan as required by the Bank of England and filed with the SEC (for CDS clearing). The recovery plan describes tools (Recovery Options) that ICE Clear Europe could use to recover from losses: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Recovery Tool</w:t>
            </w:r>
          </w:p>
        </w:tc>
        <w:tc>
          <w:tcPr>
            <w:tcW w:type="dxa" w:w="4320"/>
            <w:shd w:fill="4472C4" w:val="clear"/>
          </w:tcPr>
          <w:p>
            <w:pPr/>
            <w:r>
              <w:rPr>
                <w:b/>
                <w:color w:val="FFFFFF"/>
              </w:rPr>
            </w:r>
            <w:r>
              <w:rPr>
                <w:rFonts w:ascii="Calibri" w:hAnsi="Calibri"/>
                <w:b/>
                <w:color w:val="FFFFFF"/>
              </w:rPr>
              <w:t>Description</w:t>
            </w:r>
          </w:p>
        </w:tc>
      </w:tr>
      <w:tr>
        <w:tc>
          <w:tcPr>
            <w:tcW w:type="dxa" w:w="4320"/>
          </w:tcPr>
          <w:p>
            <w:pPr/>
            <w:r/>
            <w:r>
              <w:rPr>
                <w:rFonts w:ascii="Calibri" w:hAnsi="Calibri"/>
                <w:b/>
              </w:rPr>
              <w:t>Powers of Assessment</w:t>
            </w:r>
          </w:p>
        </w:tc>
        <w:tc>
          <w:tcPr>
            <w:tcW w:type="dxa" w:w="4320"/>
          </w:tcPr>
          <w:p>
            <w:pPr/>
            <w:r/>
            <w:r>
              <w:rPr>
                <w:rFonts w:ascii="Calibri" w:hAnsi="Calibri"/>
              </w:rPr>
              <w:t>ICE Clear Europe can immediately collect additional resources from non-defaulting clearing members intraday and in cash. Assessments are limited to a set multiple of the non-defaulting members' Guaranty Fund contributions</w:t>
            </w:r>
          </w:p>
        </w:tc>
      </w:tr>
      <w:tr>
        <w:tc>
          <w:tcPr>
            <w:tcW w:type="dxa" w:w="4320"/>
          </w:tcPr>
          <w:p>
            <w:pPr/>
            <w:r/>
            <w:r>
              <w:rPr>
                <w:rFonts w:ascii="Calibri" w:hAnsi="Calibri"/>
                <w:b/>
              </w:rPr>
              <w:t>Reduced Gains Distribution (RGD)</w:t>
            </w:r>
          </w:p>
        </w:tc>
        <w:tc>
          <w:tcPr>
            <w:tcW w:type="dxa" w:w="4320"/>
          </w:tcPr>
          <w:p>
            <w:pPr/>
            <w:r/>
            <w:r>
              <w:rPr>
                <w:rFonts w:ascii="Calibri" w:hAnsi="Calibri"/>
              </w:rPr>
              <w:t>Variation margin gains haircut -- ICE Clear Europe can reduce the payout of variation margin gains to non-defaulting members to cover residual losses</w:t>
            </w:r>
          </w:p>
        </w:tc>
      </w:tr>
      <w:tr>
        <w:tc>
          <w:tcPr>
            <w:tcW w:type="dxa" w:w="4320"/>
          </w:tcPr>
          <w:p>
            <w:pPr/>
            <w:r/>
            <w:r>
              <w:rPr>
                <w:rFonts w:ascii="Calibri" w:hAnsi="Calibri"/>
                <w:b/>
              </w:rPr>
              <w:t>Investment Loss Allocation</w:t>
            </w:r>
          </w:p>
        </w:tc>
        <w:tc>
          <w:tcPr>
            <w:tcW w:type="dxa" w:w="4320"/>
          </w:tcPr>
          <w:p>
            <w:pPr/>
            <w:r/>
            <w:r>
              <w:rPr>
                <w:rFonts w:ascii="Calibri" w:hAnsi="Calibri"/>
              </w:rPr>
              <w:t>ICE Clear Europe contributes a fixed amount of its own capital to cover losses from issuer/counterparty default on investments of clearing members' Guaranty Fund contributions or initial margin</w:t>
            </w:r>
          </w:p>
        </w:tc>
      </w:tr>
      <w:tr>
        <w:tc>
          <w:tcPr>
            <w:tcW w:type="dxa" w:w="4320"/>
          </w:tcPr>
          <w:p>
            <w:pPr/>
            <w:r/>
            <w:r>
              <w:rPr>
                <w:rFonts w:ascii="Calibri" w:hAnsi="Calibri"/>
                <w:b/>
              </w:rPr>
              <w:t>Non-Default Loss Allocation</w:t>
            </w:r>
          </w:p>
        </w:tc>
        <w:tc>
          <w:tcPr>
            <w:tcW w:type="dxa" w:w="4320"/>
          </w:tcPr>
          <w:p>
            <w:pPr/>
            <w:r/>
            <w:r>
              <w:rPr>
                <w:rFonts w:ascii="Calibri" w:hAnsi="Calibri"/>
              </w:rPr>
              <w:t>Similar framework for losses unrelated to member defaults</w:t>
            </w:r>
          </w:p>
        </w:tc>
      </w:tr>
    </w:tbl>
    <w:p/>
    <w:p>
      <w:r>
        <w:rPr>
          <w:rFonts w:ascii="Calibri" w:hAnsi="Calibri"/>
        </w:rPr>
        <w:t>The Recovery Plan considers factors including speed of implementation, impact on the clearing house and clearing members, and effects on other market infrastructure.</w:t>
      </w:r>
    </w:p>
    <w:p>
      <w:r>
        <w:rPr>
          <w:rFonts w:ascii="Calibri" w:hAnsi="Calibri"/>
          <w:b/>
        </w:rPr>
        <w:t>Resolution Authority:</w:t>
      </w:r>
    </w:p>
    <w:p>
      <w:pPr>
        <w:pStyle w:val="ListBullet"/>
      </w:pPr>
      <w:r>
        <w:rPr>
          <w:rFonts w:ascii="Calibri" w:hAnsi="Calibri"/>
          <w:b/>
        </w:rPr>
        <w:t>ICE Clear Europe:</w:t>
      </w:r>
      <w:r>
        <w:rPr>
          <w:rFonts w:ascii="Calibri" w:hAnsi="Calibri"/>
        </w:rPr>
        <w:t xml:space="preserve"> The Bank of England acts as the resolution authority under the UK Financial Services and Markets Act 2000 and the Banking Act 2009.</w:t>
      </w:r>
    </w:p>
    <w:p>
      <w:pPr>
        <w:pStyle w:val="ListBullet"/>
      </w:pPr>
      <w:r>
        <w:rPr>
          <w:rFonts w:ascii="Calibri" w:hAnsi="Calibri"/>
          <w:b/>
        </w:rPr>
        <w:t>ICE Clear Credit:</w:t>
      </w:r>
      <w:r>
        <w:rPr>
          <w:rFonts w:ascii="Calibri" w:hAnsi="Calibri"/>
        </w:rPr>
        <w:t xml:space="preserve"> The FDIC acts as the resolution authority under Title II of the Dodd-Frank Act, with the CFTC and SEC as primary supervisors.</w:t>
      </w:r>
    </w:p>
    <w:p>
      <w:pPr>
        <w:pStyle w:val="ListBullet"/>
      </w:pPr>
      <w:r>
        <w:rPr>
          <w:rFonts w:ascii="Calibri" w:hAnsi="Calibri"/>
          <w:b/>
        </w:rPr>
        <w:t>ICE Clear U.S.:</w:t>
      </w:r>
      <w:r>
        <w:rPr>
          <w:rFonts w:ascii="Calibri" w:hAnsi="Calibri"/>
        </w:rPr>
        <w:t xml:space="preserve"> The CFTC has primary regulatory oversight.</w:t>
      </w:r>
    </w:p>
    <w:p>
      <w:r>
        <w:rPr>
          <w:rFonts w:ascii="Calibri" w:hAnsi="Calibri"/>
        </w:rPr>
        <w:t xml:space="preserve">A </w:t>
      </w:r>
      <w:r>
        <w:rPr>
          <w:rFonts w:ascii="Calibri" w:hAnsi="Calibri"/>
          <w:b/>
        </w:rPr>
        <w:t>Crisis Management Group</w:t>
      </w:r>
      <w:r>
        <w:rPr>
          <w:rFonts w:ascii="Calibri" w:hAnsi="Calibri"/>
        </w:rPr>
        <w:t xml:space="preserve"> (CMG) arrangement exists for ICE Clear Europe, involving the Bank of England, CFTC, SEC, and other relevant authorities to coordinate supervisory and resolution activities. </w:t>
      </w:r>
      <w:r>
        <w:rPr>
          <w:rFonts w:ascii="Calibri" w:hAnsi="Calibri"/>
          <w:color w:val="0563C1"/>
          <w:u w:val="single"/>
        </w:rPr>
        <w:t>Source: [ICE Clear Europe CMG Framework</w:t>
      </w:r>
      <w:r>
        <w:rPr>
          <w:rFonts w:ascii="Calibri" w:hAnsi="Calibri"/>
        </w:rPr>
        <w:t xml:space="preserve">; </w:t>
      </w:r>
      <w:r>
        <w:rPr>
          <w:rFonts w:ascii="Calibri" w:hAnsi="Calibri"/>
          <w:color w:val="0563C1"/>
          <w:u w:val="single"/>
        </w:rPr>
        <w:t>Federal Register -- ICE Clear Europe Recovery Plan Amendments, September 2023</w:t>
      </w:r>
      <w:r>
        <w:rPr>
          <w:rFonts w:ascii="Calibri" w:hAnsi="Calibri"/>
        </w:rPr>
        <w:t>]</w:t>
      </w:r>
    </w:p>
    <w:p>
      <w:pPr>
        <w:pBdr>
          <w:bottom w:val="single" w:sz="4" w:space="1" w:color="auto"/>
        </w:pBdr>
      </w:pPr>
    </w:p>
    <w:p>
      <w:pPr>
        <w:pStyle w:val="Heading2"/>
      </w:pPr>
      <w:r>
        <w:rPr>
          <w:rFonts w:ascii="Calibri" w:hAnsi="Calibri"/>
        </w:rPr>
        <w:t>4. Settlement</w:t>
      </w:r>
    </w:p>
    <w:p>
      <w:pPr>
        <w:pStyle w:val="Heading3"/>
      </w:pPr>
      <w:r>
        <w:rPr>
          <w:rFonts w:ascii="Calibri" w:hAnsi="Calibri"/>
        </w:rPr>
        <w:t>4.1 Settlement Cycle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Entity</w:t>
            </w:r>
          </w:p>
        </w:tc>
        <w:tc>
          <w:tcPr>
            <w:tcW w:type="dxa" w:w="2880"/>
            <w:shd w:fill="4472C4" w:val="clear"/>
          </w:tcPr>
          <w:p>
            <w:pPr/>
            <w:r>
              <w:rPr>
                <w:b/>
                <w:color w:val="FFFFFF"/>
              </w:rPr>
            </w:r>
            <w:r>
              <w:rPr>
                <w:rFonts w:ascii="Calibri" w:hAnsi="Calibri"/>
                <w:b/>
                <w:color w:val="FFFFFF"/>
              </w:rPr>
              <w:t>Product</w:t>
            </w:r>
          </w:p>
        </w:tc>
        <w:tc>
          <w:tcPr>
            <w:tcW w:type="dxa" w:w="2880"/>
            <w:shd w:fill="4472C4" w:val="clear"/>
          </w:tcPr>
          <w:p>
            <w:pPr/>
            <w:r>
              <w:rPr>
                <w:b/>
                <w:color w:val="FFFFFF"/>
              </w:rPr>
            </w:r>
            <w:r>
              <w:rPr>
                <w:rFonts w:ascii="Calibri" w:hAnsi="Calibri"/>
                <w:b/>
                <w:color w:val="FFFFFF"/>
              </w:rPr>
              <w:t>Settlement Cycle</w:t>
            </w:r>
          </w:p>
        </w:tc>
      </w:tr>
      <w:tr>
        <w:tc>
          <w:tcPr>
            <w:tcW w:type="dxa" w:w="2880"/>
          </w:tcPr>
          <w:p>
            <w:pPr/>
            <w:r/>
            <w:r>
              <w:rPr>
                <w:rFonts w:ascii="Calibri" w:hAnsi="Calibri"/>
              </w:rPr>
              <w:t>ICE Clear U.S.</w:t>
            </w:r>
          </w:p>
        </w:tc>
        <w:tc>
          <w:tcPr>
            <w:tcW w:type="dxa" w:w="2880"/>
          </w:tcPr>
          <w:p>
            <w:pPr/>
            <w:r/>
            <w:r>
              <w:rPr>
                <w:rFonts w:ascii="Calibri" w:hAnsi="Calibri"/>
              </w:rPr>
              <w:t>Exchange-traded futures &amp; options</w:t>
            </w:r>
          </w:p>
        </w:tc>
        <w:tc>
          <w:tcPr>
            <w:tcW w:type="dxa" w:w="2880"/>
          </w:tcPr>
          <w:p>
            <w:pPr/>
            <w:r/>
            <w:r>
              <w:rPr>
                <w:rFonts w:ascii="Calibri" w:hAnsi="Calibri"/>
              </w:rPr>
              <w:t>T+1 (daily variation margin settlement)</w:t>
            </w:r>
          </w:p>
        </w:tc>
      </w:tr>
      <w:tr>
        <w:tc>
          <w:tcPr>
            <w:tcW w:type="dxa" w:w="2880"/>
          </w:tcPr>
          <w:p>
            <w:pPr/>
            <w:r/>
            <w:r>
              <w:rPr>
                <w:rFonts w:ascii="Calibri" w:hAnsi="Calibri"/>
              </w:rPr>
              <w:t>ICE Clear Europe</w:t>
            </w:r>
          </w:p>
        </w:tc>
        <w:tc>
          <w:tcPr>
            <w:tcW w:type="dxa" w:w="2880"/>
          </w:tcPr>
          <w:p>
            <w:pPr/>
            <w:r/>
            <w:r>
              <w:rPr>
                <w:rFonts w:ascii="Calibri" w:hAnsi="Calibri"/>
              </w:rPr>
              <w:t>Exchange-traded futures &amp; options</w:t>
            </w:r>
          </w:p>
        </w:tc>
        <w:tc>
          <w:tcPr>
            <w:tcW w:type="dxa" w:w="2880"/>
          </w:tcPr>
          <w:p>
            <w:pPr/>
            <w:r/>
            <w:r>
              <w:rPr>
                <w:rFonts w:ascii="Calibri" w:hAnsi="Calibri"/>
              </w:rPr>
              <w:t>T+1 (daily variation margin settlement)</w:t>
            </w:r>
          </w:p>
        </w:tc>
      </w:tr>
      <w:tr>
        <w:tc>
          <w:tcPr>
            <w:tcW w:type="dxa" w:w="2880"/>
          </w:tcPr>
          <w:p>
            <w:pPr/>
            <w:r/>
            <w:r>
              <w:rPr>
                <w:rFonts w:ascii="Calibri" w:hAnsi="Calibri"/>
              </w:rPr>
              <w:t>ICE Clear Europe</w:t>
            </w:r>
          </w:p>
        </w:tc>
        <w:tc>
          <w:tcPr>
            <w:tcW w:type="dxa" w:w="2880"/>
          </w:tcPr>
          <w:p>
            <w:pPr/>
            <w:r/>
            <w:r>
              <w:rPr>
                <w:rFonts w:ascii="Calibri" w:hAnsi="Calibri"/>
              </w:rPr>
              <w:t>Physically-delivered commodities</w:t>
            </w:r>
          </w:p>
        </w:tc>
        <w:tc>
          <w:tcPr>
            <w:tcW w:type="dxa" w:w="2880"/>
          </w:tcPr>
          <w:p>
            <w:pPr/>
            <w:r/>
            <w:r>
              <w:rPr>
                <w:rFonts w:ascii="Calibri" w:hAnsi="Calibri"/>
              </w:rPr>
              <w:t>Per contract specifications (e.g., delivery month procedures for Brent, Gasoil)</w:t>
            </w:r>
          </w:p>
        </w:tc>
      </w:tr>
      <w:tr>
        <w:tc>
          <w:tcPr>
            <w:tcW w:type="dxa" w:w="2880"/>
          </w:tcPr>
          <w:p>
            <w:pPr/>
            <w:r/>
            <w:r>
              <w:rPr>
                <w:rFonts w:ascii="Calibri" w:hAnsi="Calibri"/>
              </w:rPr>
              <w:t>ICE Clear Credit</w:t>
            </w:r>
          </w:p>
        </w:tc>
        <w:tc>
          <w:tcPr>
            <w:tcW w:type="dxa" w:w="2880"/>
          </w:tcPr>
          <w:p>
            <w:pPr/>
            <w:r/>
            <w:r>
              <w:rPr>
                <w:rFonts w:ascii="Calibri" w:hAnsi="Calibri"/>
              </w:rPr>
              <w:t>CDS</w:t>
            </w:r>
          </w:p>
        </w:tc>
        <w:tc>
          <w:tcPr>
            <w:tcW w:type="dxa" w:w="2880"/>
          </w:tcPr>
          <w:p>
            <w:pPr/>
            <w:r/>
            <w:r>
              <w:rPr>
                <w:rFonts w:ascii="Calibri" w:hAnsi="Calibri"/>
              </w:rPr>
              <w:t>Daily mark-to-market and variation margin; CDS settlement upon credit event follows ISDA auction protocols</w:t>
            </w:r>
          </w:p>
        </w:tc>
      </w:tr>
      <w:tr>
        <w:tc>
          <w:tcPr>
            <w:tcW w:type="dxa" w:w="2880"/>
          </w:tcPr>
          <w:p>
            <w:pPr/>
            <w:r/>
            <w:r>
              <w:rPr>
                <w:rFonts w:ascii="Calibri" w:hAnsi="Calibri"/>
              </w:rPr>
              <w:t>ICE Clear Credit</w:t>
            </w:r>
          </w:p>
        </w:tc>
        <w:tc>
          <w:tcPr>
            <w:tcW w:type="dxa" w:w="2880"/>
          </w:tcPr>
          <w:p>
            <w:pPr/>
            <w:r/>
            <w:r>
              <w:rPr>
                <w:rFonts w:ascii="Calibri" w:hAnsi="Calibri"/>
              </w:rPr>
              <w:t>U.S. Treasuries</w:t>
            </w:r>
          </w:p>
        </w:tc>
        <w:tc>
          <w:tcPr>
            <w:tcW w:type="dxa" w:w="2880"/>
          </w:tcPr>
          <w:p>
            <w:pPr/>
            <w:r/>
            <w:r>
              <w:rPr>
                <w:rFonts w:ascii="Calibri" w:hAnsi="Calibri"/>
              </w:rPr>
              <w:t>T+1 (in line with SEC mandate for U.S. Treasury clearing)</w:t>
            </w:r>
          </w:p>
        </w:tc>
      </w:tr>
    </w:tbl>
    <w:p/>
    <w:p>
      <w:r>
        <w:rPr>
          <w:rFonts w:ascii="Calibri" w:hAnsi="Calibri"/>
          <w:color w:val="0563C1"/>
          <w:u w:val="single"/>
        </w:rPr>
        <w:t>Source: [ICE Clear Europe Operations</w:t>
      </w:r>
      <w:r>
        <w:rPr>
          <w:rFonts w:ascii="Calibri" w:hAnsi="Calibri"/>
        </w:rPr>
        <w:t xml:space="preserve">; </w:t>
      </w:r>
      <w:r>
        <w:rPr>
          <w:rFonts w:ascii="Calibri" w:hAnsi="Calibri"/>
          <w:color w:val="0563C1"/>
          <w:u w:val="single"/>
        </w:rPr>
        <w:t>ICE Clear Credit</w:t>
      </w:r>
      <w:r>
        <w:rPr>
          <w:rFonts w:ascii="Calibri" w:hAnsi="Calibri"/>
        </w:rPr>
        <w:t>]</w:t>
      </w:r>
    </w:p>
    <w:p>
      <w:pPr>
        <w:pStyle w:val="Heading3"/>
      </w:pPr>
      <w:r>
        <w:rPr>
          <w:rFonts w:ascii="Calibri" w:hAnsi="Calibri"/>
        </w:rPr>
        <w:t>4.2 DVP Model</w:t>
      </w:r>
    </w:p>
    <w:p>
      <w:r>
        <w:rPr>
          <w:rFonts w:ascii="Calibri" w:hAnsi="Calibri"/>
        </w:rPr>
        <w:t>For physically settled transactions, ICE clearing houses use delivery-versus-payment (DVP) mechanisms to ensure simultaneous exchange of securities/commodities and cash, eliminating principal risk. Cash settlement flows are processed through approved settlement banks.</w:t>
      </w:r>
    </w:p>
    <w:p>
      <w:r>
        <w:rPr>
          <w:rFonts w:ascii="Calibri" w:hAnsi="Calibri"/>
        </w:rPr>
        <w:t xml:space="preserve">ICE Clear Europe processes cash-settled futures and options through daily pay/collect of variation margin. For physically delivered contracts (e.g., Brent Crude Oil, London Cocoa), delivery procedures are specified per contract and coordinated through approved delivery facilities and settlement banks. </w:t>
      </w:r>
      <w:r>
        <w:rPr>
          <w:rFonts w:ascii="Calibri" w:hAnsi="Calibri"/>
          <w:color w:val="0563C1"/>
          <w:u w:val="single"/>
        </w:rPr>
        <w:t>Source: [ICE Clear Europe Operations</w:t>
      </w:r>
      <w:r>
        <w:rPr>
          <w:rFonts w:ascii="Calibri" w:hAnsi="Calibri"/>
        </w:rPr>
        <w:t>]</w:t>
      </w:r>
    </w:p>
    <w:p>
      <w:pPr>
        <w:pStyle w:val="Heading3"/>
      </w:pPr>
      <w:r>
        <w:rPr>
          <w:rFonts w:ascii="Calibri" w:hAnsi="Calibri"/>
        </w:rPr>
        <w:t>4.3 Settlement Finality</w:t>
      </w:r>
    </w:p>
    <w:p>
      <w:r>
        <w:rPr>
          <w:rFonts w:ascii="Calibri" w:hAnsi="Calibri"/>
          <w:b/>
        </w:rPr>
        <w:t>ICE Clear Europe</w:t>
      </w:r>
      <w:r>
        <w:rPr>
          <w:rFonts w:ascii="Calibri" w:hAnsi="Calibri"/>
        </w:rPr>
        <w:t xml:space="preserve"> has received settlement finality designation under the </w:t>
      </w:r>
      <w:r>
        <w:rPr>
          <w:rFonts w:ascii="Calibri" w:hAnsi="Calibri"/>
          <w:b/>
        </w:rPr>
        <w:t>Financial Markets and Insolvency (Settlement Finality) Regulations 1999 (SFR)</w:t>
      </w:r>
      <w:r>
        <w:rPr>
          <w:rFonts w:ascii="Calibri" w:hAnsi="Calibri"/>
        </w:rPr>
        <w:t xml:space="preserve"> of the United Kingdom. Under SFR, payment instructions within ICE Clear Europe's system are protected from administrators or liquidators of insolvent firms, enhancing systemic risk protection for clearing members. </w:t>
      </w:r>
      <w:r>
        <w:rPr>
          <w:rFonts w:ascii="Calibri" w:hAnsi="Calibri"/>
          <w:color w:val="0563C1"/>
          <w:u w:val="single"/>
        </w:rPr>
        <w:t>Source: [ICE Clear Europe Regulation</w:t>
      </w:r>
      <w:r>
        <w:rPr>
          <w:rFonts w:ascii="Calibri" w:hAnsi="Calibri"/>
        </w:rPr>
        <w:t>]</w:t>
      </w:r>
    </w:p>
    <w:p>
      <w:r>
        <w:rPr>
          <w:rFonts w:ascii="Calibri" w:hAnsi="Calibri"/>
          <w:b/>
        </w:rPr>
        <w:t>ICE Clear U.S. and ICE Clear Credit</w:t>
      </w:r>
      <w:r>
        <w:rPr>
          <w:rFonts w:ascii="Calibri" w:hAnsi="Calibri"/>
        </w:rPr>
        <w:t xml:space="preserve"> achieve settlement finality under U.S. law, including protections under the Commodity Exchange Act and relevant provisions of the Dodd-Frank Act. </w:t>
      </w:r>
      <w:r>
        <w:rPr>
          <w:rFonts w:ascii="Calibri" w:hAnsi="Calibri"/>
          <w:color w:val="0563C1"/>
          <w:u w:val="single"/>
        </w:rPr>
        <w:t>Source: [ICE Clear U.S. Disclosure Framework</w:t>
      </w:r>
      <w:r>
        <w:rPr>
          <w:rFonts w:ascii="Calibri" w:hAnsi="Calibri"/>
        </w:rPr>
        <w:t>]</w:t>
      </w:r>
    </w:p>
    <w:p>
      <w:pPr>
        <w:pStyle w:val="Heading3"/>
      </w:pPr>
      <w:r>
        <w:rPr>
          <w:rFonts w:ascii="Calibri" w:hAnsi="Calibri"/>
        </w:rPr>
        <w:t>4.4 CSD / Settlement Infrastructure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Entity</w:t>
            </w:r>
          </w:p>
        </w:tc>
        <w:tc>
          <w:tcPr>
            <w:tcW w:type="dxa" w:w="2880"/>
            <w:shd w:fill="4472C4" w:val="clear"/>
          </w:tcPr>
          <w:p>
            <w:pPr/>
            <w:r>
              <w:rPr>
                <w:b/>
                <w:color w:val="FFFFFF"/>
              </w:rPr>
            </w:r>
            <w:r>
              <w:rPr>
                <w:rFonts w:ascii="Calibri" w:hAnsi="Calibri"/>
                <w:b/>
                <w:color w:val="FFFFFF"/>
              </w:rPr>
              <w:t>Cash Settlement</w:t>
            </w:r>
          </w:p>
        </w:tc>
        <w:tc>
          <w:tcPr>
            <w:tcW w:type="dxa" w:w="2880"/>
            <w:shd w:fill="4472C4" w:val="clear"/>
          </w:tcPr>
          <w:p>
            <w:pPr/>
            <w:r>
              <w:rPr>
                <w:b/>
                <w:color w:val="FFFFFF"/>
              </w:rPr>
            </w:r>
            <w:r>
              <w:rPr>
                <w:rFonts w:ascii="Calibri" w:hAnsi="Calibri"/>
                <w:b/>
                <w:color w:val="FFFFFF"/>
              </w:rPr>
              <w:t>Securities/Physical Delivery</w:t>
            </w:r>
          </w:p>
        </w:tc>
      </w:tr>
      <w:tr>
        <w:tc>
          <w:tcPr>
            <w:tcW w:type="dxa" w:w="2880"/>
          </w:tcPr>
          <w:p>
            <w:pPr/>
            <w:r/>
            <w:r>
              <w:rPr>
                <w:rFonts w:ascii="Calibri" w:hAnsi="Calibri"/>
              </w:rPr>
              <w:t>ICE Clear U.S.</w:t>
            </w:r>
          </w:p>
        </w:tc>
        <w:tc>
          <w:tcPr>
            <w:tcW w:type="dxa" w:w="2880"/>
          </w:tcPr>
          <w:p>
            <w:pPr/>
            <w:r/>
            <w:r>
              <w:rPr>
                <w:rFonts w:ascii="Calibri" w:hAnsi="Calibri"/>
              </w:rPr>
              <w:t>Through approved settlement banks in USD</w:t>
            </w:r>
          </w:p>
        </w:tc>
        <w:tc>
          <w:tcPr>
            <w:tcW w:type="dxa" w:w="2880"/>
          </w:tcPr>
          <w:p>
            <w:pPr/>
            <w:r/>
            <w:r>
              <w:rPr>
                <w:rFonts w:ascii="Calibri" w:hAnsi="Calibri"/>
              </w:rPr>
              <w:t>Physical delivery through approved delivery facilities and warehouses</w:t>
            </w:r>
          </w:p>
        </w:tc>
      </w:tr>
      <w:tr>
        <w:tc>
          <w:tcPr>
            <w:tcW w:type="dxa" w:w="2880"/>
          </w:tcPr>
          <w:p>
            <w:pPr/>
            <w:r/>
            <w:r>
              <w:rPr>
                <w:rFonts w:ascii="Calibri" w:hAnsi="Calibri"/>
              </w:rPr>
              <w:t>ICE Clear Europe</w:t>
            </w:r>
          </w:p>
        </w:tc>
        <w:tc>
          <w:tcPr>
            <w:tcW w:type="dxa" w:w="2880"/>
          </w:tcPr>
          <w:p>
            <w:pPr/>
            <w:r/>
            <w:r>
              <w:rPr>
                <w:rFonts w:ascii="Calibri" w:hAnsi="Calibri"/>
              </w:rPr>
              <w:t>Through approved settlement banks in multiple currencies (USD, GBP, EUR)</w:t>
            </w:r>
          </w:p>
        </w:tc>
        <w:tc>
          <w:tcPr>
            <w:tcW w:type="dxa" w:w="2880"/>
          </w:tcPr>
          <w:p>
            <w:pPr/>
            <w:r/>
            <w:r>
              <w:rPr>
                <w:rFonts w:ascii="Calibri" w:hAnsi="Calibri"/>
              </w:rPr>
              <w:t>Physical delivery via approved facilities; EUA/CER emissions through relevant national registries</w:t>
            </w:r>
          </w:p>
        </w:tc>
      </w:tr>
      <w:tr>
        <w:tc>
          <w:tcPr>
            <w:tcW w:type="dxa" w:w="2880"/>
          </w:tcPr>
          <w:p>
            <w:pPr/>
            <w:r/>
            <w:r>
              <w:rPr>
                <w:rFonts w:ascii="Calibri" w:hAnsi="Calibri"/>
              </w:rPr>
              <w:t>ICE Clear Credit</w:t>
            </w:r>
          </w:p>
        </w:tc>
        <w:tc>
          <w:tcPr>
            <w:tcW w:type="dxa" w:w="2880"/>
          </w:tcPr>
          <w:p>
            <w:pPr/>
            <w:r/>
            <w:r>
              <w:rPr>
                <w:rFonts w:ascii="Calibri" w:hAnsi="Calibri"/>
              </w:rPr>
              <w:t>Cash margin held at Federal Reserve Bank of Chicago (over $20 billion in USD)</w:t>
            </w:r>
          </w:p>
        </w:tc>
        <w:tc>
          <w:tcPr>
            <w:tcW w:type="dxa" w:w="2880"/>
          </w:tcPr>
          <w:p>
            <w:pPr/>
            <w:r/>
            <w:r>
              <w:rPr>
                <w:rFonts w:ascii="Calibri" w:hAnsi="Calibri"/>
              </w:rPr>
              <w:t>CDS: cash-settled via ISDA auction process; U.S. Treasuries: via Fedwire Securities Service</w:t>
            </w:r>
          </w:p>
        </w:tc>
      </w:tr>
    </w:tbl>
    <w:p/>
    <w:p>
      <w:r>
        <w:rPr>
          <w:rFonts w:ascii="Calibri" w:hAnsi="Calibri"/>
          <w:color w:val="0563C1"/>
          <w:u w:val="single"/>
        </w:rPr>
        <w:t>Source: [NY Fed TMPG Presentation, October 2025</w:t>
      </w:r>
      <w:r>
        <w:rPr>
          <w:rFonts w:ascii="Calibri" w:hAnsi="Calibri"/>
        </w:rPr>
        <w:t xml:space="preserve">; </w:t>
      </w:r>
      <w:r>
        <w:rPr>
          <w:rFonts w:ascii="Calibri" w:hAnsi="Calibri"/>
          <w:color w:val="0563C1"/>
          <w:u w:val="single"/>
        </w:rPr>
        <w:t>ICE Clear Credit Collateral Management, November 2025</w:t>
      </w:r>
      <w:r>
        <w:rPr>
          <w:rFonts w:ascii="Calibri" w:hAnsi="Calibri"/>
        </w:rPr>
        <w:t>]</w:t>
      </w:r>
    </w:p>
    <w:p>
      <w:pPr>
        <w:pStyle w:val="Heading3"/>
      </w:pPr>
      <w:r>
        <w:rPr>
          <w:rFonts w:ascii="Calibri" w:hAnsi="Calibri"/>
        </w:rPr>
        <w:t>4.5 CSD Linkages</w:t>
      </w:r>
    </w:p>
    <w:p>
      <w:r>
        <w:rPr>
          <w:rFonts w:ascii="Calibri" w:hAnsi="Calibri"/>
        </w:rPr>
        <w:t>ICE Clear Europe maintains links with national emissions registries for the settlement of EU Allowances (EUAs) and Certified Emission Reductions (CERs). For financial instruments settled in securities form, ICE clearing houses interact with the relevant CSDs through approved settlement channels. Specific CSD linkage details are governed by individual contract delivery procedures. [unverified -- detailed CSD linkage information not publicly available in search results]</w:t>
      </w:r>
    </w:p>
    <w:p>
      <w:pPr>
        <w:pStyle w:val="Heading3"/>
      </w:pPr>
      <w:r>
        <w:rPr>
          <w:rFonts w:ascii="Calibri" w:hAnsi="Calibri"/>
        </w:rPr>
        <w:t>4.6 Securities Lending &amp; Borrowing</w:t>
      </w:r>
    </w:p>
    <w:p>
      <w:r>
        <w:rPr>
          <w:rFonts w:ascii="Calibri" w:hAnsi="Calibri"/>
        </w:rPr>
        <w:t>ICE Clear Credit accepts a range of collateral for margin purposes, including U.S. Treasury securities and certain other eligible securities. ICE clearing houses do not operate formal securities lending programs as a core service, though clearing members may post eligible securities as collateral for margin requirements, subject to appropriate haircuts.</w:t>
      </w:r>
    </w:p>
    <w:p>
      <w:r>
        <w:rPr>
          <w:rFonts w:ascii="Calibri" w:hAnsi="Calibri"/>
        </w:rPr>
        <w:t xml:space="preserve">Eligible collateral for ICE Clear Credit includes cash (USD), U.S. Treasury securities, and other approved collateral types. </w:t>
      </w:r>
      <w:r>
        <w:rPr>
          <w:rFonts w:ascii="Calibri" w:hAnsi="Calibri"/>
          <w:color w:val="0563C1"/>
          <w:u w:val="single"/>
        </w:rPr>
        <w:t>Source: [ICE Clear Credit Collateral Management, November 2025</w:t>
      </w:r>
      <w:r>
        <w:rPr>
          <w:rFonts w:ascii="Calibri" w:hAnsi="Calibri"/>
        </w:rPr>
        <w:t>]</w:t>
      </w:r>
    </w:p>
    <w:p>
      <w:pPr>
        <w:pBdr>
          <w:bottom w:val="single" w:sz="4" w:space="1" w:color="auto"/>
        </w:pBdr>
      </w:pPr>
    </w:p>
    <w:p>
      <w:pPr>
        <w:pStyle w:val="Heading2"/>
      </w:pPr>
      <w:r>
        <w:rPr>
          <w:rFonts w:ascii="Calibri" w:hAnsi="Calibri"/>
        </w:rPr>
        <w:t>5. Technology &amp; Infrastructure</w:t>
      </w:r>
    </w:p>
    <w:p>
      <w:pPr>
        <w:pStyle w:val="Heading3"/>
      </w:pPr>
      <w:r>
        <w:rPr>
          <w:rFonts w:ascii="Calibri" w:hAnsi="Calibri"/>
        </w:rPr>
        <w:t>5.1 Interface Protocols</w:t>
      </w:r>
    </w:p>
    <w:p>
      <w:r>
        <w:rPr>
          <w:rFonts w:ascii="Calibri" w:hAnsi="Calibri"/>
        </w:rPr>
        <w:t>ICE provides technology access through multiple channels: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Interface</w:t>
            </w:r>
          </w:p>
        </w:tc>
        <w:tc>
          <w:tcPr>
            <w:tcW w:type="dxa" w:w="4320"/>
            <w:shd w:fill="4472C4" w:val="clear"/>
          </w:tcPr>
          <w:p>
            <w:pPr/>
            <w:r>
              <w:rPr>
                <w:b/>
                <w:color w:val="FFFFFF"/>
              </w:rPr>
            </w:r>
            <w:r>
              <w:rPr>
                <w:rFonts w:ascii="Calibri" w:hAnsi="Calibri"/>
                <w:b/>
                <w:color w:val="FFFFFF"/>
              </w:rPr>
              <w:t>Description</w:t>
            </w:r>
          </w:p>
        </w:tc>
      </w:tr>
      <w:tr>
        <w:tc>
          <w:tcPr>
            <w:tcW w:type="dxa" w:w="4320"/>
          </w:tcPr>
          <w:p>
            <w:pPr/>
            <w:r/>
            <w:r>
              <w:rPr>
                <w:rFonts w:ascii="Calibri" w:hAnsi="Calibri"/>
                <w:b/>
              </w:rPr>
              <w:t>ICE Clearing Platform (Web GUI)</w:t>
            </w:r>
          </w:p>
        </w:tc>
        <w:tc>
          <w:tcPr>
            <w:tcW w:type="dxa" w:w="4320"/>
          </w:tcPr>
          <w:p>
            <w:pPr/>
            <w:r/>
            <w:r>
              <w:rPr>
                <w:rFonts w:ascii="Calibri" w:hAnsi="Calibri"/>
              </w:rPr>
              <w:t>Single user interface for viewing and managing trades (update, split, group, adjust), transfers (create, accept/reject, modify), allocations (create, modify, reverse), and claims (accept/reject, update, re-allocate)</w:t>
            </w:r>
          </w:p>
        </w:tc>
      </w:tr>
      <w:tr>
        <w:tc>
          <w:tcPr>
            <w:tcW w:type="dxa" w:w="4320"/>
          </w:tcPr>
          <w:p>
            <w:pPr/>
            <w:r/>
            <w:r>
              <w:rPr>
                <w:rFonts w:ascii="Calibri" w:hAnsi="Calibri"/>
                <w:b/>
              </w:rPr>
              <w:t>APIs</w:t>
            </w:r>
          </w:p>
        </w:tc>
        <w:tc>
          <w:tcPr>
            <w:tcW w:type="dxa" w:w="4320"/>
          </w:tcPr>
          <w:p>
            <w:pPr/>
            <w:r/>
            <w:r>
              <w:rPr>
                <w:rFonts w:ascii="Calibri" w:hAnsi="Calibri"/>
              </w:rPr>
              <w:t>Application Programming Interfaces for custom applications including algorithmic trading, risk management, data services, and straight-through processing (STP)</w:t>
            </w:r>
          </w:p>
        </w:tc>
      </w:tr>
      <w:tr>
        <w:tc>
          <w:tcPr>
            <w:tcW w:type="dxa" w:w="4320"/>
          </w:tcPr>
          <w:p>
            <w:pPr/>
            <w:r/>
            <w:r>
              <w:rPr>
                <w:rFonts w:ascii="Calibri" w:hAnsi="Calibri"/>
                <w:b/>
              </w:rPr>
              <w:t>FIX Protocol</w:t>
            </w:r>
          </w:p>
        </w:tc>
        <w:tc>
          <w:tcPr>
            <w:tcW w:type="dxa" w:w="4320"/>
          </w:tcPr>
          <w:p>
            <w:pPr/>
            <w:r/>
            <w:r>
              <w:rPr>
                <w:rFonts w:ascii="Calibri" w:hAnsi="Calibri"/>
              </w:rPr>
              <w:t>FIX-based connectivity supported for trade submission and market data [unverified -- specific FIX usage for clearing not confirmed for all entities]</w:t>
            </w:r>
          </w:p>
        </w:tc>
      </w:tr>
      <w:tr>
        <w:tc>
          <w:tcPr>
            <w:tcW w:type="dxa" w:w="4320"/>
          </w:tcPr>
          <w:p>
            <w:pPr/>
            <w:r/>
            <w:r>
              <w:rPr>
                <w:rFonts w:ascii="Calibri" w:hAnsi="Calibri"/>
                <w:b/>
              </w:rPr>
              <w:t>ICE Service Community</w:t>
            </w:r>
          </w:p>
        </w:tc>
        <w:tc>
          <w:tcPr>
            <w:tcW w:type="dxa" w:w="4320"/>
          </w:tcPr>
          <w:p>
            <w:pPr/>
            <w:r/>
            <w:r>
              <w:rPr>
                <w:rFonts w:ascii="Calibri" w:hAnsi="Calibri"/>
              </w:rPr>
              <w:t>Registered-user portal providing detailed technical documentation for clearing systems</w:t>
            </w:r>
          </w:p>
        </w:tc>
      </w:tr>
    </w:tbl>
    <w:p/>
    <w:p>
      <w:r>
        <w:rPr>
          <w:rFonts w:ascii="Calibri" w:hAnsi="Calibri"/>
          <w:color w:val="0563C1"/>
          <w:u w:val="single"/>
        </w:rPr>
        <w:t>Source: [ICE Clear Europe Technology</w:t>
      </w:r>
      <w:r>
        <w:rPr>
          <w:rFonts w:ascii="Calibri" w:hAnsi="Calibri"/>
        </w:rPr>
        <w:t xml:space="preserve">; </w:t>
      </w:r>
      <w:r>
        <w:rPr>
          <w:rFonts w:ascii="Calibri" w:hAnsi="Calibri"/>
          <w:color w:val="0563C1"/>
          <w:u w:val="single"/>
        </w:rPr>
        <w:t>ICE Clear U.S. Technology</w:t>
      </w:r>
      <w:r>
        <w:rPr>
          <w:rFonts w:ascii="Calibri" w:hAnsi="Calibri"/>
        </w:rPr>
        <w:t xml:space="preserve">; </w:t>
      </w:r>
      <w:r>
        <w:rPr>
          <w:rFonts w:ascii="Calibri" w:hAnsi="Calibri"/>
          <w:color w:val="0563C1"/>
          <w:u w:val="single"/>
        </w:rPr>
        <w:t>ICE Technology -- ISVs &amp; APIs</w:t>
      </w:r>
      <w:r>
        <w:rPr>
          <w:rFonts w:ascii="Calibri" w:hAnsi="Calibri"/>
        </w:rPr>
        <w:t>]</w:t>
      </w:r>
    </w:p>
    <w:p>
      <w:pPr>
        <w:pStyle w:val="Heading3"/>
      </w:pPr>
      <w:r>
        <w:rPr>
          <w:rFonts w:ascii="Calibri" w:hAnsi="Calibri"/>
        </w:rPr>
        <w:t>5.2 Resilience</w:t>
      </w:r>
    </w:p>
    <w:p>
      <w:r>
        <w:rPr>
          <w:rFonts w:ascii="Calibri" w:hAnsi="Calibri"/>
        </w:rPr>
        <w:t>ICE operates robust business continuity and disaster recovery infrastructure:</w:t>
      </w:r>
    </w:p>
    <w:p>
      <w:pPr>
        <w:pStyle w:val="ListBullet"/>
      </w:pPr>
      <w:r>
        <w:rPr>
          <w:rFonts w:ascii="Calibri" w:hAnsi="Calibri"/>
          <w:b/>
        </w:rPr>
        <w:t>Multiple Data Centres:</w:t>
      </w:r>
      <w:r>
        <w:rPr>
          <w:rFonts w:ascii="Calibri" w:hAnsi="Calibri"/>
        </w:rPr>
        <w:t xml:space="preserve"> ICE maintains geographically separated primary and backup data centres to ensure continuity of clearing services</w:t>
      </w:r>
    </w:p>
    <w:p>
      <w:pPr>
        <w:pStyle w:val="ListBullet"/>
      </w:pPr>
      <w:r>
        <w:rPr>
          <w:rFonts w:ascii="Calibri" w:hAnsi="Calibri"/>
          <w:b/>
        </w:rPr>
        <w:t>Real-Time Risk Monitoring:</w:t>
      </w:r>
      <w:r>
        <w:rPr>
          <w:rFonts w:ascii="Calibri" w:hAnsi="Calibri"/>
        </w:rPr>
        <w:t xml:space="preserve"> Continuous monitoring of clearing member positions, margin adequacy, and market conditions</w:t>
      </w:r>
    </w:p>
    <w:p>
      <w:pPr>
        <w:pStyle w:val="ListBullet"/>
      </w:pPr>
      <w:r>
        <w:rPr>
          <w:rFonts w:ascii="Calibri" w:hAnsi="Calibri"/>
          <w:b/>
        </w:rPr>
        <w:t>Recovery Time Objective:</w:t>
      </w:r>
      <w:r>
        <w:rPr>
          <w:rFonts w:ascii="Calibri" w:hAnsi="Calibri"/>
        </w:rPr>
        <w:t xml:space="preserve"> ICE clearing houses maintain recovery time objectives in line with PFMI requirements (typically two-hour RTO for critical services) [unverified]</w:t>
      </w:r>
    </w:p>
    <w:p>
      <w:pPr>
        <w:pStyle w:val="ListBullet"/>
      </w:pPr>
      <w:r>
        <w:rPr>
          <w:rFonts w:ascii="Calibri" w:hAnsi="Calibri"/>
          <w:b/>
        </w:rPr>
        <w:t>Cyber Security:</w:t>
      </w:r>
      <w:r>
        <w:rPr>
          <w:rFonts w:ascii="Calibri" w:hAnsi="Calibri"/>
        </w:rPr>
        <w:t xml:space="preserve"> ICE maintains comprehensive cybersecurity programmes consistent with regulatory expectations from the Bank of England, CFTC, and SEC</w:t>
      </w:r>
    </w:p>
    <w:p>
      <w:pPr>
        <w:pStyle w:val="ListBullet"/>
      </w:pPr>
      <w:r>
        <w:rPr>
          <w:rFonts w:ascii="Calibri" w:hAnsi="Calibri"/>
          <w:b/>
        </w:rPr>
        <w:t>Annual Testing:</w:t>
      </w:r>
      <w:r>
        <w:rPr>
          <w:rFonts w:ascii="Calibri" w:hAnsi="Calibri"/>
        </w:rPr>
        <w:t xml:space="preserve"> Regular business continuity and disaster recovery testing including member participation</w:t>
      </w:r>
    </w:p>
    <w:p>
      <w:r>
        <w:rPr>
          <w:rFonts w:ascii="Calibri" w:hAnsi="Calibri"/>
          <w:color w:val="0563C1"/>
          <w:u w:val="single"/>
        </w:rPr>
        <w:t>Source: [ICE Clear Europe PFMI Disclosure Framework</w:t>
      </w:r>
      <w:r>
        <w:rPr>
          <w:rFonts w:ascii="Calibri" w:hAnsi="Calibri"/>
        </w:rPr>
        <w:t>]</w:t>
      </w:r>
    </w:p>
    <w:p>
      <w:pPr>
        <w:pBdr>
          <w:bottom w:val="single" w:sz="4" w:space="1" w:color="auto"/>
        </w:pBdr>
      </w:pPr>
    </w:p>
    <w:p>
      <w:pPr>
        <w:pStyle w:val="Heading2"/>
      </w:pPr>
      <w:r>
        <w:rPr>
          <w:rFonts w:ascii="Calibri" w:hAnsi="Calibri"/>
        </w:rPr>
        <w:t>6. Regulatory Framework</w:t>
      </w:r>
    </w:p>
    <w:p>
      <w:pPr>
        <w:pStyle w:val="Heading3"/>
      </w:pPr>
      <w:r>
        <w:rPr>
          <w:rFonts w:ascii="Calibri" w:hAnsi="Calibri"/>
        </w:rPr>
        <w:t>ICE Clear U.S.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Regulator</w:t>
            </w:r>
          </w:p>
        </w:tc>
        <w:tc>
          <w:tcPr>
            <w:tcW w:type="dxa" w:w="4320"/>
            <w:shd w:fill="4472C4" w:val="clear"/>
          </w:tcPr>
          <w:p>
            <w:pPr/>
            <w:r>
              <w:rPr>
                <w:b/>
                <w:color w:val="FFFFFF"/>
              </w:rPr>
            </w:r>
            <w:r>
              <w:rPr>
                <w:rFonts w:ascii="Calibri" w:hAnsi="Calibri"/>
                <w:b/>
                <w:color w:val="FFFFFF"/>
              </w:rPr>
              <w:t>Role</w:t>
            </w:r>
          </w:p>
        </w:tc>
      </w:tr>
      <w:tr>
        <w:tc>
          <w:tcPr>
            <w:tcW w:type="dxa" w:w="4320"/>
          </w:tcPr>
          <w:p>
            <w:pPr/>
            <w:r/>
            <w:r>
              <w:rPr>
                <w:rFonts w:ascii="Calibri" w:hAnsi="Calibri"/>
                <w:b/>
              </w:rPr>
              <w:t>CFTC</w:t>
            </w:r>
          </w:p>
        </w:tc>
        <w:tc>
          <w:tcPr>
            <w:tcW w:type="dxa" w:w="4320"/>
          </w:tcPr>
          <w:p>
            <w:pPr/>
            <w:r/>
            <w:r>
              <w:rPr>
                <w:rFonts w:ascii="Calibri" w:hAnsi="Calibri"/>
              </w:rPr>
              <w:t>Primary regulator; ICE Clear U.S. is a registered Derivatives Clearing Organization (DCO) under the Commodity Exchange Act</w:t>
            </w:r>
          </w:p>
        </w:tc>
      </w:tr>
    </w:tbl>
    <w:p/>
    <w:p>
      <w:pPr>
        <w:pStyle w:val="Heading3"/>
      </w:pPr>
      <w:r>
        <w:rPr>
          <w:rFonts w:ascii="Calibri" w:hAnsi="Calibri"/>
        </w:rPr>
        <w:t>ICE Clear Europe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Regulator</w:t>
            </w:r>
          </w:p>
        </w:tc>
        <w:tc>
          <w:tcPr>
            <w:tcW w:type="dxa" w:w="4320"/>
            <w:shd w:fill="4472C4" w:val="clear"/>
          </w:tcPr>
          <w:p>
            <w:pPr/>
            <w:r>
              <w:rPr>
                <w:b/>
                <w:color w:val="FFFFFF"/>
              </w:rPr>
            </w:r>
            <w:r>
              <w:rPr>
                <w:rFonts w:ascii="Calibri" w:hAnsi="Calibri"/>
                <w:b/>
                <w:color w:val="FFFFFF"/>
              </w:rPr>
              <w:t>Role</w:t>
            </w:r>
          </w:p>
        </w:tc>
      </w:tr>
      <w:tr>
        <w:tc>
          <w:tcPr>
            <w:tcW w:type="dxa" w:w="4320"/>
          </w:tcPr>
          <w:p>
            <w:pPr/>
            <w:r/>
            <w:r>
              <w:rPr>
                <w:rFonts w:ascii="Calibri" w:hAnsi="Calibri"/>
                <w:b/>
              </w:rPr>
              <w:t>Bank of England</w:t>
            </w:r>
          </w:p>
        </w:tc>
        <w:tc>
          <w:tcPr>
            <w:tcW w:type="dxa" w:w="4320"/>
          </w:tcPr>
          <w:p>
            <w:pPr/>
            <w:r/>
            <w:r>
              <w:rPr>
                <w:rFonts w:ascii="Calibri" w:hAnsi="Calibri"/>
              </w:rPr>
              <w:t>Primary supervisor; ICE Clear Europe is a Recognised Clearing House under FSMA 2000; designated as recognised inter-bank payment system under Banking Act 2009</w:t>
            </w:r>
          </w:p>
        </w:tc>
      </w:tr>
      <w:tr>
        <w:tc>
          <w:tcPr>
            <w:tcW w:type="dxa" w:w="4320"/>
          </w:tcPr>
          <w:p>
            <w:pPr/>
            <w:r/>
            <w:r>
              <w:rPr>
                <w:rFonts w:ascii="Calibri" w:hAnsi="Calibri"/>
                <w:b/>
              </w:rPr>
              <w:t>CFTC</w:t>
            </w:r>
          </w:p>
        </w:tc>
        <w:tc>
          <w:tcPr>
            <w:tcW w:type="dxa" w:w="4320"/>
          </w:tcPr>
          <w:p>
            <w:pPr/>
            <w:r/>
            <w:r>
              <w:rPr>
                <w:rFonts w:ascii="Calibri" w:hAnsi="Calibri"/>
              </w:rPr>
              <w:t>Registered as a DCO for OTC clearing services</w:t>
            </w:r>
          </w:p>
        </w:tc>
      </w:tr>
      <w:tr>
        <w:tc>
          <w:tcPr>
            <w:tcW w:type="dxa" w:w="4320"/>
          </w:tcPr>
          <w:p>
            <w:pPr/>
            <w:r/>
            <w:r>
              <w:rPr>
                <w:rFonts w:ascii="Calibri" w:hAnsi="Calibri"/>
                <w:b/>
              </w:rPr>
              <w:t>SEC</w:t>
            </w:r>
          </w:p>
        </w:tc>
        <w:tc>
          <w:tcPr>
            <w:tcW w:type="dxa" w:w="4320"/>
          </w:tcPr>
          <w:p>
            <w:pPr/>
            <w:r/>
            <w:r>
              <w:rPr>
                <w:rFonts w:ascii="Calibri" w:hAnsi="Calibri"/>
              </w:rPr>
              <w:t>Oversight of CDS clearing activities (security-based swaps)</w:t>
            </w:r>
          </w:p>
        </w:tc>
      </w:tr>
      <w:tr>
        <w:tc>
          <w:tcPr>
            <w:tcW w:type="dxa" w:w="4320"/>
          </w:tcPr>
          <w:p>
            <w:pPr/>
            <w:r/>
            <w:r>
              <w:rPr>
                <w:rFonts w:ascii="Calibri" w:hAnsi="Calibri"/>
                <w:b/>
              </w:rPr>
              <w:t>ESMA</w:t>
            </w:r>
          </w:p>
        </w:tc>
        <w:tc>
          <w:tcPr>
            <w:tcW w:type="dxa" w:w="4320"/>
          </w:tcPr>
          <w:p>
            <w:pPr/>
            <w:r/>
            <w:r>
              <w:rPr>
                <w:rFonts w:ascii="Calibri" w:hAnsi="Calibri"/>
              </w:rPr>
              <w:t>Recognised as a third-country CCP under EU EMIR (post-Brexit)</w:t>
            </w:r>
          </w:p>
        </w:tc>
      </w:tr>
      <w:tr>
        <w:tc>
          <w:tcPr>
            <w:tcW w:type="dxa" w:w="4320"/>
          </w:tcPr>
          <w:p>
            <w:pPr/>
            <w:r/>
            <w:r>
              <w:rPr>
                <w:rFonts w:ascii="Calibri" w:hAnsi="Calibri"/>
                <w:b/>
              </w:rPr>
              <w:t>FINMA</w:t>
            </w:r>
          </w:p>
        </w:tc>
        <w:tc>
          <w:tcPr>
            <w:tcW w:type="dxa" w:w="4320"/>
          </w:tcPr>
          <w:p>
            <w:pPr/>
            <w:r/>
            <w:r>
              <w:rPr>
                <w:rFonts w:ascii="Calibri" w:hAnsi="Calibri"/>
              </w:rPr>
              <w:t>Recognised as a foreign CCP by Swiss Financial Market Supervisory Authority</w:t>
            </w:r>
          </w:p>
        </w:tc>
      </w:tr>
      <w:tr>
        <w:tc>
          <w:tcPr>
            <w:tcW w:type="dxa" w:w="4320"/>
          </w:tcPr>
          <w:p>
            <w:pPr/>
            <w:r/>
            <w:r>
              <w:rPr>
                <w:rFonts w:ascii="Calibri" w:hAnsi="Calibri"/>
                <w:b/>
              </w:rPr>
              <w:t>ADGM FSRA</w:t>
            </w:r>
          </w:p>
        </w:tc>
        <w:tc>
          <w:tcPr>
            <w:tcW w:type="dxa" w:w="4320"/>
          </w:tcPr>
          <w:p>
            <w:pPr/>
            <w:r/>
            <w:r>
              <w:rPr>
                <w:rFonts w:ascii="Calibri" w:hAnsi="Calibri"/>
              </w:rPr>
              <w:t>Recognised as a Remote Clearing House by Abu Dhabi Global Market Financial Services Regulatory Authority</w:t>
            </w:r>
          </w:p>
        </w:tc>
      </w:tr>
    </w:tbl>
    <w:p/>
    <w:p>
      <w:pPr>
        <w:pStyle w:val="Heading3"/>
      </w:pPr>
      <w:r>
        <w:rPr>
          <w:rFonts w:ascii="Calibri" w:hAnsi="Calibri"/>
        </w:rPr>
        <w:t>ICE Clear Credit</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Regulator</w:t>
            </w:r>
          </w:p>
        </w:tc>
        <w:tc>
          <w:tcPr>
            <w:tcW w:type="dxa" w:w="4320"/>
            <w:shd w:fill="4472C4" w:val="clear"/>
          </w:tcPr>
          <w:p>
            <w:pPr/>
            <w:r>
              <w:rPr>
                <w:b/>
                <w:color w:val="FFFFFF"/>
              </w:rPr>
            </w:r>
            <w:r>
              <w:rPr>
                <w:rFonts w:ascii="Calibri" w:hAnsi="Calibri"/>
                <w:b/>
                <w:color w:val="FFFFFF"/>
              </w:rPr>
              <w:t>Role</w:t>
            </w:r>
          </w:p>
        </w:tc>
      </w:tr>
      <w:tr>
        <w:tc>
          <w:tcPr>
            <w:tcW w:type="dxa" w:w="4320"/>
          </w:tcPr>
          <w:p>
            <w:pPr/>
            <w:r/>
            <w:r>
              <w:rPr>
                <w:rFonts w:ascii="Calibri" w:hAnsi="Calibri"/>
                <w:b/>
              </w:rPr>
              <w:t>CFTC</w:t>
            </w:r>
          </w:p>
        </w:tc>
        <w:tc>
          <w:tcPr>
            <w:tcW w:type="dxa" w:w="4320"/>
          </w:tcPr>
          <w:p>
            <w:pPr/>
            <w:r/>
            <w:r>
              <w:rPr>
                <w:rFonts w:ascii="Calibri" w:hAnsi="Calibri"/>
              </w:rPr>
              <w:t>Registered as a DCO</w:t>
            </w:r>
          </w:p>
        </w:tc>
      </w:tr>
      <w:tr>
        <w:tc>
          <w:tcPr>
            <w:tcW w:type="dxa" w:w="4320"/>
          </w:tcPr>
          <w:p>
            <w:pPr/>
            <w:r/>
            <w:r>
              <w:rPr>
                <w:rFonts w:ascii="Calibri" w:hAnsi="Calibri"/>
                <w:b/>
              </w:rPr>
              <w:t>SEC</w:t>
            </w:r>
          </w:p>
        </w:tc>
        <w:tc>
          <w:tcPr>
            <w:tcW w:type="dxa" w:w="4320"/>
          </w:tcPr>
          <w:p>
            <w:pPr/>
            <w:r/>
            <w:r>
              <w:rPr>
                <w:rFonts w:ascii="Calibri" w:hAnsi="Calibri"/>
              </w:rPr>
              <w:t>Registered as a Securities Clearing Agency (SCA); CCA designation for U.S. Treasury clearing (granted February 2026)</w:t>
            </w:r>
          </w:p>
        </w:tc>
      </w:tr>
      <w:tr>
        <w:tc>
          <w:tcPr>
            <w:tcW w:type="dxa" w:w="4320"/>
          </w:tcPr>
          <w:p>
            <w:pPr/>
            <w:r/>
            <w:r>
              <w:rPr>
                <w:rFonts w:ascii="Calibri" w:hAnsi="Calibri"/>
                <w:b/>
              </w:rPr>
              <w:t>Federal Reserve</w:t>
            </w:r>
          </w:p>
        </w:tc>
        <w:tc>
          <w:tcPr>
            <w:tcW w:type="dxa" w:w="4320"/>
          </w:tcPr>
          <w:p>
            <w:pPr/>
            <w:r/>
            <w:r>
              <w:rPr>
                <w:rFonts w:ascii="Calibri" w:hAnsi="Calibri"/>
              </w:rPr>
              <w:t>Title VIII SIFMU oversight (designated July 2012)</w:t>
            </w:r>
          </w:p>
        </w:tc>
      </w:tr>
    </w:tbl>
    <w:p/>
    <w:p>
      <w:r>
        <w:rPr>
          <w:rFonts w:ascii="Calibri" w:hAnsi="Calibri"/>
        </w:rPr>
        <w:t xml:space="preserve">ICE Clear Credit has access to the Federal Reserve System, providing access to central bank liquidity. </w:t>
      </w:r>
      <w:r>
        <w:rPr>
          <w:rFonts w:ascii="Calibri" w:hAnsi="Calibri"/>
          <w:color w:val="0563C1"/>
          <w:u w:val="single"/>
        </w:rPr>
        <w:t>Source: [ICE Clear Europe Regulation</w:t>
      </w:r>
      <w:r>
        <w:rPr>
          <w:rFonts w:ascii="Calibri" w:hAnsi="Calibri"/>
        </w:rPr>
        <w:t xml:space="preserve">; </w:t>
      </w:r>
      <w:r>
        <w:rPr>
          <w:rFonts w:ascii="Calibri" w:hAnsi="Calibri"/>
          <w:color w:val="0563C1"/>
          <w:u w:val="single"/>
        </w:rPr>
        <w:t>ICE Clear Credit Regulation and Governance</w:t>
      </w:r>
      <w:r>
        <w:rPr>
          <w:rFonts w:ascii="Calibri" w:hAnsi="Calibri"/>
        </w:rPr>
        <w:t xml:space="preserve">; </w:t>
      </w:r>
      <w:r>
        <w:rPr>
          <w:rFonts w:ascii="Calibri" w:hAnsi="Calibri"/>
          <w:color w:val="0563C1"/>
          <w:u w:val="single"/>
        </w:rPr>
        <w:t>Federal Register -- ICE Clear Credit SEC Registration, February 2026</w:t>
      </w:r>
      <w:r>
        <w:rPr>
          <w:rFonts w:ascii="Calibri" w:hAnsi="Calibri"/>
        </w:rPr>
        <w:t>]</w:t>
      </w:r>
    </w:p>
    <w:p>
      <w:pPr>
        <w:pBdr>
          <w:bottom w:val="single" w:sz="4" w:space="1" w:color="auto"/>
        </w:pBdr>
      </w:pPr>
    </w:p>
    <w:p>
      <w:pPr>
        <w:pStyle w:val="Heading2"/>
      </w:pPr>
      <w:r>
        <w:rPr>
          <w:rFonts w:ascii="Calibri" w:hAnsi="Calibri"/>
        </w:rPr>
        <w:t>7. Interoperability</w:t>
      </w:r>
    </w:p>
    <w:p>
      <w:r>
        <w:rPr>
          <w:rFonts w:ascii="Calibri" w:hAnsi="Calibri"/>
        </w:rPr>
        <w:t>ICE's clearing houses do not currently maintain formal CCP interoperability arrangements (i.e., links where two CCPs clear the same instruments allowing counterparties to clear at different CCPs).</w:t>
      </w:r>
    </w:p>
    <w:p>
      <w:r>
        <w:rPr>
          <w:rFonts w:ascii="Calibri" w:hAnsi="Calibri"/>
        </w:rPr>
        <w:t>However, ICE has explored and implemented cross-margining concepts:</w:t>
      </w:r>
    </w:p>
    <w:p>
      <w:pPr>
        <w:pStyle w:val="ListBullet"/>
      </w:pPr>
      <w:r>
        <w:rPr>
          <w:rFonts w:ascii="Calibri" w:hAnsi="Calibri"/>
          <w:b/>
        </w:rPr>
        <w:t>NYPC / DTCC Cross-Margining (Historical):</w:t>
      </w:r>
      <w:r>
        <w:rPr>
          <w:rFonts w:ascii="Calibri" w:hAnsi="Calibri"/>
        </w:rPr>
        <w:t xml:space="preserve"> ICE previously operated New York Portfolio Clearing (NYPC), which linked with DTCC to provide cross-margining between interest rate futures and U.S. Treasury cash positions. This was subsequently consolidated into ICE Clear Europe operations. </w:t>
      </w:r>
      <w:r>
        <w:rPr>
          <w:rFonts w:ascii="Calibri" w:hAnsi="Calibri"/>
          <w:color w:val="0563C1"/>
          <w:u w:val="single"/>
        </w:rPr>
        <w:t>Source: [Finadium -- NYPC consolidated into ICE Clear Europe</w:t>
      </w:r>
      <w:r>
        <w:rPr>
          <w:rFonts w:ascii="Calibri" w:hAnsi="Calibri"/>
        </w:rPr>
        <w:t>]</w:t>
      </w:r>
    </w:p>
    <w:p>
      <w:pPr>
        <w:pStyle w:val="ListBullet"/>
      </w:pPr>
      <w:r>
        <w:rPr>
          <w:rFonts w:ascii="Calibri" w:hAnsi="Calibri"/>
          <w:b/>
        </w:rPr>
        <w:t>Intra-ICE Offsets:</w:t>
      </w:r>
      <w:r>
        <w:rPr>
          <w:rFonts w:ascii="Calibri" w:hAnsi="Calibri"/>
        </w:rPr>
        <w:t xml:space="preserve"> While separate legal entities, ICE's clearing houses benefit from the common ICE parent for operational efficiencies, though each maintains its own separate default waterfall and financial resources. Cross-margining across ICE entities is not formally provided. [unverified]</w:t>
      </w:r>
    </w:p>
    <w:p>
      <w:pPr>
        <w:pBdr>
          <w:bottom w:val="single" w:sz="4" w:space="1" w:color="auto"/>
        </w:pBdr>
      </w:pPr>
    </w:p>
    <w:p>
      <w:pPr>
        <w:pStyle w:val="Heading2"/>
      </w:pPr>
      <w:r>
        <w:rPr>
          <w:rFonts w:ascii="Calibri" w:hAnsi="Calibri"/>
        </w:rPr>
        <w:t>8. Fees</w:t>
      </w:r>
    </w:p>
    <w:p>
      <w:r>
        <w:rPr>
          <w:rFonts w:ascii="Calibri" w:hAnsi="Calibri"/>
        </w:rPr>
        <w:t>ICE clearing fees are structured on a per-contract or per-transaction basis and vary by product category and clearing entity:</w:t>
      </w:r>
    </w:p>
    <w:p>
      <w:r>
        <w:rPr>
          <w:rFonts w:ascii="Calibri" w:hAnsi="Calibri"/>
          <w:b/>
        </w:rPr>
        <w:t>ICE Clear Europe -- Energy Products (examples):</w:t>
      </w:r>
    </w:p>
    <w:p>
      <w:r>
        <w:rPr>
          <w:rFonts w:ascii="Calibri" w:hAnsi="Calibri"/>
        </w:rPr>
        <w:t xml:space="preserve">Exchange and clearing fees for energy products are published in ICE's fee schedules. Fees vary by product, member type, and volume tier. </w:t>
      </w:r>
      <w:r>
        <w:rPr>
          <w:rFonts w:ascii="Calibri" w:hAnsi="Calibri"/>
          <w:color w:val="0563C1"/>
          <w:u w:val="single"/>
        </w:rPr>
        <w:t>Source: [ICE Fees</w:t>
      </w:r>
      <w:r>
        <w:rPr>
          <w:rFonts w:ascii="Calibri" w:hAnsi="Calibri"/>
        </w:rPr>
        <w:t xml:space="preserve">; </w:t>
      </w:r>
      <w:r>
        <w:rPr>
          <w:rFonts w:ascii="Calibri" w:hAnsi="Calibri"/>
          <w:color w:val="0563C1"/>
          <w:u w:val="single"/>
        </w:rPr>
        <w:t>IFSG Clearing Fees</w:t>
      </w:r>
      <w:r>
        <w:rPr>
          <w:rFonts w:ascii="Calibri" w:hAnsi="Calibri"/>
        </w:rPr>
        <w:t>]</w:t>
      </w:r>
    </w:p>
    <w:p>
      <w:r>
        <w:rPr>
          <w:rFonts w:ascii="Calibri" w:hAnsi="Calibri"/>
          <w:b/>
        </w:rPr>
        <w:t>ICE Clear U.S. -- Energy Products (examples):</w:t>
      </w:r>
    </w:p>
    <w:p>
      <w:r>
        <w:rPr>
          <w:rFonts w:ascii="Calibri" w:hAnsi="Calibri"/>
        </w:rPr>
        <w:t xml:space="preserve">Energy division fees are published separately. </w:t>
      </w:r>
      <w:r>
        <w:rPr>
          <w:rFonts w:ascii="Calibri" w:hAnsi="Calibri"/>
          <w:color w:val="0563C1"/>
          <w:u w:val="single"/>
        </w:rPr>
        <w:t>Source: [IFUS Energy Fees</w:t>
      </w:r>
      <w:r>
        <w:rPr>
          <w:rFonts w:ascii="Calibri" w:hAnsi="Calibri"/>
        </w:rPr>
        <w:t>]</w:t>
      </w:r>
    </w:p>
    <w:p>
      <w:r>
        <w:rPr>
          <w:rFonts w:ascii="Calibri" w:hAnsi="Calibri"/>
          <w:b/>
        </w:rPr>
        <w:t>ICE Clear Credit -- CDS Clearing:</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Fee Type</w:t>
            </w:r>
          </w:p>
        </w:tc>
        <w:tc>
          <w:tcPr>
            <w:tcW w:type="dxa" w:w="4320"/>
            <w:shd w:fill="4472C4" w:val="clear"/>
          </w:tcPr>
          <w:p>
            <w:pPr/>
            <w:r>
              <w:rPr>
                <w:b/>
                <w:color w:val="FFFFFF"/>
              </w:rPr>
            </w:r>
            <w:r>
              <w:rPr>
                <w:rFonts w:ascii="Calibri" w:hAnsi="Calibri"/>
                <w:b/>
                <w:color w:val="FFFFFF"/>
              </w:rPr>
              <w:t>Rate</w:t>
            </w:r>
          </w:p>
        </w:tc>
      </w:tr>
      <w:tr>
        <w:tc>
          <w:tcPr>
            <w:tcW w:type="dxa" w:w="4320"/>
          </w:tcPr>
          <w:p>
            <w:pPr/>
            <w:r/>
            <w:r>
              <w:rPr>
                <w:rFonts w:ascii="Calibri" w:hAnsi="Calibri"/>
              </w:rPr>
              <w:t>Clearing Participant fee</w:t>
            </w:r>
          </w:p>
        </w:tc>
        <w:tc>
          <w:tcPr>
            <w:tcW w:type="dxa" w:w="4320"/>
          </w:tcPr>
          <w:p>
            <w:pPr/>
            <w:r/>
            <w:r>
              <w:rPr>
                <w:rFonts w:ascii="Calibri" w:hAnsi="Calibri"/>
              </w:rPr>
              <w:t>$6 per $1 million notional (example: $240 for $40 million)</w:t>
            </w:r>
          </w:p>
        </w:tc>
      </w:tr>
      <w:tr>
        <w:tc>
          <w:tcPr>
            <w:tcW w:type="dxa" w:w="4320"/>
          </w:tcPr>
          <w:p>
            <w:pPr/>
            <w:r/>
            <w:r>
              <w:rPr>
                <w:rFonts w:ascii="Calibri" w:hAnsi="Calibri"/>
              </w:rPr>
              <w:t>Client Volume Incentive Program</w:t>
            </w:r>
          </w:p>
        </w:tc>
        <w:tc>
          <w:tcPr>
            <w:tcW w:type="dxa" w:w="4320"/>
          </w:tcPr>
          <w:p>
            <w:pPr/>
            <w:r/>
            <w:r>
              <w:rPr>
                <w:rFonts w:ascii="Calibri" w:hAnsi="Calibri"/>
              </w:rPr>
              <w:t>Tiered discount schedule based on calendar-year client fees billed (introduced April 2025)</w:t>
            </w:r>
          </w:p>
        </w:tc>
      </w:tr>
    </w:tbl>
    <w:p/>
    <w:p>
      <w:r>
        <w:rPr>
          <w:rFonts w:ascii="Calibri" w:hAnsi="Calibri"/>
          <w:color w:val="0563C1"/>
          <w:u w:val="single"/>
        </w:rPr>
        <w:t>Source: [ICE Clear Credit Fees</w:t>
      </w:r>
      <w:r>
        <w:rPr>
          <w:rFonts w:ascii="Calibri" w:hAnsi="Calibri"/>
        </w:rPr>
        <w:t xml:space="preserve">; </w:t>
      </w:r>
      <w:r>
        <w:rPr>
          <w:rFonts w:ascii="Calibri" w:hAnsi="Calibri"/>
          <w:color w:val="0563C1"/>
          <w:u w:val="single"/>
        </w:rPr>
        <w:t>Federal Register -- ICE Clear Credit Client Volume Incentive Program, April 2025</w:t>
      </w:r>
      <w:r>
        <w:rPr>
          <w:rFonts w:ascii="Calibri" w:hAnsi="Calibri"/>
        </w:rPr>
        <w:t>]</w:t>
      </w:r>
    </w:p>
    <w:p>
      <w:pPr>
        <w:pBdr>
          <w:bottom w:val="single" w:sz="4" w:space="1" w:color="auto"/>
        </w:pBdr>
      </w:pPr>
    </w:p>
    <w:p>
      <w:pPr>
        <w:pStyle w:val="Heading2"/>
      </w:pPr>
      <w:r>
        <w:rPr>
          <w:rFonts w:ascii="Calibri" w:hAnsi="Calibri"/>
        </w:rPr>
        <w:t>9. Recent Developments</w:t>
      </w:r>
    </w:p>
    <w:p>
      <w:pPr>
        <w:pStyle w:val="Heading3"/>
      </w:pPr>
      <w:r>
        <w:rPr>
          <w:rFonts w:ascii="Calibri" w:hAnsi="Calibri"/>
        </w:rPr>
        <w:t>ICE Clear Credit -- U.S. Treasury Clearing (2025-2026)</w:t>
      </w:r>
    </w:p>
    <w:p>
      <w:r>
        <w:rPr>
          <w:rFonts w:ascii="Calibri" w:hAnsi="Calibri"/>
        </w:rPr>
        <w:t>The most significant recent development across ICE's clearing houses is ICE Clear Credit's entry into U.S. Treasury clearing:</w:t>
      </w:r>
    </w:p>
    <w:p>
      <w:pPr>
        <w:pStyle w:val="ListBullet"/>
      </w:pPr>
      <w:r>
        <w:rPr>
          <w:rFonts w:ascii="Calibri" w:hAnsi="Calibri"/>
          <w:b/>
        </w:rPr>
        <w:t>August 2025:</w:t>
      </w:r>
      <w:r>
        <w:rPr>
          <w:rFonts w:ascii="Calibri" w:hAnsi="Calibri"/>
        </w:rPr>
        <w:t xml:space="preserve"> ICE Clear Credit filed application with the SEC to register as a clearing agency for U.S. Treasury securities</w:t>
      </w:r>
    </w:p>
    <w:p>
      <w:pPr>
        <w:pStyle w:val="ListBullet"/>
      </w:pPr>
      <w:r>
        <w:rPr>
          <w:rFonts w:ascii="Calibri" w:hAnsi="Calibri"/>
          <w:b/>
        </w:rPr>
        <w:t>November 2025:</w:t>
      </w:r>
      <w:r>
        <w:rPr>
          <w:rFonts w:ascii="Calibri" w:hAnsi="Calibri"/>
        </w:rPr>
        <w:t xml:space="preserve"> SEC instituted proceedings to evaluate the application</w:t>
      </w:r>
    </w:p>
    <w:p>
      <w:pPr>
        <w:pStyle w:val="ListBullet"/>
      </w:pPr>
      <w:r>
        <w:rPr>
          <w:rFonts w:ascii="Calibri" w:hAnsi="Calibri"/>
          <w:b/>
        </w:rPr>
        <w:t>February 2026:</w:t>
      </w:r>
      <w:r>
        <w:rPr>
          <w:rFonts w:ascii="Calibri" w:hAnsi="Calibri"/>
        </w:rPr>
        <w:t xml:space="preserve"> SEC granted approval; ICE Clear Credit's Treasury Clearing Service became operationally live -- the first alternative venue to DTCC/FICC for clearing U.S. Treasury securities</w:t>
      </w:r>
    </w:p>
    <w:p>
      <w:r>
        <w:rPr>
          <w:rFonts w:ascii="Calibri" w:hAnsi="Calibri"/>
        </w:rPr>
        <w:t xml:space="preserve">The Treasury clearing service is established as a distinct offering from the CDS clearing service with a separate rulebook, membership, risk management framework, financial and liquidity resources, and risk committee. The SEC extended the original U.S. Treasury clearing mandate deadlines by 12 months (cash transactions to December 31, 2026; repo transactions to June 30, 2027). </w:t>
      </w:r>
      <w:r>
        <w:rPr>
          <w:rFonts w:ascii="Calibri" w:hAnsi="Calibri"/>
          <w:color w:val="0563C1"/>
          <w:u w:val="single"/>
        </w:rPr>
        <w:t>Source: [ICE Press Release, February 2026</w:t>
      </w:r>
      <w:r>
        <w:rPr>
          <w:rFonts w:ascii="Calibri" w:hAnsi="Calibri"/>
        </w:rPr>
        <w:t xml:space="preserve">; </w:t>
      </w:r>
      <w:r>
        <w:rPr>
          <w:rFonts w:ascii="Calibri" w:hAnsi="Calibri"/>
          <w:color w:val="0563C1"/>
          <w:u w:val="single"/>
        </w:rPr>
        <w:t>Federal Register -- ICE Clear Credit Order, February 2026</w:t>
      </w:r>
      <w:r>
        <w:rPr>
          <w:rFonts w:ascii="Calibri" w:hAnsi="Calibri"/>
        </w:rPr>
        <w:t>]</w:t>
      </w:r>
    </w:p>
    <w:p>
      <w:pPr>
        <w:pStyle w:val="Heading3"/>
      </w:pPr>
      <w:r>
        <w:rPr>
          <w:rFonts w:ascii="Calibri" w:hAnsi="Calibri"/>
        </w:rPr>
        <w:t>IRM 2 Rollout Expansion (2025)</w:t>
      </w:r>
    </w:p>
    <w:p>
      <w:r>
        <w:rPr>
          <w:rFonts w:ascii="Calibri" w:hAnsi="Calibri"/>
        </w:rPr>
        <w:t>ICE continued the phased rollout of its next-generation margin model:</w:t>
      </w:r>
    </w:p>
    <w:p>
      <w:pPr>
        <w:pStyle w:val="ListBullet"/>
      </w:pPr>
      <w:r>
        <w:rPr>
          <w:rFonts w:ascii="Calibri" w:hAnsi="Calibri"/>
        </w:rPr>
        <w:t>Freight products at ICE Clear Europe transitioned to IRM 2 in September 2025</w:t>
      </w:r>
    </w:p>
    <w:p>
      <w:pPr>
        <w:pStyle w:val="ListBullet"/>
      </w:pPr>
      <w:r>
        <w:rPr>
          <w:rFonts w:ascii="Calibri" w:hAnsi="Calibri"/>
        </w:rPr>
        <w:t>Additional energy products at ICE Clear Europe transitioned in November 2025</w:t>
      </w:r>
    </w:p>
    <w:p>
      <w:pPr>
        <w:pStyle w:val="ListBullet"/>
      </w:pPr>
      <w:r>
        <w:rPr>
          <w:rFonts w:ascii="Calibri" w:hAnsi="Calibri"/>
        </w:rPr>
        <w:t>Remaining product groups (interest rates, equity derivatives, agricultural) remain on IRM 1 pending future phase dates</w:t>
      </w:r>
    </w:p>
    <w:p>
      <w:r>
        <w:rPr>
          <w:rFonts w:ascii="Calibri" w:hAnsi="Calibri"/>
          <w:color w:val="0563C1"/>
          <w:u w:val="single"/>
        </w:rPr>
        <w:t>Source: [BusinessWire -- ICE Launches Latest Phase of IRM 2, November 2025</w:t>
      </w:r>
      <w:r>
        <w:rPr>
          <w:rFonts w:ascii="Calibri" w:hAnsi="Calibri"/>
        </w:rPr>
        <w:t>]</w:t>
      </w:r>
    </w:p>
    <w:p>
      <w:pPr>
        <w:pStyle w:val="Heading3"/>
      </w:pPr>
      <w:r>
        <w:rPr>
          <w:rFonts w:ascii="Calibri" w:hAnsi="Calibri"/>
        </w:rPr>
        <w:t>Default Insurance Renewal (2025)</w:t>
      </w:r>
    </w:p>
    <w:p>
      <w:r>
        <w:rPr>
          <w:rFonts w:ascii="Calibri" w:hAnsi="Calibri"/>
        </w:rPr>
        <w:t>ICE renewed its default insurance programme for a three-year term commencing September 17, 2025:</w:t>
      </w:r>
    </w:p>
    <w:p>
      <w:pPr>
        <w:pStyle w:val="ListBullet"/>
      </w:pPr>
      <w:r>
        <w:rPr>
          <w:rFonts w:ascii="Calibri" w:hAnsi="Calibri"/>
        </w:rPr>
        <w:t>ICE Clear Europe: $100 million</w:t>
      </w:r>
    </w:p>
    <w:p>
      <w:pPr>
        <w:pStyle w:val="ListBullet"/>
      </w:pPr>
      <w:r>
        <w:rPr>
          <w:rFonts w:ascii="Calibri" w:hAnsi="Calibri"/>
        </w:rPr>
        <w:t>ICE Clear Credit: $75 million</w:t>
      </w:r>
    </w:p>
    <w:p>
      <w:pPr>
        <w:pStyle w:val="ListBullet"/>
      </w:pPr>
      <w:r>
        <w:rPr>
          <w:rFonts w:ascii="Calibri" w:hAnsi="Calibri"/>
        </w:rPr>
        <w:t>ICE Clear U.S.: $25 million</w:t>
      </w:r>
    </w:p>
    <w:p>
      <w:r>
        <w:rPr>
          <w:rFonts w:ascii="Calibri" w:hAnsi="Calibri"/>
          <w:color w:val="0563C1"/>
          <w:u w:val="single"/>
        </w:rPr>
        <w:t>Source: [ICE Quarterly Clearing Disclosures Q3 2025</w:t>
      </w:r>
      <w:r>
        <w:rPr>
          <w:rFonts w:ascii="Calibri" w:hAnsi="Calibri"/>
        </w:rPr>
        <w:t>]</w:t>
      </w:r>
    </w:p>
    <w:p>
      <w:pPr>
        <w:pStyle w:val="Heading3"/>
      </w:pPr>
      <w:r>
        <w:rPr>
          <w:rFonts w:ascii="Calibri" w:hAnsi="Calibri"/>
        </w:rPr>
        <w:t>ICE Clear Credit -- Client Volume Incentive Program (2025)</w:t>
      </w:r>
    </w:p>
    <w:p>
      <w:r>
        <w:rPr>
          <w:rFonts w:ascii="Calibri" w:hAnsi="Calibri"/>
        </w:rPr>
        <w:t xml:space="preserve">In April 2025, ICE Clear Credit introduced a Client Volume Incentive Program providing tiered discounts on client clearing fees based on annual billing volumes. </w:t>
      </w:r>
      <w:r>
        <w:rPr>
          <w:rFonts w:ascii="Calibri" w:hAnsi="Calibri"/>
          <w:color w:val="0563C1"/>
          <w:u w:val="single"/>
        </w:rPr>
        <w:t>Source: [Federal Register, April 2025</w:t>
      </w:r>
      <w:r>
        <w:rPr>
          <w:rFonts w:ascii="Calibri" w:hAnsi="Calibri"/>
        </w:rPr>
        <w:t>]</w:t>
      </w:r>
    </w:p>
    <w:p>
      <w:pPr>
        <w:pBdr>
          <w:bottom w:val="single" w:sz="4" w:space="1" w:color="auto"/>
        </w:pBdr>
      </w:pPr>
    </w:p>
    <w:p>
      <w:pPr>
        <w:pStyle w:val="Heading2"/>
      </w:pPr>
      <w:r>
        <w:rPr>
          <w:rFonts w:ascii="Calibri" w:hAnsi="Calibri"/>
        </w:rPr>
        <w:t>Sources</w:t>
      </w:r>
    </w:p>
    <w:p>
      <w:pPr>
        <w:pStyle w:val="ListBullet"/>
      </w:pPr>
      <w:r>
        <w:rPr>
          <w:rFonts w:ascii="Calibri" w:hAnsi="Calibri"/>
          <w:color w:val="0563C1"/>
          <w:u w:val="single"/>
        </w:rPr>
        <w:t>ICE Clear U.S.</w:t>
      </w:r>
    </w:p>
    <w:p>
      <w:pPr>
        <w:pStyle w:val="ListBullet"/>
      </w:pPr>
      <w:r>
        <w:rPr>
          <w:rFonts w:ascii="Calibri" w:hAnsi="Calibri"/>
          <w:color w:val="0563C1"/>
          <w:u w:val="single"/>
        </w:rPr>
        <w:t>ICE Clear Europe</w:t>
      </w:r>
    </w:p>
    <w:p>
      <w:pPr>
        <w:pStyle w:val="ListBullet"/>
      </w:pPr>
      <w:r>
        <w:rPr>
          <w:rFonts w:ascii="Calibri" w:hAnsi="Calibri"/>
          <w:color w:val="0563C1"/>
          <w:u w:val="single"/>
        </w:rPr>
        <w:t>ICE Clear Credit</w:t>
      </w:r>
    </w:p>
    <w:p>
      <w:pPr>
        <w:pStyle w:val="ListBullet"/>
      </w:pPr>
      <w:r>
        <w:rPr>
          <w:rFonts w:ascii="Calibri" w:hAnsi="Calibri"/>
          <w:color w:val="0563C1"/>
          <w:u w:val="single"/>
        </w:rPr>
        <w:t>ICE History</w:t>
      </w:r>
    </w:p>
    <w:p>
      <w:pPr>
        <w:pStyle w:val="ListBullet"/>
      </w:pPr>
      <w:r>
        <w:rPr>
          <w:rFonts w:ascii="Calibri" w:hAnsi="Calibri"/>
          <w:color w:val="0563C1"/>
          <w:u w:val="single"/>
        </w:rPr>
        <w:t>ICE Clear Europe Risk Management</w:t>
      </w:r>
    </w:p>
    <w:p>
      <w:pPr>
        <w:pStyle w:val="ListBullet"/>
      </w:pPr>
      <w:r>
        <w:rPr>
          <w:rFonts w:ascii="Calibri" w:hAnsi="Calibri"/>
          <w:color w:val="0563C1"/>
          <w:u w:val="single"/>
        </w:rPr>
        <w:t>ICE Clear U.S. Risk Management</w:t>
      </w:r>
    </w:p>
    <w:p>
      <w:pPr>
        <w:pStyle w:val="ListBullet"/>
      </w:pPr>
      <w:r>
        <w:rPr>
          <w:rFonts w:ascii="Calibri" w:hAnsi="Calibri"/>
          <w:color w:val="0563C1"/>
          <w:u w:val="single"/>
        </w:rPr>
        <w:t>ICE Risk Model 2 Methodology</w:t>
      </w:r>
    </w:p>
    <w:p>
      <w:pPr>
        <w:pStyle w:val="ListBullet"/>
      </w:pPr>
      <w:r>
        <w:rPr>
          <w:rFonts w:ascii="Calibri" w:hAnsi="Calibri"/>
          <w:color w:val="0563C1"/>
          <w:u w:val="single"/>
        </w:rPr>
        <w:t>ICE Risk Model 2</w:t>
      </w:r>
    </w:p>
    <w:p>
      <w:pPr>
        <w:pStyle w:val="ListBullet"/>
      </w:pPr>
      <w:r>
        <w:rPr>
          <w:rFonts w:ascii="Calibri" w:hAnsi="Calibri"/>
          <w:color w:val="0563C1"/>
          <w:u w:val="single"/>
        </w:rPr>
        <w:t>ICE Quarterly Clearing Disclosures</w:t>
      </w:r>
    </w:p>
    <w:p>
      <w:pPr>
        <w:pStyle w:val="ListBullet"/>
      </w:pPr>
      <w:r>
        <w:rPr>
          <w:rFonts w:ascii="Calibri" w:hAnsi="Calibri"/>
          <w:color w:val="0563C1"/>
          <w:u w:val="single"/>
        </w:rPr>
        <w:t>ICE Clear Europe PFMI Disclosure Framework</w:t>
      </w:r>
    </w:p>
    <w:p>
      <w:pPr>
        <w:pStyle w:val="ListBullet"/>
      </w:pPr>
      <w:r>
        <w:rPr>
          <w:rFonts w:ascii="Calibri" w:hAnsi="Calibri"/>
          <w:color w:val="0563C1"/>
          <w:u w:val="single"/>
        </w:rPr>
        <w:t>ICE Clear U.S. Disclosure Framework</w:t>
      </w:r>
    </w:p>
    <w:p>
      <w:pPr>
        <w:pStyle w:val="ListBullet"/>
      </w:pPr>
      <w:r>
        <w:rPr>
          <w:rFonts w:ascii="Calibri" w:hAnsi="Calibri"/>
          <w:color w:val="0563C1"/>
          <w:u w:val="single"/>
        </w:rPr>
        <w:t>ICE Clear Credit Disclosure Framework</w:t>
      </w:r>
    </w:p>
    <w:p>
      <w:pPr>
        <w:pStyle w:val="ListBullet"/>
      </w:pPr>
      <w:r>
        <w:rPr>
          <w:rFonts w:ascii="Calibri" w:hAnsi="Calibri"/>
          <w:color w:val="0563C1"/>
          <w:u w:val="single"/>
        </w:rPr>
        <w:t>ICE Clear Europe Risk FAQ</w:t>
      </w:r>
    </w:p>
    <w:p>
      <w:pPr>
        <w:pStyle w:val="ListBullet"/>
      </w:pPr>
      <w:r>
        <w:rPr>
          <w:rFonts w:ascii="Calibri" w:hAnsi="Calibri"/>
          <w:color w:val="0563C1"/>
          <w:u w:val="single"/>
        </w:rPr>
        <w:t>ICE Clear Credit Regulation and Governance</w:t>
      </w:r>
    </w:p>
    <w:p>
      <w:pPr>
        <w:pStyle w:val="ListBullet"/>
      </w:pPr>
      <w:r>
        <w:rPr>
          <w:rFonts w:ascii="Calibri" w:hAnsi="Calibri"/>
          <w:color w:val="0563C1"/>
          <w:u w:val="single"/>
        </w:rPr>
        <w:t>ICE Clear Credit Collateral Management, November 2025</w:t>
      </w:r>
    </w:p>
    <w:p>
      <w:pPr>
        <w:pStyle w:val="ListBullet"/>
      </w:pPr>
      <w:r>
        <w:rPr>
          <w:rFonts w:ascii="Calibri" w:hAnsi="Calibri"/>
          <w:color w:val="0563C1"/>
          <w:u w:val="single"/>
        </w:rPr>
        <w:t>NY Fed TMPG -- ICE Clear Credit UST Clearing Overview, October 2025</w:t>
      </w:r>
    </w:p>
    <w:p>
      <w:pPr>
        <w:pStyle w:val="ListBullet"/>
      </w:pPr>
      <w:r>
        <w:rPr>
          <w:rFonts w:ascii="Calibri" w:hAnsi="Calibri"/>
          <w:color w:val="0563C1"/>
          <w:u w:val="single"/>
        </w:rPr>
        <w:t>ICE Clear Europe Regulation</w:t>
      </w:r>
    </w:p>
    <w:p>
      <w:pPr>
        <w:pStyle w:val="ListBullet"/>
      </w:pPr>
      <w:r>
        <w:rPr>
          <w:rFonts w:ascii="Calibri" w:hAnsi="Calibri"/>
          <w:color w:val="0563C1"/>
          <w:u w:val="single"/>
        </w:rPr>
        <w:t>ICE Clear U.S. Regulation</w:t>
      </w:r>
    </w:p>
    <w:p>
      <w:pPr>
        <w:pStyle w:val="ListBullet"/>
      </w:pPr>
      <w:r>
        <w:rPr>
          <w:rFonts w:ascii="Calibri" w:hAnsi="Calibri"/>
          <w:color w:val="0563C1"/>
          <w:u w:val="single"/>
        </w:rPr>
        <w:t>ICE Fees</w:t>
      </w:r>
    </w:p>
    <w:p>
      <w:pPr>
        <w:pStyle w:val="ListBullet"/>
      </w:pPr>
      <w:r>
        <w:rPr>
          <w:rFonts w:ascii="Calibri" w:hAnsi="Calibri"/>
          <w:color w:val="0563C1"/>
          <w:u w:val="single"/>
        </w:rPr>
        <w:t>WFE Focus -- The Importance of Skin-in-the-Game in Managing CCP Risk</w:t>
      </w:r>
    </w:p>
    <w:p>
      <w:pPr>
        <w:pStyle w:val="ListBullet"/>
      </w:pPr>
      <w:r>
        <w:rPr>
          <w:rFonts w:ascii="Calibri" w:hAnsi="Calibri"/>
          <w:color w:val="0563C1"/>
          <w:u w:val="single"/>
        </w:rPr>
        <w:t>Risk.net -- Ice adds insurance to default waterfall</w:t>
      </w:r>
    </w:p>
    <w:p>
      <w:pPr>
        <w:pStyle w:val="ListBullet"/>
      </w:pPr>
      <w:r>
        <w:rPr>
          <w:rFonts w:ascii="Calibri" w:hAnsi="Calibri"/>
          <w:color w:val="0563C1"/>
          <w:u w:val="single"/>
        </w:rPr>
        <w:t>Wikipedia -- Intercontinental Exchange</w:t>
      </w:r>
    </w:p>
    <w:p>
      <w:pPr>
        <w:pStyle w:val="ListBullet"/>
      </w:pPr>
      <w:r>
        <w:rPr>
          <w:rFonts w:ascii="Calibri" w:hAnsi="Calibri"/>
          <w:color w:val="0563C1"/>
          <w:u w:val="single"/>
        </w:rPr>
        <w:t>Wikipedia -- ICE Clear Credit</w:t>
      </w:r>
    </w:p>
    <w:p>
      <w:pPr>
        <w:pStyle w:val="ListBullet"/>
      </w:pPr>
      <w:r>
        <w:rPr>
          <w:rFonts w:ascii="Calibri" w:hAnsi="Calibri"/>
          <w:color w:val="0563C1"/>
          <w:u w:val="single"/>
        </w:rPr>
        <w:t>MarketsWiki -- ICE Clear Europe</w:t>
      </w:r>
    </w:p>
    <w:p>
      <w:pPr>
        <w:pStyle w:val="ListBullet"/>
      </w:pPr>
      <w:r>
        <w:rPr>
          <w:rFonts w:ascii="Calibri" w:hAnsi="Calibri"/>
          <w:color w:val="0563C1"/>
          <w:u w:val="single"/>
        </w:rPr>
        <w:t>MarketsWiki -- ICE Clear U.S.</w:t>
      </w:r>
    </w:p>
    <w:p>
      <w:pPr>
        <w:pStyle w:val="ListBullet"/>
      </w:pPr>
      <w:r>
        <w:rPr>
          <w:rFonts w:ascii="Calibri" w:hAnsi="Calibri"/>
          <w:color w:val="0563C1"/>
          <w:u w:val="single"/>
        </w:rPr>
        <w:t>Federal Reserve -- Designated Financial Market Utilities</w:t>
      </w:r>
    </w:p>
    <w:p>
      <w:pPr>
        <w:pStyle w:val="ListBullet"/>
      </w:pPr>
      <w:r>
        <w:rPr>
          <w:rFonts w:ascii="Calibri" w:hAnsi="Calibri"/>
          <w:color w:val="0563C1"/>
          <w:u w:val="single"/>
        </w:rPr>
        <w:t>Federal Register -- ICE Clear Credit SEC Registration Order, February 2026</w:t>
      </w:r>
    </w:p>
    <w:p>
      <w:pPr>
        <w:pStyle w:val="ListBullet"/>
      </w:pPr>
      <w:r>
        <w:rPr>
          <w:rFonts w:ascii="Calibri" w:hAnsi="Calibri"/>
          <w:color w:val="0563C1"/>
          <w:u w:val="single"/>
        </w:rPr>
        <w:t>Federal Register -- ICE Clear Europe Recovery Plan Amendments, September 2023</w:t>
      </w:r>
    </w:p>
    <w:p>
      <w:pPr>
        <w:pStyle w:val="ListBullet"/>
      </w:pPr>
      <w:r>
        <w:rPr>
          <w:rFonts w:ascii="Calibri" w:hAnsi="Calibri"/>
          <w:color w:val="0563C1"/>
          <w:u w:val="single"/>
        </w:rPr>
        <w:t>BusinessWire -- ICE Launches Latest Phase of IRM 2, November 2025</w:t>
      </w:r>
    </w:p>
    <w:p>
      <w:pPr>
        <w:pStyle w:val="ListBullet"/>
      </w:pPr>
      <w:r>
        <w:rPr>
          <w:rFonts w:ascii="Calibri" w:hAnsi="Calibri"/>
          <w:color w:val="0563C1"/>
          <w:u w:val="single"/>
        </w:rPr>
        <w:t>ICE Press Release -- Treasury Clearing Live, February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