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LCH (LCH Limited &amp; LCH SA)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**Last Updated:** 2026-04-07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**Research Tier:** Tier 1 (Deep Dive)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**Type:** CCP (Central Counterparty)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1. Overview &amp; Profile</w:t>
      </w:r>
    </w:p>
    <w:p>
      <w:pPr>
        <w:pStyle w:val="Heading3"/>
      </w:pPr>
      <w:r>
        <w:rPr>
          <w:rFonts w:ascii="Calibri" w:hAnsi="Calibri"/>
        </w:rPr>
        <w:t>1.1 LCH Group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Official Name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Group Holdings Limited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Operating Entities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Limited (London); LCH SA (Paris)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Website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color w:val="0563C1"/>
                <w:u w:val="single"/>
              </w:rPr>
              <w:t>https://www.lch.com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Year Established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1888 (as London Produce Clearing House); 2003 (as LCH.Clearnet following merger)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Ownership Structure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London Stock Exchange Group (LSEG) holds 82.61% of LCH Group Holdings Limited (</w:t>
            </w:r>
            <w:r>
              <w:rPr>
                <w:rFonts w:ascii="Calibri" w:hAnsi="Calibri"/>
                <w:color w:val="0563C1"/>
                <w:u w:val="single"/>
              </w:rPr>
              <w:t>Wikipedia</w:t>
            </w:r>
            <w:r>
              <w:rPr>
                <w:rFonts w:ascii="Calibri" w:hAnsi="Calibri"/>
              </w:rPr>
              <w:t>))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Other Operating Entity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SwapAgent Ltd (UK)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CPMI-IOSCO PFMI Compliance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Yes -- both LCH Ltd and LCH SA publish CPMI-IOSCO self-assessments and PQD disclosures (</w:t>
            </w:r>
            <w:r>
              <w:rPr>
                <w:rFonts w:ascii="Calibri" w:hAnsi="Calibri"/>
                <w:color w:val="0563C1"/>
                <w:u w:val="single"/>
              </w:rPr>
              <w:t>LSEG CCP Disclosures</w:t>
            </w:r>
            <w:r>
              <w:rPr>
                <w:rFonts w:ascii="Calibri" w:hAnsi="Calibri"/>
              </w:rPr>
              <w:t>)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1.2 LCH Limited (LCH Ltd)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Official Name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Limited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Abbreviation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Ltd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Country / City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United Kingdom / London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Regulatory Authority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Bank of England (primary supervisor); also registered as DCO with US CFTC; recognised by ESMA as third-country CCP (Tier 2) under EU EMIR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QCCP Status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Yes -- recognised as QCCP in multiple jurisdictions including EU, US, Switzerland (FINMA), Hong Kong, Singapore, Japan, Canada, Australia (</w:t>
            </w:r>
            <w:r>
              <w:rPr>
                <w:rFonts w:ascii="Calibri" w:hAnsi="Calibri"/>
                <w:color w:val="0563C1"/>
                <w:u w:val="single"/>
              </w:rPr>
              <w:t>LSEG Company Structure</w:t>
            </w:r>
            <w:r>
              <w:rPr>
                <w:rFonts w:ascii="Calibri" w:hAnsi="Calibri"/>
              </w:rPr>
              <w:t xml:space="preserve">; </w:t>
            </w:r>
            <w:r>
              <w:rPr>
                <w:rFonts w:ascii="Calibri" w:hAnsi="Calibri"/>
                <w:color w:val="0563C1"/>
                <w:u w:val="single"/>
              </w:rPr>
              <w:t>LSEG QCCP Document</w:t>
            </w:r>
            <w:r>
              <w:rPr>
                <w:rFonts w:ascii="Calibri" w:hAnsi="Calibri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Clearing Services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SwapClear, ForexClear, RepoClear (Ltd), EquityClear (Ltd), Listed Rates (Listed Derivatives)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1.3 LCH SA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Official Name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Banque Centrale de Compensation SA, operating as LCH SA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Abbreviation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SA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Country / City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France / Paris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Regulatory Authority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ACPR (Autorite de Controle Prudentiel et de Resolution), Banque de France, AMF (Autorite des Marches Financiers); indirectly supervised by the ECB (</w:t>
            </w:r>
            <w:r>
              <w:rPr>
                <w:rFonts w:ascii="Calibri" w:hAnsi="Calibri"/>
                <w:color w:val="0563C1"/>
                <w:u w:val="single"/>
              </w:rPr>
              <w:t>LCH SA CPMI-IOSCO Self-Assessment 2024</w:t>
            </w:r>
            <w:r>
              <w:rPr>
                <w:rFonts w:ascii="Calibri" w:hAnsi="Calibri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QCCP Status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Yes -- authorised as CCP under EU EMIR; registered as DCO with US CFTC (for CDSClear) and as clearing agency with US SEC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Clearing Services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CDSClear, RepoClear SA, DigitalAssetClear (launched 2024, replacing former EquityClear SA and CommodityClear SA)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1.4 Key Historical Milestones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Year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Event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1888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London Produce Clearing House (LPCH) established for commodity futures clearing (</w:t>
            </w:r>
            <w:r>
              <w:rPr>
                <w:rFonts w:ascii="Calibri" w:hAnsi="Calibri"/>
                <w:color w:val="0563C1"/>
                <w:u w:val="single"/>
              </w:rPr>
              <w:t>LCH History</w:t>
            </w:r>
            <w:r>
              <w:rPr>
                <w:rFonts w:ascii="Calibri" w:hAnsi="Calibri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1969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Banque Centrale de Compensation SA founded in Paris for commodity market clearing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1971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LPCH renamed International Commodities Clearing House (ICCH)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1988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Business acquired by consortium of six banks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1992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Renamed London Clearing House Ltd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1996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Majority ownership transferred to clearing membership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1998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RepoClear launched for repo and bond clearing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1999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SwapClear launched -- first OTC interest rate swap CCP; Clearnet SA brand adopted in Paris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2001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Clearnet merges with Euronext clearing houses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2003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LCH.Clearnet Group formed via merger of London Clearing House and Clearnet SA (ownership: Members 45.1%, Exchanges 45.1%, Euroclear 9.8%)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2008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Successfully managed Lehman Brothers default -- $9 trillion OTC IRS portfolio of 66,390 trades, using only 35% of Lehman's initial margin (</w:t>
            </w:r>
            <w:r>
              <w:rPr>
                <w:rFonts w:ascii="Calibri" w:hAnsi="Calibri"/>
                <w:color w:val="0563C1"/>
                <w:u w:val="single"/>
              </w:rPr>
              <w:t>LCH SwapClear Risk Management</w:t>
            </w:r>
            <w:r>
              <w:rPr>
                <w:rFonts w:ascii="Calibri" w:hAnsi="Calibri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2009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CDSClear launched; US operations opened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LSE acquired 60% stake for EUR 813 million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2013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LSEG gained majority control (54%)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2016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Dropped "Clearnet" from branding; became simply "LCH"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2023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Group acquired Euronext's 11.1% stake in LCH SA for EUR 111 million, taking full ownership (</w:t>
            </w:r>
            <w:r>
              <w:rPr>
                <w:rFonts w:ascii="Calibri" w:hAnsi="Calibri"/>
                <w:color w:val="0563C1"/>
                <w:u w:val="single"/>
              </w:rPr>
              <w:t>LSEG Press Release</w:t>
            </w:r>
            <w:r>
              <w:rPr>
                <w:rFonts w:ascii="Calibri" w:hAnsi="Calibri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2023 (Nov)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Euronext cash market clearing migrated from LCH SA to Euronext Clearing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2024 (Jul)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Euronext commodity derivatives migrated from LCH SA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2024 (Sep)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Euronext financial derivatives completed migration from LCH SA to Euronext Clearing; LCH SA closed EquityClear and CommodityClear services (</w:t>
            </w:r>
            <w:r>
              <w:rPr>
                <w:rFonts w:ascii="Calibri" w:hAnsi="Calibri"/>
                <w:color w:val="0563C1"/>
                <w:u w:val="single"/>
              </w:rPr>
              <w:t>Euronext Press Release</w:t>
            </w:r>
            <w:r>
              <w:rPr>
                <w:rFonts w:ascii="Calibri" w:hAnsi="Calibri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2024 (Sep)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FMX Futures Exchange launched with LCH Ltd clearing SOFR futures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SA launched DigitalAssetClear service (partnership with GFO-X for digital asset derivatives)</w:t>
            </w:r>
          </w:p>
        </w:tc>
      </w:tr>
    </w:tbl>
    <w:p/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2. Clearing Model</w:t>
      </w:r>
    </w:p>
    <w:p>
      <w:pPr>
        <w:pStyle w:val="Heading3"/>
      </w:pPr>
      <w:r>
        <w:rPr>
          <w:rFonts w:ascii="Calibri" w:hAnsi="Calibri"/>
        </w:rPr>
        <w:t>2.1 CCP Services</w:t>
      </w:r>
    </w:p>
    <w:p>
      <w:pPr>
        <w:pStyle w:val="Heading3"/>
      </w:pPr>
      <w:r>
        <w:rPr>
          <w:rFonts w:ascii="Calibri" w:hAnsi="Calibri"/>
        </w:rPr>
        <w:t>LCH Ltd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Service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Product Class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Key Statistics (2024)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SwapClear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OTC Interest Rate Derivatives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World's largest OTC IRS clearing service; 28 currencies, tenors up to 51 years in USD/GBP/EUR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$779 trillion notional cleared in H1 2024 (up 15% YoY); ~$240 billion initial margin held (Q4 2024); 99.4% market share in EMEA IRS (</w:t>
            </w:r>
            <w:r>
              <w:rPr>
                <w:rFonts w:ascii="Calibri" w:hAnsi="Calibri"/>
                <w:color w:val="0563C1"/>
                <w:u w:val="single"/>
              </w:rPr>
              <w:t>Clarus FT</w:t>
            </w:r>
            <w:r>
              <w:rPr>
                <w:rFonts w:ascii="Calibri" w:hAnsi="Calibri"/>
              </w:rPr>
              <w:t xml:space="preserve">; </w:t>
            </w:r>
            <w:r>
              <w:rPr>
                <w:rFonts w:ascii="Calibri" w:hAnsi="Calibri"/>
                <w:color w:val="0563C1"/>
                <w:u w:val="single"/>
              </w:rPr>
              <w:t>Clarus Q4 2024</w:t>
            </w:r>
            <w:r>
              <w:rPr>
                <w:rFonts w:ascii="Calibri" w:hAnsi="Calibri"/>
              </w:rPr>
              <w:t>)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ForexClear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OTC FX Derivatives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NDF, FX options, FX forwards clearing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$10.7 billion IM at end Q2 2024 (up 32%); 25+ NDF currencies; 92 clients; ~30 clearing members (</w:t>
            </w:r>
            <w:r>
              <w:rPr>
                <w:rFonts w:ascii="Calibri" w:hAnsi="Calibri"/>
                <w:color w:val="0563C1"/>
                <w:u w:val="single"/>
              </w:rPr>
              <w:t>LCH ForexClear Factsheet</w:t>
            </w:r>
            <w:r>
              <w:rPr>
                <w:rFonts w:ascii="Calibri" w:hAnsi="Calibri"/>
              </w:rPr>
              <w:t>)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RepoClear (Ltd)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Fixed Income / Repos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Cash bond and repo clearing for UK gilts and other markets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Covers multiple European government debt markets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EquityClear (Ltd)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Cash Equities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Equity clearing for LSE, SIX Swiss Exchange, Cboe Europe, Aquis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Interoperable with SIX x-clear and Cboe Clear Europe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Listed Rates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Listed Interest Rate Derivatives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Futures and options on interest rates (including FMX SOFR futures)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6 clearing members, 8 clients at end 2024; $3.6 billion gross notional outstanding (</w:t>
            </w:r>
            <w:r>
              <w:rPr>
                <w:rFonts w:ascii="Calibri" w:hAnsi="Calibri"/>
                <w:color w:val="0563C1"/>
                <w:u w:val="single"/>
              </w:rPr>
              <w:t>Clarus Q4 2024</w:t>
            </w:r>
            <w:r>
              <w:rPr>
                <w:rFonts w:ascii="Calibri" w:hAnsi="Calibri"/>
              </w:rPr>
              <w:t>)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LCH SA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Service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Product Class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Key Statistics (2024)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CDSClear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OTC Credit Derivatives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CDS indices and single names clearing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28 members (2024); EUR 5,437 billion total notional cleared (up 9% YoY); EUR 426 billion client notional in H1 2024 (up 88%); $10.2 billion IM (Q4 2024) (</w:t>
            </w:r>
            <w:r>
              <w:rPr>
                <w:rFonts w:ascii="Calibri" w:hAnsi="Calibri"/>
                <w:color w:val="0563C1"/>
                <w:u w:val="single"/>
              </w:rPr>
              <w:t>Risk.net</w:t>
            </w:r>
            <w:r>
              <w:rPr>
                <w:rFonts w:ascii="Calibri" w:hAnsi="Calibri"/>
              </w:rPr>
              <w:t xml:space="preserve">; </w:t>
            </w:r>
            <w:r>
              <w:rPr>
                <w:rFonts w:ascii="Calibri" w:hAnsi="Calibri"/>
                <w:color w:val="0563C1"/>
                <w:u w:val="single"/>
              </w:rPr>
              <w:t>Clarus Q4 2024</w:t>
            </w:r>
            <w:r>
              <w:rPr>
                <w:rFonts w:ascii="Calibri" w:hAnsi="Calibri"/>
              </w:rPr>
              <w:t>)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RepoClear SA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Fixed Income / Repos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Euro-denominated government bond repo clearing for French, German, Belgian, Dutch, and other eurozone sovereign debt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EUR 1.9 billion gross notional unsettled cash bonds (Q4 2024)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DigitalAssetClear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Digital Asset Derivatives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Bitcoin index futures and options (partnership with GFO-X); launched 2024 replacing former EquityClear SA/CommodityClear SA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New service -- early stage</w:t>
            </w:r>
          </w:p>
        </w:tc>
      </w:tr>
    </w:tbl>
    <w:p/>
    <w:p>
      <w:pPr>
        <w:ind w:left="720"/>
        <w:shd w:fill="F0F0F0" w:val="clear"/>
      </w:pPr>
      <w:r>
        <w:rPr>
          <w:rFonts w:ascii="Calibri" w:hAnsi="Calibri"/>
          <w:i/>
        </w:rPr>
        <w:t>**Note:** LCH SA's EquityClear and CommodityClear services were wound down in 2024 following the full migration of Euronext clearing to Euronext Clearing (CC&amp;G-based). Euronext paid a termination fee of approximately EUR 36 million to LCH SA. ([Euronext](https://www.euronext.com/en/about/media/euronext-press-releases/successful-expansion-euronext-clearing-all-euronext-financial); [Finadium](https://finadium.com/euronext-completes-lch-sa-migration-and-borsa-italiana-integration/))</w:t>
      </w:r>
    </w:p>
    <w:p>
      <w:pPr>
        <w:pStyle w:val="Heading3"/>
      </w:pPr>
      <w:r>
        <w:rPr>
          <w:rFonts w:ascii="Calibri" w:hAnsi="Calibri"/>
        </w:rPr>
        <w:t>2.2 Novation Process</w:t>
      </w:r>
    </w:p>
    <w:p>
      <w:pPr>
        <w:pStyle w:val="ListBullet"/>
      </w:pPr>
      <w:r>
        <w:rPr>
          <w:rFonts w:ascii="Calibri" w:hAnsi="Calibri"/>
          <w:b/>
        </w:rPr>
        <w:t>Novation by open offer:</w:t>
      </w:r>
      <w:r>
        <w:rPr>
          <w:rFonts w:ascii="Calibri" w:hAnsi="Calibri"/>
        </w:rPr>
        <w:t xml:space="preserve"> For exchange-traded products and interoperable clearing, LCH becomes the buyer to every seller and seller to every buyer at the point of trade registration.</w:t>
      </w:r>
    </w:p>
    <w:p>
      <w:pPr>
        <w:pStyle w:val="ListBullet"/>
      </w:pPr>
      <w:r>
        <w:rPr>
          <w:rFonts w:ascii="Calibri" w:hAnsi="Calibri"/>
          <w:b/>
        </w:rPr>
        <w:t>Novation for OTC derivatives:</w:t>
      </w:r>
      <w:r>
        <w:rPr>
          <w:rFonts w:ascii="Calibri" w:hAnsi="Calibri"/>
        </w:rPr>
        <w:t xml:space="preserve"> Upon trade registration/acceptance, the original bilateral contract is extinguished and replaced by two new contracts -- one between the CCP and each original counterparty.</w:t>
      </w:r>
    </w:p>
    <w:p>
      <w:pPr>
        <w:pStyle w:val="ListBullet"/>
      </w:pPr>
      <w:r>
        <w:rPr>
          <w:rFonts w:ascii="Calibri" w:hAnsi="Calibri"/>
          <w:b/>
        </w:rPr>
        <w:t>SwapClear real-time trade registration:</w:t>
      </w:r>
      <w:r>
        <w:rPr>
          <w:rFonts w:ascii="Calibri" w:hAnsi="Calibri"/>
        </w:rPr>
        <w:t xml:space="preserve"> Trades are novated within approximately 10 seconds of submission, supported by a dedicated GBP 600 million real-time trade registration (RTTR) default fund component. (</w:t>
      </w:r>
      <w:r>
        <w:rPr>
          <w:rFonts w:ascii="Calibri" w:hAnsi="Calibri"/>
          <w:color w:val="0563C1"/>
          <w:u w:val="single"/>
        </w:rPr>
        <w:t>RBA Assessment 2020</w:t>
      </w:r>
      <w:r>
        <w:rPr>
          <w:rFonts w:ascii="Calibri" w:hAnsi="Calibri"/>
        </w:rPr>
        <w:t>)</w:t>
      </w:r>
    </w:p>
    <w:p>
      <w:pPr>
        <w:pStyle w:val="Heading3"/>
      </w:pPr>
      <w:r>
        <w:rPr>
          <w:rFonts w:ascii="Calibri" w:hAnsi="Calibri"/>
        </w:rPr>
        <w:t>2.3 Netting &amp; Compression</w:t>
      </w:r>
    </w:p>
    <w:p>
      <w:r>
        <w:rPr>
          <w:rFonts w:ascii="Calibri" w:hAnsi="Calibri"/>
          <w:b/>
        </w:rPr>
        <w:t>Multilateral Netting:</w:t>
      </w:r>
    </w:p>
    <w:p>
      <w:pPr>
        <w:pStyle w:val="ListBullet"/>
      </w:pPr>
      <w:r>
        <w:rPr>
          <w:rFonts w:ascii="Calibri" w:hAnsi="Calibri"/>
        </w:rPr>
        <w:t>LCH performs multilateral netting across all cleared positions, reducing gross bilateral exposures to a single net exposure to the CCP per clearing member.</w:t>
      </w:r>
    </w:p>
    <w:p>
      <w:pPr>
        <w:pStyle w:val="ListBullet"/>
      </w:pPr>
      <w:r>
        <w:rPr>
          <w:rFonts w:ascii="Calibri" w:hAnsi="Calibri"/>
        </w:rPr>
        <w:t>RepoClear provides netting for cash bond and repo transactions, significantly reducing settlement obligations.</w:t>
      </w:r>
    </w:p>
    <w:p>
      <w:r>
        <w:rPr>
          <w:rFonts w:ascii="Calibri" w:hAnsi="Calibri"/>
          <w:b/>
        </w:rPr>
        <w:t>Portfolio Compression (SwapClear):</w:t>
      </w:r>
    </w:p>
    <w:p>
      <w:pPr>
        <w:pStyle w:val="ListBullet"/>
      </w:pPr>
      <w:r>
        <w:rPr>
          <w:rFonts w:ascii="Calibri" w:hAnsi="Calibri"/>
        </w:rPr>
        <w:t>Compression reduces the number of line items and gross notional outstanding by combining or offsetting trades with compatible economics.</w:t>
      </w:r>
    </w:p>
    <w:p>
      <w:pPr>
        <w:pStyle w:val="ListBullet"/>
      </w:pPr>
      <w:r>
        <w:rPr>
          <w:rFonts w:ascii="Calibri" w:hAnsi="Calibri"/>
        </w:rPr>
        <w:t>Eligible products for compression: IRS, OIS, FRAs, basis swaps, zero-coupon inflation swaps.</w:t>
      </w:r>
    </w:p>
    <w:p>
      <w:pPr>
        <w:pStyle w:val="ListBullet"/>
      </w:pPr>
      <w:r>
        <w:rPr>
          <w:rFonts w:ascii="Calibri" w:hAnsi="Calibri"/>
        </w:rPr>
        <w:t>Techniques include blended rate compression and future cash flow netting.</w:t>
      </w:r>
    </w:p>
    <w:p>
      <w:pPr>
        <w:pStyle w:val="ListBullet"/>
      </w:pPr>
      <w:r>
        <w:rPr>
          <w:rFonts w:ascii="Calibri" w:hAnsi="Calibri"/>
        </w:rPr>
        <w:t>In 2015 alone, SwapClear compressed $323 trillion in trades with $107 trillion net notional reduction. (</w:t>
      </w:r>
      <w:r>
        <w:rPr>
          <w:rFonts w:ascii="Calibri" w:hAnsi="Calibri"/>
          <w:color w:val="0563C1"/>
          <w:u w:val="single"/>
        </w:rPr>
        <w:t>LCH Compression</w:t>
      </w:r>
      <w:r>
        <w:rPr>
          <w:rFonts w:ascii="Calibri" w:hAnsi="Calibri"/>
        </w:rPr>
        <w:t>)</w:t>
      </w:r>
    </w:p>
    <w:p>
      <w:pPr>
        <w:pStyle w:val="ListBullet"/>
      </w:pPr>
      <w:r>
        <w:rPr>
          <w:rFonts w:ascii="Calibri" w:hAnsi="Calibri"/>
        </w:rPr>
        <w:t>LCH's SwapClear has compressed more than $1 quadrillion of cleared notional cumulatively. (</w:t>
      </w:r>
      <w:r>
        <w:rPr>
          <w:rFonts w:ascii="Calibri" w:hAnsi="Calibri"/>
          <w:color w:val="0563C1"/>
          <w:u w:val="single"/>
        </w:rPr>
        <w:t>LeapRate</w:t>
      </w:r>
      <w:r>
        <w:rPr>
          <w:rFonts w:ascii="Calibri" w:hAnsi="Calibri"/>
        </w:rPr>
        <w:t>)</w:t>
      </w:r>
    </w:p>
    <w:p>
      <w:pPr>
        <w:pStyle w:val="ListBullet"/>
      </w:pPr>
      <w:r>
        <w:rPr>
          <w:rFonts w:ascii="Calibri" w:hAnsi="Calibri"/>
        </w:rPr>
        <w:t>Multilateral compression (via OSTTRA triReduce) generated approximately USD 1 trillion of additional gross notional reduction in a single month (September 2022). (</w:t>
      </w:r>
      <w:r>
        <w:rPr>
          <w:rFonts w:ascii="Calibri" w:hAnsi="Calibri"/>
          <w:color w:val="0563C1"/>
          <w:u w:val="single"/>
        </w:rPr>
        <w:t>OSTTRA</w:t>
      </w:r>
      <w:r>
        <w:rPr>
          <w:rFonts w:ascii="Calibri" w:hAnsi="Calibri"/>
        </w:rPr>
        <w:t>)</w:t>
      </w:r>
    </w:p>
    <w:p>
      <w:pPr>
        <w:pStyle w:val="Heading3"/>
      </w:pPr>
      <w:r>
        <w:rPr>
          <w:rFonts w:ascii="Calibri" w:hAnsi="Calibri"/>
        </w:rPr>
        <w:t>2.4 Clearing Membership</w:t>
      </w:r>
    </w:p>
    <w:p>
      <w:pPr>
        <w:pStyle w:val="Heading3"/>
      </w:pPr>
      <w:r>
        <w:rPr>
          <w:rFonts w:ascii="Calibri" w:hAnsi="Calibri"/>
        </w:rPr>
        <w:t>LCH Ltd Membership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Requirements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Application Fee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Clearing Member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Minimum net capital per Procedures Section 1 of Rulebook; appropriate banking arrangements; experienced personnel; adequate systems and infrastructure; KYC/AML compliance; signed Clearing Membership Agreement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GBP 10,000 (+VAT for UK applicants)</w:t>
            </w:r>
          </w:p>
        </w:tc>
      </w:tr>
    </w:tbl>
    <w:p/>
    <w:p>
      <w:r>
        <w:rPr>
          <w:rFonts w:ascii="Calibri" w:hAnsi="Calibri"/>
          <w:b/>
        </w:rPr>
        <w:t>Default Fund Minimum Contributions by Service (LCH Ltd):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Service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Minimum Contribution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SwapClear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GBP 10 million + GBP 4 million tolerance contribution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RepoClear (Ltd)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GBP 2 million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ForexClear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USD 5 million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EquityClear (Ltd)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GBP 500,000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Listed Interest Rates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Greater of stress-loss calculation or GBP 2 million per member; overall fund minimum GBP 10 million</w:t>
            </w:r>
          </w:p>
        </w:tc>
      </w:tr>
    </w:tbl>
    <w:p/>
    <w:p>
      <w:r>
        <w:rPr>
          <w:rFonts w:ascii="Calibri" w:hAnsi="Calibri"/>
        </w:rPr>
        <w:t xml:space="preserve">Source: </w:t>
      </w:r>
      <w:r>
        <w:rPr>
          <w:rFonts w:ascii="Calibri" w:hAnsi="Calibri"/>
          <w:color w:val="0563C1"/>
          <w:u w:val="single"/>
        </w:rPr>
        <w:t>LCH Ltd Membership</w:t>
      </w:r>
    </w:p>
    <w:p>
      <w:r>
        <w:rPr>
          <w:rFonts w:ascii="Calibri" w:hAnsi="Calibri"/>
          <w:b/>
        </w:rPr>
        <w:t>Operational Requirements:</w:t>
      </w:r>
    </w:p>
    <w:p>
      <w:pPr>
        <w:pStyle w:val="ListBullet"/>
      </w:pPr>
      <w:r>
        <w:rPr>
          <w:rFonts w:ascii="Calibri" w:hAnsi="Calibri"/>
        </w:rPr>
        <w:t>At least two personnel fully conversant with clearing procedures</w:t>
      </w:r>
    </w:p>
    <w:p>
      <w:pPr>
        <w:pStyle w:val="ListBullet"/>
      </w:pPr>
      <w:r>
        <w:rPr>
          <w:rFonts w:ascii="Calibri" w:hAnsi="Calibri"/>
        </w:rPr>
        <w:t>UK &amp; US PPS (Protected Payments System) mandate and contingency arrangements</w:t>
      </w:r>
    </w:p>
    <w:p>
      <w:pPr>
        <w:pStyle w:val="ListBullet"/>
      </w:pPr>
      <w:r>
        <w:rPr>
          <w:rFonts w:ascii="Calibri" w:hAnsi="Calibri"/>
        </w:rPr>
        <w:t>Annual KYC/AML updates</w:t>
      </w:r>
    </w:p>
    <w:p>
      <w:pPr>
        <w:pStyle w:val="ListBullet"/>
      </w:pPr>
      <w:r>
        <w:rPr>
          <w:rFonts w:ascii="Calibri" w:hAnsi="Calibri"/>
        </w:rPr>
        <w:t>Approval timeline: approximately 8 weeks after complete submission</w:t>
      </w:r>
    </w:p>
    <w:p>
      <w:pPr>
        <w:pStyle w:val="Heading3"/>
      </w:pPr>
      <w:r>
        <w:rPr>
          <w:rFonts w:ascii="Calibri" w:hAnsi="Calibri"/>
        </w:rPr>
        <w:t>LCH SA Membership (CDSClear)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Category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Key Requirements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CDSClear General Clearing Member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 10 million minimum default fund contribution (cash only); annual membership fee EUR 400,000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CDSClear Select Member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Variable tariff; first-year fee waiver available</w:t>
            </w:r>
          </w:p>
        </w:tc>
      </w:tr>
    </w:tbl>
    <w:p/>
    <w:p>
      <w:r>
        <w:rPr>
          <w:rFonts w:ascii="Calibri" w:hAnsi="Calibri"/>
        </w:rPr>
        <w:t xml:space="preserve">Source: </w:t>
      </w:r>
      <w:r>
        <w:rPr>
          <w:rFonts w:ascii="Calibri" w:hAnsi="Calibri"/>
          <w:color w:val="0563C1"/>
          <w:u w:val="single"/>
        </w:rPr>
        <w:t>LCH SA Fees</w:t>
      </w:r>
    </w:p>
    <w:p>
      <w:r>
        <w:rPr>
          <w:rFonts w:ascii="Calibri" w:hAnsi="Calibri"/>
          <w:b/>
        </w:rPr>
        <w:t>Approximate Number of Clearing Members (2024):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Service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Members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SwapClear (Ltd)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~120 [unverified -- based on historical data]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ForexClear (Ltd)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~30 direct members; 92 clients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RepoClear (Ltd)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~20 [unverified]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EquityClear (Ltd)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~15 [unverified]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Listed Rates (Ltd)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6 members, 8 clients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CDSClear (SA)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28 members (20 GCMs, up from 25 in 2023)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RepoClear SA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~20 [unverified]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SwapAgent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36 members (up from 29 in 2023)</w:t>
            </w:r>
          </w:p>
        </w:tc>
      </w:tr>
    </w:tbl>
    <w:p/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3. Risk Management</w:t>
      </w:r>
    </w:p>
    <w:p>
      <w:pPr>
        <w:pStyle w:val="Heading3"/>
      </w:pPr>
      <w:r>
        <w:rPr>
          <w:rFonts w:ascii="Calibri" w:hAnsi="Calibri"/>
        </w:rPr>
        <w:t>3.1 Margin Framework</w:t>
      </w:r>
    </w:p>
    <w:p>
      <w:pPr>
        <w:pStyle w:val="Heading3"/>
      </w:pPr>
      <w:r>
        <w:rPr>
          <w:rFonts w:ascii="Calibri" w:hAnsi="Calibri"/>
        </w:rPr>
        <w:t>PAIRS Methodology (Portfolio Approach to Interest Rate Scenarios)</w:t>
      </w:r>
    </w:p>
    <w:p>
      <w:r>
        <w:rPr>
          <w:rFonts w:ascii="Calibri" w:hAnsi="Calibri"/>
        </w:rPr>
        <w:t>PAIRS is LCH's proprietary margin methodology used for SwapClear, ForexClear, and Listed Rates services. (</w:t>
      </w:r>
      <w:r>
        <w:rPr>
          <w:rFonts w:ascii="Calibri" w:hAnsi="Calibri"/>
          <w:color w:val="0563C1"/>
          <w:u w:val="single"/>
        </w:rPr>
        <w:t>LCH Ltd Margin Methodology</w:t>
      </w:r>
      <w:r>
        <w:rPr>
          <w:rFonts w:ascii="Calibri" w:hAnsi="Calibri"/>
        </w:rP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Parameter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Model Type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Expected Shortfall (ES) model based on filtered historical simulation incorporating volatility scaling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Confidence Level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99.7% (equivalent to ~2.75 standard deviations)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Holding Period (Members)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5-day close-out period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Holding Period (Clients)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7-day close-out period (5 days + 2 additional days for portfolio transfer)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Lookback Period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10 years of historical market data with volatility-scaled movements in yield curves and exchange rates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Floor Calibration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Unscaled historical 10-year lookback plus an additional 2.5-year window covering the Global Financial Crisis (2007-2009)</w:t>
            </w:r>
          </w:p>
        </w:tc>
      </w:tr>
    </w:tbl>
    <w:p/>
    <w:p>
      <w:r>
        <w:rPr>
          <w:rFonts w:ascii="Calibri" w:hAnsi="Calibri"/>
        </w:rPr>
        <w:t xml:space="preserve">Source: </w:t>
      </w:r>
      <w:r>
        <w:rPr>
          <w:rFonts w:ascii="Calibri" w:hAnsi="Calibri"/>
          <w:color w:val="0563C1"/>
          <w:u w:val="single"/>
        </w:rPr>
        <w:t>RBA Assessment 2020 Appendix B</w:t>
      </w:r>
    </w:p>
    <w:p>
      <w:r>
        <w:rPr>
          <w:rFonts w:ascii="Calibri" w:hAnsi="Calibri"/>
          <w:b/>
        </w:rPr>
        <w:t>PAIRS Process:</w:t>
      </w:r>
    </w:p>
    <w:p>
      <w:pPr>
        <w:pStyle w:val="ListBullet"/>
      </w:pPr>
      <w:r>
        <w:rPr>
          <w:rFonts w:ascii="Calibri" w:hAnsi="Calibri"/>
        </w:rPr>
        <w:t>Collects 10 years of daily market data (yield curves, FX rates, credit spreads depending on service)</w:t>
      </w:r>
    </w:p>
    <w:p>
      <w:pPr>
        <w:pStyle w:val="ListBullet"/>
      </w:pPr>
      <w:r>
        <w:rPr>
          <w:rFonts w:ascii="Calibri" w:hAnsi="Calibri"/>
        </w:rPr>
        <w:t>Applies volatility scaling (EWMA-based) to historical returns to reflect current market conditions</w:t>
      </w:r>
    </w:p>
    <w:p>
      <w:pPr>
        <w:pStyle w:val="ListBullet"/>
      </w:pPr>
      <w:r>
        <w:rPr>
          <w:rFonts w:ascii="Calibri" w:hAnsi="Calibri"/>
        </w:rPr>
        <w:t>Generates a distribution of simulated portfolio P&amp;L changes</w:t>
      </w:r>
    </w:p>
    <w:p>
      <w:pPr>
        <w:pStyle w:val="ListBullet"/>
      </w:pPr>
      <w:r>
        <w:rPr>
          <w:rFonts w:ascii="Calibri" w:hAnsi="Calibri"/>
        </w:rPr>
        <w:t>Calculates Expected Shortfall at 99.7% confidence over the holding period</w:t>
      </w:r>
    </w:p>
    <w:p>
      <w:pPr>
        <w:pStyle w:val="ListBullet"/>
      </w:pPr>
      <w:r>
        <w:rPr>
          <w:rFonts w:ascii="Calibri" w:hAnsi="Calibri"/>
        </w:rPr>
        <w:t>Determines initial margin as the expected loss conditional on losses exceeding the 99.7% VaR threshold</w:t>
      </w:r>
    </w:p>
    <w:p>
      <w:r>
        <w:rPr>
          <w:rFonts w:ascii="Calibri" w:hAnsi="Calibri"/>
          <w:b/>
        </w:rPr>
        <w:t>Margin Add-ons:</w:t>
      </w:r>
    </w:p>
    <w:p>
      <w:pPr>
        <w:pStyle w:val="ListBullet"/>
      </w:pPr>
      <w:r>
        <w:rPr>
          <w:rFonts w:ascii="Calibri" w:hAnsi="Calibri"/>
          <w:b/>
        </w:rPr>
        <w:t>Credit Risk Add-on:</w:t>
      </w:r>
      <w:r>
        <w:rPr>
          <w:rFonts w:ascii="Calibri" w:hAnsi="Calibri"/>
        </w:rPr>
        <w:t xml:space="preserve"> Applied where a member's credit exposure is not fully captured in the base PAIRS model</w:t>
      </w:r>
    </w:p>
    <w:p>
      <w:pPr>
        <w:pStyle w:val="ListBullet"/>
      </w:pPr>
      <w:r>
        <w:rPr>
          <w:rFonts w:ascii="Calibri" w:hAnsi="Calibri"/>
          <w:b/>
        </w:rPr>
        <w:t>Liquidity Risk Add-on:</w:t>
      </w:r>
      <w:r>
        <w:rPr>
          <w:rFonts w:ascii="Calibri" w:hAnsi="Calibri"/>
        </w:rPr>
        <w:t xml:space="preserve"> Accounts for potential costs of liquidating large or concentrated positions</w:t>
      </w:r>
    </w:p>
    <w:p>
      <w:pPr>
        <w:pStyle w:val="ListBullet"/>
      </w:pPr>
      <w:r>
        <w:rPr>
          <w:rFonts w:ascii="Calibri" w:hAnsi="Calibri"/>
          <w:b/>
        </w:rPr>
        <w:t>Concentration Risk Add-on:</w:t>
      </w:r>
      <w:r>
        <w:rPr>
          <w:rFonts w:ascii="Calibri" w:hAnsi="Calibri"/>
        </w:rPr>
        <w:t xml:space="preserve"> For portfolios with disproportionately large positions in specific tenors or currencies</w:t>
      </w:r>
    </w:p>
    <w:p>
      <w:pPr>
        <w:pStyle w:val="ListBullet"/>
      </w:pPr>
      <w:r>
        <w:rPr>
          <w:rFonts w:ascii="Calibri" w:hAnsi="Calibri"/>
          <w:b/>
        </w:rPr>
        <w:t>Stress Margin Add-on:</w:t>
      </w:r>
      <w:r>
        <w:rPr>
          <w:rFonts w:ascii="Calibri" w:hAnsi="Calibri"/>
        </w:rPr>
        <w:t xml:space="preserve"> May be applied during periods of elevated market stress</w:t>
      </w:r>
    </w:p>
    <w:p>
      <w:pPr>
        <w:pStyle w:val="Heading3"/>
      </w:pPr>
      <w:r>
        <w:rPr>
          <w:rFonts w:ascii="Calibri" w:hAnsi="Calibri"/>
        </w:rPr>
        <w:t>CDSClear Margin (LCH SA)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Parameter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Model Type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Historical simulation with scaled returns; Expected Shortfall methodology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Confidence Level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99.7%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Holding Period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5 days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Lookback Period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From April 2007 (includes GFC period)</w:t>
            </w:r>
          </w:p>
        </w:tc>
      </w:tr>
    </w:tbl>
    <w:p/>
    <w:p>
      <w:r>
        <w:rPr>
          <w:rFonts w:ascii="Calibri" w:hAnsi="Calibri"/>
        </w:rPr>
        <w:t xml:space="preserve">Source: </w:t>
      </w:r>
      <w:r>
        <w:rPr>
          <w:rFonts w:ascii="Calibri" w:hAnsi="Calibri"/>
          <w:color w:val="0563C1"/>
          <w:u w:val="single"/>
        </w:rPr>
        <w:t>LCH CDSClear Risk Management</w:t>
      </w:r>
    </w:p>
    <w:p>
      <w:pPr>
        <w:pStyle w:val="Heading3"/>
      </w:pPr>
      <w:r>
        <w:rPr>
          <w:rFonts w:ascii="Calibri" w:hAnsi="Calibri"/>
        </w:rPr>
        <w:t>Initial Margin Held (Q4 2024 CPMI-IOSCO PQD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Service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Initial Margin Held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SwapClear (Ltd)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~$240 billion (GBP 192 billion)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CDSClear (SA)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~$10.2 billion (EUR 9.8 billion)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ForexClear (Ltd)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~$10.7 billion (Q2 2024 record)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Listed Rates (Ltd)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~$3 million (newly launched)</w:t>
            </w:r>
          </w:p>
        </w:tc>
      </w:tr>
    </w:tbl>
    <w:p/>
    <w:p>
      <w:r>
        <w:rPr>
          <w:rFonts w:ascii="Calibri" w:hAnsi="Calibri"/>
        </w:rPr>
        <w:t xml:space="preserve">Source: </w:t>
      </w:r>
      <w:r>
        <w:rPr>
          <w:rFonts w:ascii="Calibri" w:hAnsi="Calibri"/>
          <w:color w:val="0563C1"/>
          <w:u w:val="single"/>
        </w:rPr>
        <w:t>Clarus FT Q4 2024</w:t>
      </w:r>
    </w:p>
    <w:p>
      <w:pPr>
        <w:pStyle w:val="Heading3"/>
      </w:pPr>
      <w:r>
        <w:rPr>
          <w:rFonts w:ascii="Calibri" w:hAnsi="Calibri"/>
        </w:rPr>
        <w:t>3.2 Margin Call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Call Type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Timing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End-of-Day (EOD)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End of each business day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Full recalculation of initial and variation margin for all positions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Intraday Margin Call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Throughout the business day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Triggered when a member's combined margin liability exceeds a predetermined participant-specific credit threshold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Ad-hoc / Extraordinary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As needed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 may issue additional margin calls during periods of extreme market stress or significant position changes</w:t>
            </w:r>
          </w:p>
        </w:tc>
      </w:tr>
    </w:tbl>
    <w:p/>
    <w:p>
      <w:r>
        <w:rPr>
          <w:rFonts w:ascii="Calibri" w:hAnsi="Calibri"/>
        </w:rPr>
        <w:t xml:space="preserve">Source: </w:t>
      </w:r>
      <w:r>
        <w:rPr>
          <w:rFonts w:ascii="Calibri" w:hAnsi="Calibri"/>
          <w:color w:val="0563C1"/>
          <w:u w:val="single"/>
        </w:rPr>
        <w:t>RBA Assessment 2020</w:t>
      </w:r>
    </w:p>
    <w:p>
      <w:pPr>
        <w:pStyle w:val="ListBullet"/>
      </w:pPr>
      <w:r>
        <w:rPr>
          <w:rFonts w:ascii="Calibri" w:hAnsi="Calibri"/>
          <w:b/>
        </w:rPr>
        <w:t>Variation Margin:</w:t>
      </w:r>
      <w:r>
        <w:rPr>
          <w:rFonts w:ascii="Calibri" w:hAnsi="Calibri"/>
        </w:rPr>
        <w:t xml:space="preserve"> Collected daily and intraday in cash to reflect mark-to-market changes in positions</w:t>
      </w:r>
    </w:p>
    <w:p>
      <w:pPr>
        <w:pStyle w:val="ListBullet"/>
      </w:pPr>
      <w:r>
        <w:rPr>
          <w:rFonts w:ascii="Calibri" w:hAnsi="Calibri"/>
          <w:b/>
        </w:rPr>
        <w:t>SwapClear:</w:t>
      </w:r>
      <w:r>
        <w:rPr>
          <w:rFonts w:ascii="Calibri" w:hAnsi="Calibri"/>
        </w:rPr>
        <w:t xml:space="preserve"> Variation margin is exchanged daily; intraday monitoring with automated calls</w:t>
      </w:r>
    </w:p>
    <w:p>
      <w:pPr>
        <w:pStyle w:val="Heading3"/>
      </w:pPr>
      <w:r>
        <w:rPr>
          <w:rFonts w:ascii="Calibri" w:hAnsi="Calibri"/>
        </w:rPr>
        <w:t>3.3 Default Waterfall</w:t>
      </w:r>
    </w:p>
    <w:p>
      <w:pPr>
        <w:pStyle w:val="Heading3"/>
      </w:pPr>
      <w:r>
        <w:rPr>
          <w:rFonts w:ascii="Calibri" w:hAnsi="Calibri"/>
        </w:rPr>
        <w:t>LCH Ltd Default Waterfall</w:t>
      </w:r>
    </w:p>
    <w:p>
      <w:r>
        <w:rPr>
          <w:rFonts w:ascii="Calibri" w:hAnsi="Calibri"/>
        </w:rPr>
        <w:t>The default waterfall is operated on a per-service basis. Each clearing service has its own segregated default fund. The layers are consumed sequentially: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Layer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Approximate Size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Defaulter's Initial Margin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Varies by member (total across all SwapClear: ~GBP 192 billion)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Defaulter's Default Fund Contribution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Varies by member (min GBP 10m for SwapClear)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3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LCH's Skin-in-the-Game (SITG)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25% of LCH's minimum regulatory capital requirement; approximately GBP 35 million [unverified -- based on Clarus FT estimate]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4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Non-Defaulting Members' Default Fund Contributions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SwapClear: up to GBP 5.4 billion (core component, sized to Cover 2 standard); RepoClear Ltd and ForexClear: separate funds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5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RTTR Default Fund Component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GBP 600 million (for real-time trade registration risk)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6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Assessment Powers (Unfunded)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Up to the equivalent of each non-defaulting member's last default fund contribution per default; maximum 3 defaults in any 6-month period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7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LCH Additional Capital / Recovery Tools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Additional CCP resources; VMGH and tear-up as final resort</w:t>
            </w:r>
          </w:p>
        </w:tc>
      </w:tr>
    </w:tbl>
    <w:p/>
    <w:p>
      <w:r>
        <w:rPr>
          <w:rFonts w:ascii="Calibri" w:hAnsi="Calibri"/>
          <w:b/>
        </w:rPr>
        <w:t>SwapClear Default Fund Sizing:</w:t>
      </w:r>
    </w:p>
    <w:p>
      <w:pPr>
        <w:pStyle w:val="ListBullet"/>
      </w:pPr>
      <w:r>
        <w:rPr>
          <w:rFonts w:ascii="Calibri" w:hAnsi="Calibri"/>
        </w:rPr>
        <w:t>Core component capped at GBP 5.4 billion (as of 2020 assessment; cap raised from GBP 5 billion in September 2019)</w:t>
      </w:r>
    </w:p>
    <w:p>
      <w:pPr>
        <w:pStyle w:val="ListBullet"/>
      </w:pPr>
      <w:r>
        <w:rPr>
          <w:rFonts w:ascii="Calibri" w:hAnsi="Calibri"/>
        </w:rPr>
        <w:t>RTTR component: GBP 600 million</w:t>
      </w:r>
    </w:p>
    <w:p>
      <w:pPr>
        <w:pStyle w:val="ListBullet"/>
      </w:pPr>
      <w:r>
        <w:rPr>
          <w:rFonts w:ascii="Calibri" w:hAnsi="Calibri"/>
        </w:rPr>
        <w:t>Total Rates Service Default Fund cap: approximately GBP 6 billion</w:t>
      </w:r>
    </w:p>
    <w:p>
      <w:pPr>
        <w:pStyle w:val="ListBullet"/>
      </w:pPr>
      <w:r>
        <w:rPr>
          <w:rFonts w:ascii="Calibri" w:hAnsi="Calibri"/>
        </w:rPr>
        <w:t xml:space="preserve">Sized to </w:t>
      </w:r>
      <w:r>
        <w:rPr>
          <w:rFonts w:ascii="Calibri" w:hAnsi="Calibri"/>
          <w:b/>
        </w:rPr>
        <w:t>Cover 2 standard</w:t>
      </w:r>
      <w:r>
        <w:rPr>
          <w:rFonts w:ascii="Calibri" w:hAnsi="Calibri"/>
        </w:rPr>
        <w:t>: able to withstand the simultaneous default of the two clearing participants (including affiliates and clients) with the largest exposures under extreme but plausible stress scenarios</w:t>
      </w:r>
    </w:p>
    <w:p>
      <w:pPr>
        <w:pStyle w:val="ListBullet"/>
      </w:pPr>
      <w:r>
        <w:rPr>
          <w:rFonts w:ascii="Calibri" w:hAnsi="Calibri"/>
        </w:rPr>
        <w:t>Resized monthly on the first business day of each month, using the largest two participant stress test losses over initial margin (STLOIM) over a 60-day lookback period, plus a buffer</w:t>
      </w:r>
    </w:p>
    <w:p>
      <w:r>
        <w:rPr>
          <w:rFonts w:ascii="Calibri" w:hAnsi="Calibri"/>
        </w:rPr>
        <w:t xml:space="preserve">Source: </w:t>
      </w:r>
      <w:r>
        <w:rPr>
          <w:rFonts w:ascii="Calibri" w:hAnsi="Calibri"/>
          <w:color w:val="0563C1"/>
          <w:u w:val="single"/>
        </w:rPr>
        <w:t>RBA Assessment 2020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Clarus FT</w:t>
      </w:r>
    </w:p>
    <w:p>
      <w:r>
        <w:rPr>
          <w:rFonts w:ascii="Calibri" w:hAnsi="Calibri"/>
          <w:b/>
        </w:rPr>
        <w:t>Default Fund Contribution Methodology (SwapClear):</w:t>
      </w:r>
    </w:p>
    <w:p>
      <w:pPr>
        <w:pStyle w:val="ListBullet"/>
      </w:pPr>
      <w:r>
        <w:rPr>
          <w:rFonts w:ascii="Calibri" w:hAnsi="Calibri"/>
        </w:rPr>
        <w:t>~90% based on potential residual loss (stress test loss over initial margin)</w:t>
      </w:r>
    </w:p>
    <w:p>
      <w:pPr>
        <w:pStyle w:val="ListBullet"/>
      </w:pPr>
      <w:r>
        <w:rPr>
          <w:rFonts w:ascii="Calibri" w:hAnsi="Calibri"/>
        </w:rPr>
        <w:t>~10% based on gross notional swap positions</w:t>
      </w:r>
    </w:p>
    <w:p>
      <w:pPr>
        <w:pStyle w:val="ListBullet"/>
      </w:pPr>
      <w:r>
        <w:rPr>
          <w:rFonts w:ascii="Calibri" w:hAnsi="Calibri"/>
        </w:rPr>
        <w:t>Recalculated monthly</w:t>
      </w:r>
    </w:p>
    <w:p>
      <w:pPr>
        <w:pStyle w:val="Heading3"/>
      </w:pPr>
      <w:r>
        <w:rPr>
          <w:rFonts w:ascii="Calibri" w:hAnsi="Calibri"/>
        </w:rPr>
        <w:t>LCH SA Default Waterfall</w:t>
      </w:r>
    </w:p>
    <w:p>
      <w:r>
        <w:rPr>
          <w:rFonts w:ascii="Calibri" w:hAnsi="Calibri"/>
        </w:rPr>
        <w:t>LCH SA operates separate default funds for each clearing service (CDSClear, RepoClear SA, DigitalAssetClear).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Layer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Approximate Size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Defaulter's Initial Margin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Varies by member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Defaulter's Default Fund Contribution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Minimum EUR 10 million for CDSClear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3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LCH SA's First Skin-in-the-Game (SITG)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 20 million (per service)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4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Non-Defaulting Members' Default Fund Contributions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CDSClear: ~EUR 2.77 billion (Q2 2023 record, up 37.6%); EquityClear: ~EUR 4.24 billion (Q2 2023, before closure)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5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LCH SA's Second SITG (Variable Contribution)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Additional CCP capital layer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6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Assessment Powers / Loss Attribution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Pro-rata allocation among non-defaulting members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7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Recovery Tools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VMGH, partial tear-up</w:t>
            </w:r>
          </w:p>
        </w:tc>
      </w:tr>
    </w:tbl>
    <w:p/>
    <w:p>
      <w:r>
        <w:rPr>
          <w:rFonts w:ascii="Calibri" w:hAnsi="Calibri"/>
        </w:rPr>
        <w:t xml:space="preserve">Source: </w:t>
      </w:r>
      <w:r>
        <w:rPr>
          <w:rFonts w:ascii="Calibri" w:hAnsi="Calibri"/>
          <w:color w:val="0563C1"/>
          <w:u w:val="single"/>
        </w:rPr>
        <w:t>Risk.net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LCH SA Default Waterfall PDF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**Note:** LCH SA's own SITG contributions account for less than 1% of total default fund resources across its three clearing services. ([Risk.net](https://www.risk.net/risk-quantum/7957808/lch-sas-default-funds-hit-record-highs))</w:t>
      </w:r>
    </w:p>
    <w:p>
      <w:pPr>
        <w:pStyle w:val="Heading3"/>
      </w:pPr>
      <w:r>
        <w:rPr>
          <w:rFonts w:ascii="Calibri" w:hAnsi="Calibri"/>
        </w:rPr>
        <w:t>3.4 Stress Testing &amp; Back-testing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Stress Testing Standard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Cover 2</w:t>
            </w:r>
            <w:r>
              <w:rPr>
                <w:rFonts w:ascii="Calibri" w:hAnsi="Calibri"/>
              </w:rPr>
              <w:t xml:space="preserve"> -- default fund sized to cover simultaneous default of two largest clearing participants (including affiliates and clients) under extreme but plausible conditions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Stress Scenarios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Historical scenarios (including GFC, European sovereign debt crisis, COVID-19); hypothetical scenarios (interest rate shocks, credit spread moves, FX dislocations); reverse stress tests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Back-testing Frequency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Daily and monthly</w:t>
            </w:r>
            <w:r>
              <w:rPr>
                <w:rFonts w:ascii="Calibri" w:hAnsi="Calibri"/>
              </w:rPr>
              <w:t xml:space="preserve"> back-testing of margin model performance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Sensitivity Analysis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Monthly sensitivity analysis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Model Validation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Annual independent model validation reviews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Reporting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Results reported to Risk Committee and Board; shared with regulators</w:t>
            </w:r>
          </w:p>
        </w:tc>
      </w:tr>
    </w:tbl>
    <w:p/>
    <w:p>
      <w:r>
        <w:rPr>
          <w:rFonts w:ascii="Calibri" w:hAnsi="Calibri"/>
        </w:rPr>
        <w:t xml:space="preserve">Source: </w:t>
      </w:r>
      <w:r>
        <w:rPr>
          <w:rFonts w:ascii="Calibri" w:hAnsi="Calibri"/>
          <w:color w:val="0563C1"/>
          <w:u w:val="single"/>
        </w:rPr>
        <w:t>RBA Assessment 2020</w:t>
      </w:r>
    </w:p>
    <w:p>
      <w:pPr>
        <w:pStyle w:val="Heading3"/>
      </w:pPr>
      <w:r>
        <w:rPr>
          <w:rFonts w:ascii="Calibri" w:hAnsi="Calibri"/>
        </w:rPr>
        <w:t>3.5 Default Management Process</w:t>
      </w:r>
    </w:p>
    <w:p>
      <w:r>
        <w:rPr>
          <w:rFonts w:ascii="Calibri" w:hAnsi="Calibri"/>
        </w:rPr>
        <w:t>LCH's default management process follows three stages:</w:t>
      </w:r>
    </w:p>
    <w:p>
      <w:pPr>
        <w:pStyle w:val="ListBullet"/>
      </w:pPr>
      <w:r>
        <w:rPr>
          <w:rFonts w:ascii="Calibri" w:hAnsi="Calibri"/>
          <w:b/>
        </w:rPr>
        <w:t>Risk Neutralization &amp; Client Porting:</w:t>
      </w:r>
      <w:r>
        <w:rPr>
          <w:rFonts w:ascii="Calibri" w:hAnsi="Calibri"/>
        </w:rPr>
        <w:t xml:space="preserve"> Immediate hedging of the defaulting member's portfolio to contain market risk; attempt to transfer (port) client positions and collateral to non-defaulting clearing members</w:t>
      </w:r>
    </w:p>
    <w:p>
      <w:pPr>
        <w:pStyle w:val="ListBullet"/>
      </w:pPr>
      <w:r>
        <w:rPr>
          <w:rFonts w:ascii="Calibri" w:hAnsi="Calibri"/>
          <w:b/>
        </w:rPr>
        <w:t>Portfolio Auction:</w:t>
      </w:r>
      <w:r>
        <w:rPr>
          <w:rFonts w:ascii="Calibri" w:hAnsi="Calibri"/>
        </w:rPr>
        <w:t xml:space="preserve"> The defaulting member's portfolio is divided by product and currency, then auctioned to surviving clearing members via a structured auction process</w:t>
      </w:r>
    </w:p>
    <w:p>
      <w:pPr>
        <w:pStyle w:val="ListBullet"/>
      </w:pPr>
      <w:r>
        <w:rPr>
          <w:rFonts w:ascii="Calibri" w:hAnsi="Calibri"/>
          <w:b/>
        </w:rPr>
        <w:t>Loss Attribution:</w:t>
      </w:r>
      <w:r>
        <w:rPr>
          <w:rFonts w:ascii="Calibri" w:hAnsi="Calibri"/>
        </w:rPr>
        <w:t xml:space="preserve"> Losses from variation margin/hedging costs allocated pro-rata; auction losses allocated based on bidding outcomes</w:t>
      </w:r>
    </w:p>
    <w:p>
      <w:r>
        <w:rPr>
          <w:rFonts w:ascii="Calibri" w:hAnsi="Calibri"/>
          <w:b/>
        </w:rPr>
        <w:t>Proven Track Record:</w:t>
      </w:r>
    </w:p>
    <w:p>
      <w:pPr>
        <w:pStyle w:val="ListBullet"/>
      </w:pPr>
      <w:r>
        <w:rPr>
          <w:rFonts w:ascii="Calibri" w:hAnsi="Calibri"/>
          <w:b/>
        </w:rPr>
        <w:t>Lehman Brothers (2008):</w:t>
      </w:r>
      <w:r>
        <w:rPr>
          <w:rFonts w:ascii="Calibri" w:hAnsi="Calibri"/>
        </w:rPr>
        <w:t xml:space="preserve"> LCH managed the default of Lehman Brothers' $9 trillion IRS portfolio (66,390 trades) using only 35% of Lehman's posted initial margin. No losses were imposed on non-defaulting members or the default fund. (</w:t>
      </w:r>
      <w:r>
        <w:rPr>
          <w:rFonts w:ascii="Calibri" w:hAnsi="Calibri"/>
          <w:color w:val="0563C1"/>
          <w:u w:val="single"/>
        </w:rPr>
        <w:t>LCH SwapClear Risk Management</w:t>
      </w:r>
      <w:r>
        <w:rPr>
          <w:rFonts w:ascii="Calibri" w:hAnsi="Calibri"/>
        </w:rPr>
        <w:t>)</w:t>
      </w:r>
    </w:p>
    <w:p>
      <w:pPr>
        <w:pStyle w:val="Heading3"/>
      </w:pPr>
      <w:r>
        <w:rPr>
          <w:rFonts w:ascii="Calibri" w:hAnsi="Calibri"/>
        </w:rPr>
        <w:t>3.6 Recovery &amp; Resolution</w:t>
      </w:r>
    </w:p>
    <w:p>
      <w:pPr>
        <w:pStyle w:val="Heading3"/>
      </w:pPr>
      <w:r>
        <w:rPr>
          <w:rFonts w:ascii="Calibri" w:hAnsi="Calibri"/>
        </w:rPr>
        <w:t>Recovery Tools (LCH Ltd)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Variation Margin Gains Haircutting (VMGH)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may apply pro-rata haircuts to variation margin payments owed to non-defaulting participants whose positions have gained in value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Assessment Powers (Cash Calls)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Unfunded contributions from non-defaulting members, up to the value of their last default fund contribution per default; maximum 3 defaults in any 6-month period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Partial Tear-up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Termination of specific contracts to restore a matched book; used as a last resort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Full Tear-up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In extreme circumstances, termination of all open contracts in the affected service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Reduced Gains Distribution (RGD)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Haircuts on gains to reduce outflows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Resolution Framework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Ltd Resolution Authority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Bank of England</w:t>
            </w:r>
            <w:r>
              <w:rPr>
                <w:rFonts w:ascii="Calibri" w:hAnsi="Calibri"/>
              </w:rPr>
              <w:t xml:space="preserve"> -- has statutory powers under UK legislation for CCP resolution including cash calls, VMGH, tear-up, and transfer of critical functions (</w:t>
            </w:r>
            <w:r>
              <w:rPr>
                <w:rFonts w:ascii="Calibri" w:hAnsi="Calibri"/>
                <w:color w:val="0563C1"/>
                <w:u w:val="single"/>
              </w:rPr>
              <w:t>Bank of England</w:t>
            </w:r>
            <w:r>
              <w:rPr>
                <w:rFonts w:ascii="Calibri" w:hAnsi="Calibri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SA Resolution Authority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ACPR</w:t>
            </w:r>
            <w:r>
              <w:rPr>
                <w:rFonts w:ascii="Calibri" w:hAnsi="Calibri"/>
              </w:rPr>
              <w:t xml:space="preserve"> (Autorite de Controle Prudentiel et de Resolution) under the EU CCP Recovery and Resolution Regulation (EU CCPRR)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FSB Compliance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Both entities comply with FSB Key Attributes for resolution of financial market infrastructures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Resolution Plan Status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Both LCH Ltd and LCH SA maintain resolution plans reviewed by respective resolution authorities</w:t>
            </w:r>
          </w:p>
        </w:tc>
      </w:tr>
    </w:tbl>
    <w:p/>
    <w:p>
      <w:r>
        <w:rPr>
          <w:rFonts w:ascii="Calibri" w:hAnsi="Calibri"/>
        </w:rPr>
        <w:t xml:space="preserve">Source: </w:t>
      </w:r>
      <w:r>
        <w:rPr>
          <w:rFonts w:ascii="Calibri" w:hAnsi="Calibri"/>
          <w:color w:val="0563C1"/>
          <w:u w:val="single"/>
        </w:rPr>
        <w:t>FSB 2024 Resolution Report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LCH Response to FSB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4. Settlement</w:t>
      </w:r>
    </w:p>
    <w:p>
      <w:pPr>
        <w:pStyle w:val="Heading3"/>
      </w:pPr>
      <w:r>
        <w:rPr>
          <w:rFonts w:ascii="Calibri" w:hAnsi="Calibri"/>
        </w:rPr>
        <w:t>4.1 Settlement Cycle by Product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Product / Service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Settlement Cycle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Entity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SwapClear (OTC IRS)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Variation margin: daily cash settlement (T+0); Initial margin: T+0/T+1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 Ltd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ForexClear (OTC FX)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Variation margin: daily; Physical settlement per CLS/standard FX conventions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 Ltd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RepoClear (Ltd)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T+0 to T+2 depending on instrument; standard repo settlement via CSD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 Ltd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EquityClear (Ltd)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T+2 (UK standard; T+1 under review)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 Ltd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CDSClear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Variation margin: daily cash; Event settlement per ISDA protocols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 SA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RepoClear SA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T+0 to T+2; standard repo settlement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 SA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4.2 DVP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Entity / Service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DVP Model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RepoClear (Ltd &amp; SA)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BIS DVP Model 1 (Gross-gross) / Model 3 (Net-net)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Depends on CSD and settlement arrangement; gross delivery of securities against net cash in some configurations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EquityClear (Ltd)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BIS DVP Model 3 (Net-net)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Multilateral net settlement of both securities and cash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SwapClear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N/A (cash-settled)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No securities delivery; margin and VM settled in cash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CDSClear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N/A (cash-settled)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Cash settlement of margin; physical settlement for credit events per ISDA protocols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4.3 Settlement Finality</w:t>
      </w:r>
    </w:p>
    <w:p>
      <w:r>
        <w:rPr>
          <w:rFonts w:ascii="Calibri" w:hAnsi="Calibri"/>
          <w:b/>
        </w:rPr>
        <w:t>LCH Ltd:</w:t>
      </w:r>
    </w:p>
    <w:p>
      <w:pPr>
        <w:pStyle w:val="ListBullet"/>
      </w:pPr>
      <w:r>
        <w:rPr>
          <w:rFonts w:ascii="Calibri" w:hAnsi="Calibri"/>
          <w:b/>
        </w:rPr>
        <w:t>Legal Basis:</w:t>
      </w:r>
      <w:r>
        <w:rPr>
          <w:rFonts w:ascii="Calibri" w:hAnsi="Calibri"/>
        </w:rPr>
        <w:t xml:space="preserve"> UK Financial Markets and Insolvency (Settlement Finality) Regulations 1999 (SI 1999/2979), as amended post-Brexit. LCH Ltd is designated as a "designated system" by the Bank of England. (</w:t>
      </w:r>
      <w:r>
        <w:rPr>
          <w:rFonts w:ascii="Calibri" w:hAnsi="Calibri"/>
          <w:color w:val="0563C1"/>
          <w:u w:val="single"/>
        </w:rPr>
        <w:t>Settlement Finality Regulations</w:t>
      </w:r>
      <w:r>
        <w:rPr>
          <w:rFonts w:ascii="Calibri" w:hAnsi="Calibri"/>
        </w:rPr>
        <w:t>)</w:t>
      </w:r>
    </w:p>
    <w:p>
      <w:pPr>
        <w:pStyle w:val="ListBullet"/>
      </w:pPr>
      <w:r>
        <w:rPr>
          <w:rFonts w:ascii="Calibri" w:hAnsi="Calibri"/>
          <w:b/>
        </w:rPr>
        <w:t>Point of Finality:</w:t>
      </w:r>
      <w:r>
        <w:rPr>
          <w:rFonts w:ascii="Calibri" w:hAnsi="Calibri"/>
        </w:rPr>
        <w:t xml:space="preserve"> Transfer orders entered into the system become irrevocable and cannot be unwound in the event of a participant's insolvency proceedings.</w:t>
      </w:r>
    </w:p>
    <w:p>
      <w:pPr>
        <w:pStyle w:val="ListBullet"/>
      </w:pPr>
      <w:r>
        <w:rPr>
          <w:rFonts w:ascii="Calibri" w:hAnsi="Calibri"/>
          <w:b/>
        </w:rPr>
        <w:t>Protection:</w:t>
      </w:r>
      <w:r>
        <w:rPr>
          <w:rFonts w:ascii="Calibri" w:hAnsi="Calibri"/>
        </w:rPr>
        <w:t xml:space="preserve"> The SF Regulations protect transfer orders and related collateral security from being invalidated by insolvency proceedings.</w:t>
      </w:r>
    </w:p>
    <w:p>
      <w:r>
        <w:rPr>
          <w:rFonts w:ascii="Calibri" w:hAnsi="Calibri"/>
          <w:b/>
        </w:rPr>
        <w:t>LCH SA:</w:t>
      </w:r>
    </w:p>
    <w:p>
      <w:pPr>
        <w:pStyle w:val="ListBullet"/>
      </w:pPr>
      <w:r>
        <w:rPr>
          <w:rFonts w:ascii="Calibri" w:hAnsi="Calibri"/>
          <w:b/>
        </w:rPr>
        <w:t>Legal Basis:</w:t>
      </w:r>
      <w:r>
        <w:rPr>
          <w:rFonts w:ascii="Calibri" w:hAnsi="Calibri"/>
        </w:rPr>
        <w:t xml:space="preserve"> EU Settlement Finality Directive (Directive 98/26/EC) as transposed into French law; LCH SA is a designated system under French implementation.</w:t>
      </w:r>
    </w:p>
    <w:p>
      <w:pPr>
        <w:pStyle w:val="ListBullet"/>
      </w:pPr>
      <w:r>
        <w:rPr>
          <w:rFonts w:ascii="Calibri" w:hAnsi="Calibri"/>
          <w:b/>
        </w:rPr>
        <w:t>Point of Finality:</w:t>
      </w:r>
      <w:r>
        <w:rPr>
          <w:rFonts w:ascii="Calibri" w:hAnsi="Calibri"/>
        </w:rPr>
        <w:t xml:space="preserve"> Upon entry into the system as defined by LCH SA's rules; protected from insolvency proceedings of participants.</w:t>
      </w:r>
    </w:p>
    <w:p>
      <w:pPr>
        <w:pStyle w:val="Heading3"/>
      </w:pPr>
      <w:r>
        <w:rPr>
          <w:rFonts w:ascii="Calibri" w:hAnsi="Calibri"/>
        </w:rPr>
        <w:t>4.4 CSD / Settlement Infrastructure</w:t>
      </w:r>
    </w:p>
    <w:p>
      <w:r>
        <w:rPr>
          <w:rFonts w:ascii="Calibri" w:hAnsi="Calibri"/>
          <w:b/>
        </w:rPr>
        <w:t>Cash Settlement:</w:t>
      </w:r>
    </w:p>
    <w:p>
      <w:pPr>
        <w:pStyle w:val="ListBullet"/>
      </w:pPr>
      <w:r>
        <w:rPr>
          <w:rFonts w:ascii="Calibri" w:hAnsi="Calibri"/>
          <w:b/>
        </w:rPr>
        <w:t>LCH Ltd:</w:t>
      </w:r>
      <w:r>
        <w:rPr>
          <w:rFonts w:ascii="Calibri" w:hAnsi="Calibri"/>
        </w:rPr>
        <w:t xml:space="preserve"> Primarily commercial bank money via the Protected Payments System (PPS) using settlement banks; Bank of England reserves for GBP settlement where applicable</w:t>
      </w:r>
    </w:p>
    <w:p>
      <w:pPr>
        <w:pStyle w:val="ListBullet"/>
      </w:pPr>
      <w:r>
        <w:rPr>
          <w:rFonts w:ascii="Calibri" w:hAnsi="Calibri"/>
          <w:b/>
        </w:rPr>
        <w:t>LCH SA:</w:t>
      </w:r>
      <w:r>
        <w:rPr>
          <w:rFonts w:ascii="Calibri" w:hAnsi="Calibri"/>
        </w:rPr>
        <w:t xml:space="preserve"> Central bank money via Banque de France (TARGET system) for euro-denominated settlements; commercial bank money where applicable</w:t>
      </w:r>
    </w:p>
    <w:p>
      <w:r>
        <w:rPr>
          <w:rFonts w:ascii="Calibri" w:hAnsi="Calibri"/>
          <w:b/>
        </w:rPr>
        <w:t>Securities Settlement:</w:t>
      </w:r>
    </w:p>
    <w:p>
      <w:pPr>
        <w:pStyle w:val="ListBullet"/>
      </w:pPr>
      <w:r>
        <w:rPr>
          <w:rFonts w:ascii="Calibri" w:hAnsi="Calibri"/>
        </w:rPr>
        <w:t>Settlement through relevant CSDs depending on the market and asset class</w:t>
      </w:r>
    </w:p>
    <w:p>
      <w:pPr>
        <w:pStyle w:val="Heading3"/>
      </w:pPr>
      <w:r>
        <w:rPr>
          <w:rFonts w:ascii="Calibri" w:hAnsi="Calibri"/>
        </w:rPr>
        <w:t>4.5 CSD Linkages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Entity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CSD Partner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Products / Markets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 Ltd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CREST (Euroclear UK &amp; International)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UK equities, gilts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 Ltd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SIX SIS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Swiss equities (via EquityClear interop)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 SA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Euroclear France / ESES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French government bonds, repos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 SA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Euroclear Bank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Multi-market settlement, international bonds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 SA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Clearstream Banking Luxembourg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German government bonds, European sovereign debt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RepoClear Ltd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Euroclear, Clearstream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European government bond settlement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RepoClear SA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Euroclear France, Clearstream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Euro sovereign repo settlement</w:t>
            </w:r>
          </w:p>
        </w:tc>
      </w:tr>
    </w:tbl>
    <w:p/>
    <w:p>
      <w:r>
        <w:rPr>
          <w:rFonts w:ascii="Calibri" w:hAnsi="Calibri"/>
        </w:rPr>
        <w:t xml:space="preserve">Source: </w:t>
      </w:r>
      <w:r>
        <w:rPr>
          <w:rFonts w:ascii="Calibri" w:hAnsi="Calibri"/>
          <w:color w:val="0563C1"/>
          <w:u w:val="single"/>
        </w:rPr>
        <w:t>Euroclear RepoClear Settlement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LeapRate on Clearstream</w:t>
      </w:r>
    </w:p>
    <w:p>
      <w:pPr>
        <w:pStyle w:val="Heading3"/>
      </w:pPr>
      <w:r>
        <w:rPr>
          <w:rFonts w:ascii="Calibri" w:hAnsi="Calibri"/>
        </w:rPr>
        <w:t>4.6 Securities Lending &amp; Borrowing</w:t>
      </w:r>
    </w:p>
    <w:p>
      <w:pPr>
        <w:pStyle w:val="ListBullet"/>
      </w:pPr>
      <w:r>
        <w:rPr>
          <w:rFonts w:ascii="Calibri" w:hAnsi="Calibri"/>
        </w:rPr>
        <w:t>LCH does not directly operate a securities lending facility.</w:t>
      </w:r>
    </w:p>
    <w:p>
      <w:pPr>
        <w:pStyle w:val="ListBullet"/>
      </w:pPr>
      <w:r>
        <w:rPr>
          <w:rFonts w:ascii="Calibri" w:hAnsi="Calibri"/>
        </w:rPr>
        <w:t>Members may use external securities lending programs to source collateral for margin obligations.</w:t>
      </w:r>
    </w:p>
    <w:p>
      <w:pPr>
        <w:pStyle w:val="ListBullet"/>
      </w:pPr>
      <w:r>
        <w:rPr>
          <w:rFonts w:ascii="Calibri" w:hAnsi="Calibri"/>
        </w:rPr>
        <w:t>LCH accepts a wide range of non-cash collateral (government bonds, covered bonds, etc.) which facilitates collateral optimization by members.</w:t>
      </w:r>
    </w:p>
    <w:p>
      <w:pPr>
        <w:pStyle w:val="ListBullet"/>
      </w:pPr>
      <w:r>
        <w:rPr>
          <w:rFonts w:ascii="Calibri" w:hAnsi="Calibri"/>
        </w:rPr>
        <w:t>In 2024, HSBC and BNP Paribas were added as custodial banks for non-cash collateral, and eligible collateral expanded to include Danish covered bonds and Chinese government bonds (planned for 2025). (</w:t>
      </w:r>
      <w:r>
        <w:rPr>
          <w:rFonts w:ascii="Calibri" w:hAnsi="Calibri"/>
          <w:color w:val="0563C1"/>
          <w:u w:val="single"/>
        </w:rPr>
        <w:t>Risk.net</w:t>
      </w:r>
      <w:r>
        <w:rPr>
          <w:rFonts w:ascii="Calibri" w:hAnsi="Calibri"/>
        </w:rPr>
        <w:t>)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5. Technology &amp; Infrastructure</w:t>
      </w:r>
    </w:p>
    <w:p>
      <w:pPr>
        <w:pStyle w:val="Heading3"/>
      </w:pPr>
      <w:r>
        <w:rPr>
          <w:rFonts w:ascii="Calibri" w:hAnsi="Calibri"/>
        </w:rPr>
        <w:t>5.1 Core Systems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Core Clearing Platform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Millennium Clearing &amp; Risk (MCCP)</w:t>
            </w:r>
            <w:r>
              <w:rPr>
                <w:rFonts w:ascii="Calibri" w:hAnsi="Calibri"/>
              </w:rPr>
              <w:t xml:space="preserve"> -- developed by LSEG Technology; implemented for EquityClear and progressively rolled out to other services (</w:t>
            </w:r>
            <w:r>
              <w:rPr>
                <w:rFonts w:ascii="Calibri" w:hAnsi="Calibri"/>
                <w:color w:val="0563C1"/>
                <w:u w:val="single"/>
              </w:rPr>
              <w:t>FinTech Futures</w:t>
            </w:r>
            <w:r>
              <w:rPr>
                <w:rFonts w:ascii="Calibri" w:hAnsi="Calibri"/>
              </w:rPr>
              <w:t xml:space="preserve">; </w:t>
            </w:r>
            <w:r>
              <w:rPr>
                <w:rFonts w:ascii="Calibri" w:hAnsi="Calibri"/>
                <w:color w:val="0563C1"/>
                <w:u w:val="single"/>
              </w:rPr>
              <w:t>Finance Magnates</w:t>
            </w:r>
            <w:r>
              <w:rPr>
                <w:rFonts w:ascii="Calibri" w:hAnsi="Calibri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Architecture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Zero-touch straight-through processing (STP); parallel real-time processing using hardware acceleration; real-time margin calculations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Processing Capacity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High throughput, low latency design; SwapClear processes novation within ~10 seconds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STP Rate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Near 100% for standard products [unverified -- LCH targets full STP]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5.2 Interface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Protocol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Use Case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SWIFT (FIN / ISO 15022)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Collateral management, settlement instructions, payment messaging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ISO 20022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Collateral management (LCH was an early adopter of ISO 20022 for collateral) (</w:t>
            </w:r>
            <w:r>
              <w:rPr>
                <w:rFonts w:ascii="Calibri" w:hAnsi="Calibri"/>
                <w:color w:val="0563C1"/>
                <w:u w:val="single"/>
              </w:rPr>
              <w:t>SWIFT</w:t>
            </w:r>
            <w:r>
              <w:rPr>
                <w:rFonts w:ascii="Calibri" w:hAnsi="Calibri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FIX Protocol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Trade submission for exchange-traded products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Proprietary APIs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Direct connectivity for OTC trade submission (SwapClear, CDSClear, ForexClear)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SFTP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Report delivery to members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Web Portal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Member access to positions, margin reports, risk analytics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MarkitWire / Middleware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Trade affirmation and routing for OTC derivatives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5.3 Margin Calculators &amp; Tools</w:t>
      </w:r>
    </w:p>
    <w:p>
      <w:pPr>
        <w:pStyle w:val="ListBullet"/>
      </w:pPr>
      <w:r>
        <w:rPr>
          <w:rFonts w:ascii="Calibri" w:hAnsi="Calibri"/>
          <w:b/>
        </w:rPr>
        <w:t>LCH Rates Online Margin Calculator:</w:t>
      </w:r>
      <w:r>
        <w:rPr>
          <w:rFonts w:ascii="Calibri" w:hAnsi="Calibri"/>
        </w:rPr>
        <w:t xml:space="preserve"> Allows members and clients to calculate collateral requirements prior to clearing SwapClear trades. (</w:t>
      </w:r>
      <w:r>
        <w:rPr>
          <w:rFonts w:ascii="Calibri" w:hAnsi="Calibri"/>
          <w:color w:val="0563C1"/>
          <w:u w:val="single"/>
        </w:rPr>
        <w:t>LCH Margin Calculator</w:t>
      </w:r>
      <w:r>
        <w:rPr>
          <w:rFonts w:ascii="Calibri" w:hAnsi="Calibri"/>
        </w:rPr>
        <w:t>)</w:t>
      </w:r>
    </w:p>
    <w:p>
      <w:pPr>
        <w:pStyle w:val="ListBullet"/>
      </w:pPr>
      <w:r>
        <w:rPr>
          <w:rFonts w:ascii="Calibri" w:hAnsi="Calibri"/>
          <w:b/>
        </w:rPr>
        <w:t>CDSClear Margin Simulator:</w:t>
      </w:r>
      <w:r>
        <w:rPr>
          <w:rFonts w:ascii="Calibri" w:hAnsi="Calibri"/>
        </w:rPr>
        <w:t xml:space="preserve"> Available for CDS members to pre-calculate margin requirements.</w:t>
      </w:r>
    </w:p>
    <w:p>
      <w:pPr>
        <w:pStyle w:val="Heading3"/>
      </w:pPr>
      <w:r>
        <w:rPr>
          <w:rFonts w:ascii="Calibri" w:hAnsi="Calibri"/>
        </w:rPr>
        <w:t>5.4 Resilience &amp; Disaster Recovery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DR Site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Geographically separate disaster recovery site(s) for both LCH Ltd and LCH SA [unverified -- standard for systemically important CCPs]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RTO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Target of 2 hours for critical systems (industry standard for PFMI-compliant CCPs) [unverified]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RPO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Near-zero for critical clearing and settlement data [unverified]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Business Continuity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Comprehensive BCP including pandemic, cyber-incident, and physical disruption scenarios; regular testing with members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Cyber Resilience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Subject to Bank of England CBEST (UK) and ECB/Eurosystem cyber resilience frameworks</w:t>
            </w:r>
          </w:p>
        </w:tc>
      </w:tr>
    </w:tbl>
    <w:p/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6. Regulatory Framework</w:t>
      </w:r>
    </w:p>
    <w:p>
      <w:pPr>
        <w:pStyle w:val="Heading3"/>
      </w:pPr>
      <w:r>
        <w:rPr>
          <w:rFonts w:ascii="Calibri" w:hAnsi="Calibri"/>
        </w:rPr>
        <w:t>6.1 Supervising Authorities</w:t>
      </w:r>
    </w:p>
    <w:p>
      <w:pPr>
        <w:pStyle w:val="Heading3"/>
      </w:pPr>
      <w:r>
        <w:rPr>
          <w:rFonts w:ascii="Calibri" w:hAnsi="Calibri"/>
        </w:rPr>
        <w:t>LCH Ltd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Regulator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Role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Bank of England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Primary supervisor and resolution authority under UK Financial Services and Markets Act; oversees as systemically important financial market infrastructure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US CFTC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Registered as Derivatives Clearing Organization (DCO) for SwapClear and ForexClear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ESMA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Recognised as third-country CCP (Tier 2) under EU EMIR Article 25; recognition extended to 30 June 2028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FINMA (Switzerland)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Recognised for Swiss market clearing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RBA (Australia)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Overseas CS facility licence for SwapClear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Other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Recognised by regulators in Hong Kong (SFC), Singapore (MAS), Japan (JFSA), Canada (OSC, AMF Quebec)</w:t>
            </w:r>
          </w:p>
        </w:tc>
      </w:tr>
    </w:tbl>
    <w:p/>
    <w:p>
      <w:r>
        <w:rPr>
          <w:rFonts w:ascii="Calibri" w:hAnsi="Calibri"/>
        </w:rPr>
        <w:t xml:space="preserve">Source: </w:t>
      </w:r>
      <w:r>
        <w:rPr>
          <w:rFonts w:ascii="Calibri" w:hAnsi="Calibri"/>
          <w:color w:val="0563C1"/>
          <w:u w:val="single"/>
        </w:rPr>
        <w:t>LSEG Company Structure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ESMA Recognition Extension</w:t>
      </w:r>
    </w:p>
    <w:p>
      <w:pPr>
        <w:pStyle w:val="Heading3"/>
      </w:pPr>
      <w:r>
        <w:rPr>
          <w:rFonts w:ascii="Calibri" w:hAnsi="Calibri"/>
        </w:rPr>
        <w:t>LCH SA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Regulator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Role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ACPR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Primary supervisor as credit institution under French Monetary and Financial Code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Banque de France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Oversight of payment and settlement systems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AMF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Securities markets regulatory oversight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ECB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Indirect supervision via Eurosystem oversight framework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ESMA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Authorised under EU EMIR (Regulation 648/2012)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US CFTC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Registered as DCO for CDSClear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US SEC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Registered as clearing agency for CDSClear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Regulatory College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Multi-country supervisory college including France, Netherlands, Belgium, Portugal</w:t>
            </w:r>
          </w:p>
        </w:tc>
      </w:tr>
    </w:tbl>
    <w:p/>
    <w:p>
      <w:r>
        <w:rPr>
          <w:rFonts w:ascii="Calibri" w:hAnsi="Calibri"/>
        </w:rPr>
        <w:t xml:space="preserve">Source: </w:t>
      </w:r>
      <w:r>
        <w:rPr>
          <w:rFonts w:ascii="Calibri" w:hAnsi="Calibri"/>
          <w:color w:val="0563C1"/>
          <w:u w:val="single"/>
        </w:rPr>
        <w:t>LCH SA CPMI-IOSCO Self-Assessment 2024</w:t>
      </w:r>
    </w:p>
    <w:p>
      <w:pPr>
        <w:pStyle w:val="Heading3"/>
      </w:pPr>
      <w:r>
        <w:rPr>
          <w:rFonts w:ascii="Calibri" w:hAnsi="Calibri"/>
        </w:rPr>
        <w:t>6.2 Key Regulations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Regulation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Applicability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UK EMIR</w:t>
            </w:r>
            <w:r>
              <w:rPr>
                <w:rFonts w:ascii="Calibri" w:hAnsi="Calibri"/>
              </w:rPr>
              <w:t xml:space="preserve"> (onshored EU EMIR)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 Ltd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UK regulatory framework for CCPs post-Brexit; requires authorisation, ongoing compliance, reporting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EU EMIR</w:t>
            </w:r>
            <w:r>
              <w:rPr>
                <w:rFonts w:ascii="Calibri" w:hAnsi="Calibri"/>
              </w:rPr>
              <w:t xml:space="preserve"> (Regulation 648/2012)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 SA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 CCP authorisation, clearing obligations, margin requirements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EU CCP Recovery &amp; Resolution Regulation (CCPRR)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 SA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Recovery planning, resolution tools, loss allocation framework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UK Financial Services &amp; Markets Act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 Ltd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Broader regulatory framework; Bank of England supervisory powers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Dodd-Frank Act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Both (US-registered)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CFTC DCO registration requirements; SEC clearing agency requirements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UK Settlement Finality Regulations 1999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 Ltd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Settlement finality protection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EU Settlement Finality Directive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 SA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Settlement finality protection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Basel III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Both (indirect)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Bank capital requirements for CCP exposures (KCCP calculations)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6.3 PFMI Compliance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Entity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Last Self-Assessment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Key Findings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 Ltd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Q3 2024 (</w:t>
            </w:r>
            <w:r>
              <w:rPr>
                <w:rFonts w:ascii="Calibri" w:hAnsi="Calibri"/>
                <w:color w:val="0563C1"/>
                <w:u w:val="single"/>
              </w:rPr>
              <w:t>CPMI-IOSCO Qualitative Assessment</w:t>
            </w:r>
            <w:r>
              <w:rPr>
                <w:rFonts w:ascii="Calibri" w:hAnsi="Calibri"/>
              </w:rPr>
              <w:t>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Observes or broadly observes all 24 applicable PFMI principles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 SA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Q1 2025 (</w:t>
            </w:r>
            <w:r>
              <w:rPr>
                <w:rFonts w:ascii="Calibri" w:hAnsi="Calibri"/>
                <w:color w:val="0563C1"/>
                <w:u w:val="single"/>
              </w:rPr>
              <w:t>CPMI-IOSCO Self-Assessment</w:t>
            </w:r>
            <w:r>
              <w:rPr>
                <w:rFonts w:ascii="Calibri" w:hAnsi="Calibri"/>
              </w:rPr>
              <w:t>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Observes or broadly observes all applicable PFMI principles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6.4 Reporting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Requirement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Trade Reporting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Members must report derivatives trades to authorised Trade Repositories under UK EMIR / EU EMIR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Position Reporting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provides position-level data to members; regulators have direct access to position and risk data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CPMI-IOSCO PQD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Published quarterly; available on </w:t>
            </w:r>
            <w:r>
              <w:rPr>
                <w:rFonts w:ascii="Calibri" w:hAnsi="Calibri"/>
                <w:color w:val="0563C1"/>
                <w:u w:val="single"/>
              </w:rPr>
              <w:t>LCH CCP Disclosures page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Contact for PQD queries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Reg.reporting@lch.com</w:t>
            </w:r>
          </w:p>
        </w:tc>
      </w:tr>
    </w:tbl>
    <w:p/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7. Interoperability</w:t>
      </w:r>
    </w:p>
    <w:p>
      <w:pPr>
        <w:pStyle w:val="Heading3"/>
      </w:pPr>
      <w:r>
        <w:rPr>
          <w:rFonts w:ascii="Calibri" w:hAnsi="Calibri"/>
        </w:rPr>
        <w:t>7.1 CCP Interoperability Arrangements (LCH Ltd EquityClear)</w:t>
      </w:r>
    </w:p>
    <w:p>
      <w:r>
        <w:rPr>
          <w:rFonts w:ascii="Calibri" w:hAnsi="Calibri"/>
        </w:rPr>
        <w:t>LCH Ltd EquityClear participates in interoperability arrangements for European equity clearing, allowing market participants to choose their preferred CCP.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Partner CCP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Products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Venue(s)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SIX x-clear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Cash equities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SIX Swiss Exchange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Active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Cboe Clear Europe (formerly EuroCCP)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Cash equities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Cboe Europe, other MTFs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Active</w:t>
            </w:r>
          </w:p>
        </w:tc>
      </w:tr>
    </w:tbl>
    <w:p/>
    <w:p>
      <w:r>
        <w:rPr>
          <w:rFonts w:ascii="Calibri" w:hAnsi="Calibri"/>
        </w:rPr>
        <w:t xml:space="preserve">Source: </w:t>
      </w:r>
      <w:r>
        <w:rPr>
          <w:rFonts w:ascii="Calibri" w:hAnsi="Calibri"/>
          <w:color w:val="0563C1"/>
          <w:u w:val="single"/>
        </w:rPr>
        <w:t>LCH EquityClear Interoperability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Cboe European Equities Clearing</w:t>
      </w:r>
    </w:p>
    <w:p>
      <w:r>
        <w:rPr>
          <w:rFonts w:ascii="Calibri" w:hAnsi="Calibri"/>
          <w:b/>
        </w:rPr>
        <w:t>Interoperability Framework:</w:t>
      </w:r>
    </w:p>
    <w:p>
      <w:pPr>
        <w:pStyle w:val="ListBullet"/>
      </w:pPr>
      <w:r>
        <w:rPr>
          <w:rFonts w:ascii="Calibri" w:hAnsi="Calibri"/>
        </w:rPr>
        <w:t>Each interoperable CCP posts margin (inter-CCP margin) to the other CCPs to cover the net exposure arising from the interoperable link.</w:t>
      </w:r>
    </w:p>
    <w:p>
      <w:pPr>
        <w:pStyle w:val="ListBullet"/>
      </w:pPr>
      <w:r>
        <w:rPr>
          <w:rFonts w:ascii="Calibri" w:hAnsi="Calibri"/>
        </w:rPr>
        <w:t>Subject to specific risk management requirements under EU/UK EMIR and ESRB/ESMA guidelines on CCP interoperability arrangements.</w:t>
      </w:r>
    </w:p>
    <w:p>
      <w:pPr>
        <w:pStyle w:val="ListBullet"/>
      </w:pPr>
      <w:r>
        <w:rPr>
          <w:rFonts w:ascii="Calibri" w:hAnsi="Calibri"/>
        </w:rPr>
        <w:t>The ESRB has published analysis on risks and safeguards related to CCP interoperability. (</w:t>
      </w:r>
      <w:r>
        <w:rPr>
          <w:rFonts w:ascii="Calibri" w:hAnsi="Calibri"/>
          <w:color w:val="0563C1"/>
          <w:u w:val="single"/>
        </w:rPr>
        <w:t>ESRB Report 2019</w:t>
      </w:r>
      <w:r>
        <w:rPr>
          <w:rFonts w:ascii="Calibri" w:hAnsi="Calibri"/>
        </w:rPr>
        <w:t>)</w:t>
      </w:r>
    </w:p>
    <w:p>
      <w:pPr>
        <w:pStyle w:val="Heading3"/>
      </w:pPr>
      <w:r>
        <w:rPr>
          <w:rFonts w:ascii="Calibri" w:hAnsi="Calibri"/>
        </w:rPr>
        <w:t>7.2 Cross-border Arrangements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Arrangement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ESMA-BoE MoU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Revised Memorandum of Understanding for cooperation and information exchange regarding LCH Ltd (and other UK CCPs) as recognised third-country CCPs under EU EMIR (</w:t>
            </w:r>
            <w:r>
              <w:rPr>
                <w:rFonts w:ascii="Calibri" w:hAnsi="Calibri"/>
                <w:color w:val="0563C1"/>
                <w:u w:val="single"/>
              </w:rPr>
              <w:t>ESMA</w:t>
            </w:r>
            <w:r>
              <w:rPr>
                <w:rFonts w:ascii="Calibri" w:hAnsi="Calibri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 Equivalence for UK CCPs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Extended to 30 June 2028 by European Commission; LCH Ltd classified as Tier 2 (systemically important) third-country CCP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US CFTC Registration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Both LCH Ltd (SwapClear, ForexClear, Listed Rates) and LCH SA (CDSClear) registered as DCOs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Multi-jurisdictional Recognition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Ltd recognised in Switzerland, Hong Kong, Singapore, Japan, Canada, Australia; LCH SA recognised in US and Canada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7.3 Post-Brexit Dynamics</w:t>
      </w:r>
    </w:p>
    <w:p>
      <w:r>
        <w:rPr>
          <w:rFonts w:ascii="Calibri" w:hAnsi="Calibri"/>
        </w:rPr>
        <w:t>The most significant interoperability and cross-border issue for LCH is the post-Brexit regulatory dynamic:</w:t>
      </w:r>
    </w:p>
    <w:p>
      <w:pPr>
        <w:pStyle w:val="ListBullet"/>
      </w:pPr>
      <w:r>
        <w:rPr>
          <w:rFonts w:ascii="Calibri" w:hAnsi="Calibri"/>
          <w:b/>
        </w:rPr>
        <w:t>LCH Ltd (UK)</w:t>
      </w:r>
      <w:r>
        <w:rPr>
          <w:rFonts w:ascii="Calibri" w:hAnsi="Calibri"/>
        </w:rPr>
        <w:t xml:space="preserve"> lost its EU-authorised CCP status after Brexit (31 January 2020 / end of transition period 31 December 2020). ESMA granted temporary recognition under EU EMIR Article 25 as a third-country CCP.</w:t>
      </w:r>
    </w:p>
    <w:p>
      <w:pPr>
        <w:pStyle w:val="ListBullet"/>
      </w:pPr>
      <w:r>
        <w:rPr>
          <w:rFonts w:ascii="Calibri" w:hAnsi="Calibri"/>
          <w:b/>
        </w:rPr>
        <w:t>Tier 2 Classification:</w:t>
      </w:r>
      <w:r>
        <w:rPr>
          <w:rFonts w:ascii="Calibri" w:hAnsi="Calibri"/>
        </w:rPr>
        <w:t xml:space="preserve"> ESMA designated LCH Ltd as a Tier 2 (systemically important) third-country CCP, subjecting it to enhanced ESMA supervision and potential requirements to relocate certain euro-denominated clearing activities.</w:t>
      </w:r>
    </w:p>
    <w:p>
      <w:pPr>
        <w:pStyle w:val="ListBullet"/>
      </w:pPr>
      <w:r>
        <w:rPr>
          <w:rFonts w:ascii="Calibri" w:hAnsi="Calibri"/>
          <w:b/>
        </w:rPr>
        <w:t>Equivalence Extensions:</w:t>
      </w:r>
      <w:r>
        <w:rPr>
          <w:rFonts w:ascii="Calibri" w:hAnsi="Calibri"/>
        </w:rPr>
        <w:t xml:space="preserve"> The EU has repeatedly extended equivalence decisions for UK CCPs, most recently to 30 June 2028, acknowledging the systemic risk of a sudden withdrawal of recognition.</w:t>
      </w:r>
    </w:p>
    <w:p>
      <w:pPr>
        <w:pStyle w:val="ListBullet"/>
      </w:pPr>
      <w:r>
        <w:rPr>
          <w:rFonts w:ascii="Calibri" w:hAnsi="Calibri"/>
          <w:b/>
        </w:rPr>
        <w:t>EU Active Account Requirement:</w:t>
      </w:r>
      <w:r>
        <w:rPr>
          <w:rFonts w:ascii="Calibri" w:hAnsi="Calibri"/>
        </w:rPr>
        <w:t xml:space="preserve"> Under EMIR 3.0 (proposed), EU clearing members may be required to maintain active accounts at EU-authorised CCPs for certain systemically important products (particularly euro-denominated IRS), potentially shifting some volume from LCH Ltd SwapClear to EU-based alternatives.</w:t>
      </w:r>
    </w:p>
    <w:p>
      <w:pPr>
        <w:pStyle w:val="ListBullet"/>
      </w:pPr>
      <w:r>
        <w:rPr>
          <w:rFonts w:ascii="Calibri" w:hAnsi="Calibri"/>
          <w:b/>
        </w:rPr>
        <w:t>LCH SA Repositioning:</w:t>
      </w:r>
      <w:r>
        <w:rPr>
          <w:rFonts w:ascii="Calibri" w:hAnsi="Calibri"/>
        </w:rPr>
        <w:t xml:space="preserve"> Following the loss of Euronext clearing, LCH SA has pivoted to focus on CDSClear, RepoClear SA, and the new DigitalAssetClear service, maintaining its EU-authorised CCP status.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8. Fees</w:t>
      </w:r>
    </w:p>
    <w:p>
      <w:pPr>
        <w:pStyle w:val="Heading3"/>
      </w:pPr>
      <w:r>
        <w:rPr>
          <w:rFonts w:ascii="Calibri" w:hAnsi="Calibri"/>
        </w:rPr>
        <w:t>8.1 Clearing Fees by Service</w:t>
      </w:r>
    </w:p>
    <w:p>
      <w:pPr>
        <w:pStyle w:val="Heading3"/>
      </w:pPr>
      <w:r>
        <w:rPr>
          <w:rFonts w:ascii="Calibri" w:hAnsi="Calibri"/>
        </w:rPr>
        <w:t>SwapClear (LCH Ltd)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Fee Type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Amount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Self-Clearing Annual Fee (LCH LLC - US)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USD 250,000 per year (collected in 12 monthly installments)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Client Clearing Fees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Tiered trade registration model and tiered maintenance fees (introduced July 2024 to discourage inappropriate use of HTO fee plan)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Compression Fees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Included in service; specific rates vary by technique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Contact for details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RatesClientServices@lch.com</w:t>
            </w:r>
          </w:p>
        </w:tc>
      </w:tr>
    </w:tbl>
    <w:p/>
    <w:p>
      <w:r>
        <w:rPr>
          <w:rFonts w:ascii="Calibri" w:hAnsi="Calibri"/>
        </w:rPr>
        <w:t xml:space="preserve">Source: </w:t>
      </w:r>
      <w:r>
        <w:rPr>
          <w:rFonts w:ascii="Calibri" w:hAnsi="Calibri"/>
          <w:color w:val="0563C1"/>
          <w:u w:val="single"/>
        </w:rPr>
        <w:t>LCH SwapClear Fees</w:t>
      </w:r>
    </w:p>
    <w:p>
      <w:pPr>
        <w:pStyle w:val="Heading3"/>
      </w:pPr>
      <w:r>
        <w:rPr>
          <w:rFonts w:ascii="Calibri" w:hAnsi="Calibri"/>
        </w:rPr>
        <w:t>CDSClear (LCH SA)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Fee Type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Amount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Annual Membership &amp; Clearing Fixed Fee (Dealer Status)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 400,000 per year (covers all self-clearing activity)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General Member Variable Tariff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First-year fee waiver available for new members (through 2026)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Contact for details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CDSClearSales@lch.com</w:t>
            </w:r>
          </w:p>
        </w:tc>
      </w:tr>
    </w:tbl>
    <w:p/>
    <w:p>
      <w:r>
        <w:rPr>
          <w:rFonts w:ascii="Calibri" w:hAnsi="Calibri"/>
        </w:rPr>
        <w:t xml:space="preserve">Source: </w:t>
      </w:r>
      <w:r>
        <w:rPr>
          <w:rFonts w:ascii="Calibri" w:hAnsi="Calibri"/>
          <w:color w:val="0563C1"/>
          <w:u w:val="single"/>
        </w:rPr>
        <w:t>LCH CDSClear Fees</w:t>
      </w:r>
    </w:p>
    <w:p>
      <w:pPr>
        <w:pStyle w:val="Heading3"/>
      </w:pPr>
      <w:r>
        <w:rPr>
          <w:rFonts w:ascii="Calibri" w:hAnsi="Calibri"/>
        </w:rPr>
        <w:t>RepoClear SA (LCH SA)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Fee Type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Amount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Minimum Monthly Activity Charge (MAC)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 8,500 per member (currently waived until further notice)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New Member Onboarding Fee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 20,000 (one-time)</w:t>
            </w:r>
          </w:p>
        </w:tc>
      </w:tr>
    </w:tbl>
    <w:p/>
    <w:p>
      <w:r>
        <w:rPr>
          <w:rFonts w:ascii="Calibri" w:hAnsi="Calibri"/>
        </w:rPr>
        <w:t xml:space="preserve">Source: </w:t>
      </w:r>
      <w:r>
        <w:rPr>
          <w:rFonts w:ascii="Calibri" w:hAnsi="Calibri"/>
          <w:color w:val="0563C1"/>
          <w:u w:val="single"/>
        </w:rPr>
        <w:t>LCH RepoClear SA Fees</w:t>
      </w:r>
    </w:p>
    <w:p>
      <w:pPr>
        <w:pStyle w:val="Heading3"/>
      </w:pPr>
      <w:r>
        <w:rPr>
          <w:rFonts w:ascii="Calibri" w:hAnsi="Calibri"/>
        </w:rPr>
        <w:t>EquityClear (LCH Ltd)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Fee Type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Amount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Settlement Fees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Per published fee schedule effective 1 January 2025</w:t>
            </w:r>
          </w:p>
        </w:tc>
      </w:tr>
    </w:tbl>
    <w:p/>
    <w:p>
      <w:r>
        <w:rPr>
          <w:rFonts w:ascii="Calibri" w:hAnsi="Calibri"/>
        </w:rPr>
        <w:t xml:space="preserve">Source: </w:t>
      </w:r>
      <w:r>
        <w:rPr>
          <w:rFonts w:ascii="Calibri" w:hAnsi="Calibri"/>
          <w:color w:val="0563C1"/>
          <w:u w:val="single"/>
        </w:rPr>
        <w:t>LCH EquityClear Settlement Fee Schedule</w:t>
      </w:r>
    </w:p>
    <w:p>
      <w:pPr>
        <w:pStyle w:val="Heading3"/>
      </w:pPr>
      <w:r>
        <w:rPr>
          <w:rFonts w:ascii="Calibri" w:hAnsi="Calibri"/>
        </w:rPr>
        <w:t>8.2 Membership &amp; Account Structure Fees (LCH SA)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Fee Type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Amount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Ltd Application Fee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GBP 10,000 (+VAT for UK)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SA New Member Code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 1,000 (one-off)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Additional Member Code (same entity)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 2,000 (one-off)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Clearer Change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 2,000 (one-off)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ISA/OSA Account Fees (CDSClear)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 3,500 per 6 months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ISA/OSA Account Fees (RepoClear)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 3,500 (ISA) / EUR 1,200 (OSA Net) per 6 months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DigitalAssetClear Account Fees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 3,500 (ISA) / EUR 1,200 (OSA Net) per 6 months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Connectivity (CMC)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 593-3,061 monthly depending on tier and bandwidth</w:t>
            </w:r>
          </w:p>
        </w:tc>
      </w:tr>
    </w:tbl>
    <w:p/>
    <w:p>
      <w:r>
        <w:rPr>
          <w:rFonts w:ascii="Calibri" w:hAnsi="Calibri"/>
        </w:rPr>
        <w:t xml:space="preserve">Source: </w:t>
      </w:r>
      <w:r>
        <w:rPr>
          <w:rFonts w:ascii="Calibri" w:hAnsi="Calibri"/>
          <w:color w:val="0563C1"/>
          <w:u w:val="single"/>
        </w:rPr>
        <w:t>LCH SA Fees</w:t>
      </w:r>
      <w:r>
        <w:rPr>
          <w:rFonts w:ascii="Calibri" w:hAnsi="Calibri"/>
        </w:rPr>
        <w:t xml:space="preserve"> (effective 7 May 2025)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9. Recent Developments</w:t>
      </w:r>
    </w:p>
    <w:p>
      <w:pPr>
        <w:pStyle w:val="Heading3"/>
      </w:pPr>
      <w:r>
        <w:rPr>
          <w:rFonts w:ascii="Calibri" w:hAnsi="Calibri"/>
        </w:rPr>
        <w:t>9.1 System Upgrades (Last 5 Years)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Year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Development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2020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implemented Millennium Clearing &amp; Risk (MCCP) platform from LSEG Technology for clearing and settlement operations (</w:t>
            </w:r>
            <w:r>
              <w:rPr>
                <w:rFonts w:ascii="Calibri" w:hAnsi="Calibri"/>
                <w:color w:val="0563C1"/>
                <w:u w:val="single"/>
              </w:rPr>
              <w:t>FinTech Futures</w:t>
            </w:r>
            <w:r>
              <w:rPr>
                <w:rFonts w:ascii="Calibri" w:hAnsi="Calibri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MCCP platform deployed for EquityClear (Ltd) -- zero-touch STP, real-time parallel processing with hardware acceleration (</w:t>
            </w:r>
            <w:r>
              <w:rPr>
                <w:rFonts w:ascii="Calibri" w:hAnsi="Calibri"/>
                <w:color w:val="0563C1"/>
                <w:u w:val="single"/>
              </w:rPr>
              <w:t>Finance Magnates</w:t>
            </w:r>
            <w:r>
              <w:rPr>
                <w:rFonts w:ascii="Calibri" w:hAnsi="Calibri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Listed Rates clearing launched on new platform for FMX SOFR futures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ISO 20022 adoption expanded for collateral management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Ongoing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Progressive migration of remaining services to MCCP platform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9.2 New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Year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Service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2023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ForexClear smart clearing solution launched with Quantile, enabling selective clearing of FX books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Listed Rates:</w:t>
            </w:r>
            <w:r>
              <w:rPr>
                <w:rFonts w:ascii="Calibri" w:hAnsi="Calibri"/>
              </w:rPr>
              <w:t xml:space="preserve"> Launch of listed interest rate derivatives clearing, initially for FMX SOFR futures (September 2024); US Treasury futures clearing added in 2025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DigitalAssetClear (LCH SA):</w:t>
            </w:r>
            <w:r>
              <w:rPr>
                <w:rFonts w:ascii="Calibri" w:hAnsi="Calibri"/>
              </w:rPr>
              <w:t xml:space="preserve"> New segregated CCP clearing service for digital asset derivatives, in partnership with GFO-X exchange (</w:t>
            </w:r>
            <w:r>
              <w:rPr>
                <w:rFonts w:ascii="Calibri" w:hAnsi="Calibri"/>
                <w:color w:val="0563C1"/>
                <w:u w:val="single"/>
              </w:rPr>
              <w:t>LSEG</w:t>
            </w:r>
            <w:r>
              <w:rPr>
                <w:rFonts w:ascii="Calibri" w:hAnsi="Calibri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Portfolio Margining Service:</w:t>
            </w:r>
            <w:r>
              <w:rPr>
                <w:rFonts w:ascii="Calibri" w:hAnsi="Calibri"/>
              </w:rPr>
              <w:t xml:space="preserve"> Cross-margining between FMX futures and SwapClear IRS portfolios, with Marex as first clearing firm to enable client access (</w:t>
            </w:r>
            <w:r>
              <w:rPr>
                <w:rFonts w:ascii="Calibri" w:hAnsi="Calibri"/>
                <w:color w:val="0563C1"/>
                <w:u w:val="single"/>
              </w:rPr>
              <w:t>Marex</w:t>
            </w:r>
            <w:r>
              <w:rPr>
                <w:rFonts w:ascii="Calibri" w:hAnsi="Calibri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Eligible collateral expansion: Danish covered bonds; Chinese government bonds (EUR and USD-denominated)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 inflation swap clearing record: EUR 2.9 trillion notional in H1 2025 (up 26% YoY)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9.3 Regulatory Changes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Year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Change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ESMA classified LCH Ltd as </w:t>
            </w:r>
            <w:r>
              <w:rPr>
                <w:rFonts w:ascii="Calibri" w:hAnsi="Calibri"/>
                <w:b/>
              </w:rPr>
              <w:t>Tier 2 systemically important third-country CCP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2022-2025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EU equivalence for UK CCPs extended repeatedly; current extension to </w:t>
            </w:r>
            <w:r>
              <w:rPr>
                <w:rFonts w:ascii="Calibri" w:hAnsi="Calibri"/>
                <w:b/>
              </w:rPr>
              <w:t>30 June 2028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ESMA and Bank of England signed revised MoU for cooperation on UK CCP oversight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 EMIR 3.0 proposals (active account requirement) under discussion -- potential impact on LCH Ltd SwapClear euro clearing volumes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SA CPMI-IOSCO PFMI self-assessment published (Q1 2025)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2026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SA proposed CDS Clearing Rule changes related to AMF outsourcing, EMIR SITG requirements, and EU CCPRR compliance (</w:t>
            </w:r>
            <w:r>
              <w:rPr>
                <w:rFonts w:ascii="Calibri" w:hAnsi="Calibri"/>
                <w:color w:val="0563C1"/>
                <w:u w:val="single"/>
              </w:rPr>
              <w:t>Federal Register</w:t>
            </w:r>
            <w:r>
              <w:rPr>
                <w:rFonts w:ascii="Calibri" w:hAnsi="Calibri"/>
              </w:rPr>
              <w:t>)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9.4 Strategic Initiatives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Initiative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FMX Partnership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Strategic partnership with BGC Group's FMX to challenge CME's dominance in US Treasury and SOFR futures; LCH provides clearing and portfolio margining against SwapClear OTC positions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EU CCP Strategy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SA repositioned after Euronext departure: focused on CDSClear growth (28 members, 88% client volume growth) and DigitalAssetClear launch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Collateral Expansion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Broadening eligible collateral universe including non-traditional assets; added HSBC and BNP Paribas as custodial banks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Client Clearing Growth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CDSClear: 217 client entities across 1,753 accounts; ForexClear: 92 clients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Compression Innovation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Continued investment in compression tools including blended rate compression, cash flow netting, and third-party multilateral compression partnerships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SwapAgent Growth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Membership increased from 29 to 36; $21.4 trillion notional registered in 2024 (up from $13.4 trillion)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9.5 Brexit Impact on Ltd vs SA Structure</w:t>
      </w:r>
    </w:p>
    <w:p>
      <w:r>
        <w:rPr>
          <w:rFonts w:ascii="Calibri" w:hAnsi="Calibri"/>
        </w:rPr>
        <w:t>The most consequential structural development for LCH in recent years has been the divergence of LCH Ltd and LCH SA following Brexit:</w:t>
      </w:r>
    </w:p>
    <w:p>
      <w:r>
        <w:rPr>
          <w:rFonts w:ascii="Calibri" w:hAnsi="Calibri"/>
          <w:b/>
        </w:rPr>
        <w:t>LCH Ltd (UK):</w:t>
      </w:r>
    </w:p>
    <w:p>
      <w:pPr>
        <w:pStyle w:val="ListBullet"/>
      </w:pPr>
      <w:r>
        <w:rPr>
          <w:rFonts w:ascii="Calibri" w:hAnsi="Calibri"/>
        </w:rPr>
        <w:t>Retained its dominant position in OTC IRS clearing (SwapClear) despite loss of EU-authorised status</w:t>
      </w:r>
    </w:p>
    <w:p>
      <w:pPr>
        <w:pStyle w:val="ListBullet"/>
      </w:pPr>
      <w:r>
        <w:rPr>
          <w:rFonts w:ascii="Calibri" w:hAnsi="Calibri"/>
        </w:rPr>
        <w:t>Gained temporary equivalence and Tier 2 recognition from ESMA, extended to 2028</w:t>
      </w:r>
    </w:p>
    <w:p>
      <w:pPr>
        <w:pStyle w:val="ListBullet"/>
      </w:pPr>
      <w:r>
        <w:rPr>
          <w:rFonts w:ascii="Calibri" w:hAnsi="Calibri"/>
        </w:rPr>
        <w:t>Faces ongoing political pressure from EU authorities to relocate euro-denominated clearing to the EU</w:t>
      </w:r>
    </w:p>
    <w:p>
      <w:pPr>
        <w:pStyle w:val="ListBullet"/>
      </w:pPr>
      <w:r>
        <w:rPr>
          <w:rFonts w:ascii="Calibri" w:hAnsi="Calibri"/>
        </w:rPr>
        <w:t>Launched new business lines (Listed Rates/FMX) to diversify and strengthen its competitive position</w:t>
      </w:r>
    </w:p>
    <w:p>
      <w:pPr>
        <w:pStyle w:val="ListBullet"/>
      </w:pPr>
      <w:r>
        <w:rPr>
          <w:rFonts w:ascii="Calibri" w:hAnsi="Calibri"/>
        </w:rPr>
        <w:t>Continued growth: $779 trillion notional cleared in H1 2024 for SwapClear alone</w:t>
      </w:r>
    </w:p>
    <w:p>
      <w:r>
        <w:rPr>
          <w:rFonts w:ascii="Calibri" w:hAnsi="Calibri"/>
          <w:b/>
        </w:rPr>
        <w:t>LCH SA (Paris):</w:t>
      </w:r>
    </w:p>
    <w:p>
      <w:pPr>
        <w:pStyle w:val="ListBullet"/>
      </w:pPr>
      <w:r>
        <w:rPr>
          <w:rFonts w:ascii="Calibri" w:hAnsi="Calibri"/>
        </w:rPr>
        <w:t>Lost its largest revenue source (Euronext EquityClear and CommodityClear) to Euronext's own CCP in 2023-2024</w:t>
      </w:r>
    </w:p>
    <w:p>
      <w:pPr>
        <w:pStyle w:val="ListBullet"/>
      </w:pPr>
      <w:r>
        <w:rPr>
          <w:rFonts w:ascii="Calibri" w:hAnsi="Calibri"/>
        </w:rPr>
        <w:t>LSEG acquired Euronext's remaining 11.1% stake for EUR 111 million, taking full ownership</w:t>
      </w:r>
    </w:p>
    <w:p>
      <w:pPr>
        <w:pStyle w:val="ListBullet"/>
      </w:pPr>
      <w:r>
        <w:rPr>
          <w:rFonts w:ascii="Calibri" w:hAnsi="Calibri"/>
        </w:rPr>
        <w:t>Pivoted to CDSClear (strong growth: 28 members, 88% client volume increase) and DigitalAssetClear as future growth vectors</w:t>
      </w:r>
    </w:p>
    <w:p>
      <w:pPr>
        <w:pStyle w:val="ListBullet"/>
      </w:pPr>
      <w:r>
        <w:rPr>
          <w:rFonts w:ascii="Calibri" w:hAnsi="Calibri"/>
        </w:rPr>
        <w:t>Maintained EU-authorised CCP status, potentially positioning it as a venue for relocated euro clearing if EU active account requirements materialize</w:t>
      </w:r>
    </w:p>
    <w:p>
      <w:pPr>
        <w:pStyle w:val="ListBullet"/>
      </w:pPr>
      <w:r>
        <w:rPr>
          <w:rFonts w:ascii="Calibri" w:hAnsi="Calibri"/>
        </w:rPr>
        <w:t>RepoClear SA continues serving eurozone government bond repo markets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Sources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Company Structure - LSEG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(clearing house) - Wikipedia</w:t>
      </w:r>
      <w:r>
        <w:rPr>
          <w:rFonts w:ascii="Calibri" w:hAnsi="Calibri"/>
        </w:rPr>
        <w:t>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History - LSEG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Ltd Margin Methodology - LSEG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SwapClear Risk Management - LSEG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CDSClear Risk Management - LSEG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Ltd Membership - LSEG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SA Fees - LSEG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SwapClear Fees - LSEG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CDSClear Fees - LSEG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RepoClear SA Fees - LSEG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RBA Assessment of LCH Limited SwapClear Service, December 2020, Appendix B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Ltd Default Waterfall (October 2024)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SA Default Waterfall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ESMA extends tiering and recognition of UK CCPs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ESMA-BoE Revised MoU on UK CCPs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QCCP Status Document (Dec 2022)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CCP Disclosures - LSEG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Ltd CPMI-IOSCO Qualitative Assessment Q3 2024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SA CPMI-IOSCO Self-Assessment Q1 2025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Clarus FT - What's New in CCP Disclosures Q4 2024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Clarus FT - 2024 CCP Volumes and Share in IRD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Clarus FT - Swap Default Funds at CME &amp; LCH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Risk.net - LCH SA default funds hit record highs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Risk.net - Clearing House of the Year: LCH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Group Holdings Limited Financial Statements 2024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Limited Financial Statements 2025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LSEG 2024 Preliminary Results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Euronext - Successful Expansion of Euronext Clearing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Group acquires Euronext's stake in LCH SA - LSEG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LSEG Technology implements new clearing platform for EquityClear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EquityClear Interoperability - LSEG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ESRB Report on CCP Interoperability Arrangements (Jan 2019)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UK Settlement Finality Regulations - LCH Ltd Rulebook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Euroclear RepoClear Settlement Service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FSB 2024 Resolution Report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SwapClear Compression - LSEG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FMX Futures Exchange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DigitalAssetClear - LSEG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SA Default Management Process (Dec 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