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Securities Clearing Center Company (Muqassa)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**Last Updated:** 2026-04-07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**Research Tier:** Tier 3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**Type:** CCP (Central Counterparty)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Official Name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Securities Clearing Center Company (Muqassa)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Abbreviation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Muqassa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Website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color w:val="0563C1"/>
                <w:u w:val="single"/>
              </w:rPr>
              <w:t>https://www.muqassa.sa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Year Established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2018 (incorporated); CCP operations commenced 2020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Country / City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Saudi Arabia / Riyadh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Ownership Structure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Closed joint stock company, wholly owned by Saudi Tadawul Group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Parent Company / Group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Saudi Tadawul Group Holding Company (which also owns Saudi Exchange/Tadawul, Edaa/Securities Depository Center, and Wamid)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Regulatory Authority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Capital Market Authority (CMA) of Saudi Arabia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CPMI-IOSCO PFMI Compliance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Working toward compliance; CMA regulations incorporate PFMI principles [unverified -- no public PFMI self-assessment found]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QCCP Status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Yes</w:t>
            </w:r>
            <w:r>
              <w:rPr>
                <w:rFonts w:ascii="Calibri" w:hAnsi="Calibri"/>
              </w:rPr>
              <w:t xml:space="preserve"> -- designated as QCCP by the CMA </w:t>
            </w:r>
            <w:r>
              <w:rPr>
                <w:rFonts w:ascii="Calibri" w:hAnsi="Calibri"/>
                <w:color w:val="0563C1"/>
                <w:u w:val="single"/>
              </w:rPr>
              <w:t>Source: [CMA News</w:t>
            </w:r>
            <w:r>
              <w:rPr>
                <w:rFonts w:ascii="Calibri" w:hAnsi="Calibri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Capital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SAR 600 million (approximately USD 160 million)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Key Historical Milestones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Year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Event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2018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Muqassa established</w:t>
            </w:r>
            <w:r>
              <w:rPr>
                <w:rFonts w:ascii="Calibri" w:hAnsi="Calibri"/>
              </w:rPr>
              <w:t xml:space="preserve"> as a closed joint stock company with SAR 600M capital, as part of Saudi Arabia's Financial Sector Development Program (FSDP) under Vision 2030 </w:t>
            </w:r>
            <w:r>
              <w:rPr>
                <w:rFonts w:ascii="Calibri" w:hAnsi="Calibri"/>
                <w:color w:val="0563C1"/>
                <w:u w:val="single"/>
              </w:rPr>
              <w:t>Source: [Tadawul 2018 Annual Report</w:t>
            </w:r>
            <w:r>
              <w:rPr>
                <w:rFonts w:ascii="Calibri" w:hAnsi="Calibri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2020 (Mar)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CCP operations commenced</w:t>
            </w:r>
            <w:r>
              <w:rPr>
                <w:rFonts w:ascii="Calibri" w:hAnsi="Calibri"/>
              </w:rPr>
              <w:t xml:space="preserve"> -- Muqassa began clearing services for equity market (cash market) on Saudi Exchange </w:t>
            </w:r>
            <w:r>
              <w:rPr>
                <w:rFonts w:ascii="Calibri" w:hAnsi="Calibri"/>
                <w:color w:val="0563C1"/>
                <w:u w:val="single"/>
              </w:rPr>
              <w:t>Source: [GlobalComplianceNews</w:t>
            </w:r>
            <w:r>
              <w:rPr>
                <w:rFonts w:ascii="Calibri" w:hAnsi="Calibri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2020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Derivatives market clearing operations transferred from NASDAQ technology to Muqassa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2020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Introduction of T+2 settlement cycle, DVP model, and segregation of custody from settlement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2022 (Apr)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Clearing services expanded to cover </w:t>
            </w:r>
            <w:r>
              <w:rPr>
                <w:rFonts w:ascii="Calibri" w:hAnsi="Calibri"/>
                <w:b/>
              </w:rPr>
              <w:t>all exchange-traded products</w:t>
            </w:r>
            <w:r>
              <w:rPr>
                <w:rFonts w:ascii="Calibri" w:hAnsi="Calibri"/>
              </w:rPr>
              <w:t xml:space="preserve"> (cash market, derivatives, and repo as OTC product) </w:t>
            </w:r>
            <w:r>
              <w:rPr>
                <w:rFonts w:ascii="Calibri" w:hAnsi="Calibri"/>
                <w:color w:val="0563C1"/>
                <w:u w:val="single"/>
              </w:rPr>
              <w:t>Source: [Tadawul Group 2022 AR</w:t>
            </w:r>
            <w:r>
              <w:rPr>
                <w:rFonts w:ascii="Calibri" w:hAnsi="Calibri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Repo clearing launched using cash sukuk and Sharia-compliant collateral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Government Sukuk and bonds approved as acceptable collateral for margin requirements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2023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CMA designated Muqassa as </w:t>
            </w:r>
            <w:r>
              <w:rPr>
                <w:rFonts w:ascii="Calibri" w:hAnsi="Calibri"/>
                <w:b/>
              </w:rPr>
              <w:t>Qualified CCP (QCCP)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color w:val="0563C1"/>
                <w:u w:val="single"/>
              </w:rPr>
              <w:t>Source: [CMA</w:t>
            </w:r>
            <w:r>
              <w:rPr>
                <w:rFonts w:ascii="Calibri" w:hAnsi="Calibri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2024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Continued expansion of product coverage and clearing member base; SNB Capital became a clearing member </w:t>
            </w:r>
            <w:r>
              <w:rPr>
                <w:rFonts w:ascii="Calibri" w:hAnsi="Calibri"/>
                <w:color w:val="0563C1"/>
                <w:u w:val="single"/>
              </w:rPr>
              <w:t>Source: [Securities Finance Times</w:t>
            </w:r>
            <w:r>
              <w:rPr>
                <w:rFonts w:ascii="Calibri" w:hAnsi="Calibri"/>
              </w:rPr>
              <w:t>]</w:t>
            </w:r>
          </w:p>
        </w:tc>
      </w:tr>
    </w:tbl>
    <w:p/>
    <w:p>
      <w:pPr>
        <w:ind w:left="720"/>
        <w:shd w:fill="F0F0F0" w:val="clear"/>
      </w:pPr>
      <w:r>
        <w:rPr>
          <w:rFonts w:ascii="Calibri" w:hAnsi="Calibri"/>
          <w:i/>
        </w:rPr>
        <w:t>**KRX/KSD Comparison:** Muqassa is a relatively young CCP (operational since 2020), compared to KRX which has served as Korea's CCP since 2005 (through its clearing subsidiary). Like KRX, Muqassa was established as part of a broader exchange group restructuring to separate trading, clearing, and settlement functions. The Saudi Tadawul Group structure (Exchange + Muqassa CCP + Edaa CSD + Wamid) mirrors the Korean model (KRX exchange/CCP + KSD depository/settlement).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2. Clearing Model</w:t>
      </w:r>
    </w:p>
    <w:p>
      <w:pPr>
        <w:pStyle w:val="Heading3"/>
      </w:pPr>
      <w:r>
        <w:rPr>
          <w:rFonts w:ascii="Calibri" w:hAnsi="Calibri"/>
        </w:rPr>
        <w:t>2.1 CCP Services (brief)</w:t>
      </w:r>
    </w:p>
    <w:p>
      <w:r>
        <w:rPr>
          <w:rFonts w:ascii="Calibri" w:hAnsi="Calibri"/>
        </w:rPr>
        <w:t xml:space="preserve">Muqassa provides CCP clearing for all securities traded on the Saudi Exchange </w:t>
      </w:r>
      <w:r>
        <w:rPr>
          <w:rFonts w:ascii="Calibri" w:hAnsi="Calibri"/>
          <w:color w:val="0563C1"/>
          <w:u w:val="single"/>
        </w:rPr>
        <w:t>Source: [Muqassa Home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Tadawul Group 2022 AR</w:t>
      </w:r>
      <w:r>
        <w:rPr>
          <w:rFonts w:ascii="Calibri" w:hAnsi="Calibri"/>
        </w:rPr>
        <w:t>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Product Class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Clearing Service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Equities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CCP clearing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All listed equities on Saudi Exchange (TASI, Nomu)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ETFs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CCP clearing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Exchange-traded funds listed on Saudi Exchange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REITs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CCP clearing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Real Estate Investment Trusts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Sukuk &amp; Bonds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CCP clearing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Government and corporate sukuk/bonds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Derivatives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CCP clearing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Single Stock Futures, Index Futures (MT30), Index Options [unverified -- exact product list]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Repo (OTC)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CCP clearing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Launched April 2022; uses sukuk as Sharia-compliant collateral</w:t>
            </w:r>
          </w:p>
        </w:tc>
      </w:tr>
    </w:tbl>
    <w:p/>
    <w:p>
      <w:pPr>
        <w:pStyle w:val="ListBullet"/>
      </w:pPr>
      <w:r>
        <w:rPr>
          <w:rFonts w:ascii="Calibri" w:hAnsi="Calibri"/>
        </w:rPr>
        <w:t xml:space="preserve">Muqassa can guarantee </w:t>
      </w:r>
      <w:r>
        <w:rPr>
          <w:rFonts w:ascii="Calibri" w:hAnsi="Calibri"/>
          <w:b/>
        </w:rPr>
        <w:t>any asset class</w:t>
      </w:r>
      <w:r>
        <w:rPr>
          <w:rFonts w:ascii="Calibri" w:hAnsi="Calibri"/>
        </w:rPr>
        <w:t xml:space="preserve">, both exchange-traded and OTC </w:t>
      </w:r>
      <w:r>
        <w:rPr>
          <w:rFonts w:ascii="Calibri" w:hAnsi="Calibri"/>
          <w:color w:val="0563C1"/>
          <w:u w:val="single"/>
        </w:rPr>
        <w:t>Source: [Tadawul Why CCP</w:t>
      </w:r>
      <w:r>
        <w:rPr>
          <w:rFonts w:ascii="Calibri" w:hAnsi="Calibri"/>
        </w:rPr>
        <w:t>]</w:t>
      </w:r>
    </w:p>
    <w:p>
      <w:r>
        <w:rPr>
          <w:rFonts w:ascii="Calibri" w:hAnsi="Calibri"/>
          <w:b/>
        </w:rPr>
        <w:t>Novation Process:</w:t>
      </w:r>
    </w:p>
    <w:p>
      <w:pPr>
        <w:pStyle w:val="ListBullet"/>
      </w:pPr>
      <w:r>
        <w:rPr>
          <w:rFonts w:ascii="Calibri" w:hAnsi="Calibri"/>
        </w:rPr>
        <w:t xml:space="preserve">Muqassa clears exchange-traded transactions on an </w:t>
      </w:r>
      <w:r>
        <w:rPr>
          <w:rFonts w:ascii="Calibri" w:hAnsi="Calibri"/>
          <w:b/>
        </w:rPr>
        <w:t>open offer</w:t>
      </w:r>
      <w:r>
        <w:rPr>
          <w:rFonts w:ascii="Calibri" w:hAnsi="Calibri"/>
        </w:rPr>
        <w:t xml:space="preserve"> basis -- Muqassa interposes itself between counterparties at the time of trade matching </w:t>
      </w:r>
      <w:r>
        <w:rPr>
          <w:rFonts w:ascii="Calibri" w:hAnsi="Calibri"/>
          <w:color w:val="0563C1"/>
          <w:u w:val="single"/>
        </w:rPr>
        <w:t>Source: [GlobalComplianceNews</w:t>
      </w:r>
      <w:r>
        <w:rPr>
          <w:rFonts w:ascii="Calibri" w:hAnsi="Calibri"/>
        </w:rPr>
        <w:t>]</w:t>
      </w:r>
    </w:p>
    <w:p>
      <w:pPr>
        <w:pStyle w:val="ListBullet"/>
      </w:pPr>
      <w:r>
        <w:rPr>
          <w:rFonts w:ascii="Calibri" w:hAnsi="Calibri"/>
        </w:rPr>
        <w:t>This is similar to the novation model used by most exchange-linked CCPs globally</w:t>
      </w:r>
    </w:p>
    <w:p>
      <w:pPr>
        <w:pStyle w:val="Heading3"/>
      </w:pPr>
      <w:r>
        <w:rPr>
          <w:rFonts w:ascii="Calibri" w:hAnsi="Calibri"/>
        </w:rPr>
        <w:t>2.3 Netting</w:t>
      </w:r>
    </w:p>
    <w:p>
      <w:pPr>
        <w:pStyle w:val="ListBullet"/>
      </w:pPr>
      <w:r>
        <w:rPr>
          <w:rFonts w:ascii="Calibri" w:hAnsi="Calibri"/>
        </w:rPr>
        <w:t xml:space="preserve">Muqassa performs </w:t>
      </w:r>
      <w:r>
        <w:rPr>
          <w:rFonts w:ascii="Calibri" w:hAnsi="Calibri"/>
          <w:b/>
        </w:rPr>
        <w:t>multilateral netting</w:t>
      </w:r>
      <w:r>
        <w:rPr>
          <w:rFonts w:ascii="Calibri" w:hAnsi="Calibri"/>
        </w:rPr>
        <w:t xml:space="preserve"> of obligations for exchange-traded products</w:t>
      </w:r>
    </w:p>
    <w:p>
      <w:pPr>
        <w:pStyle w:val="ListBullet"/>
      </w:pPr>
      <w:r>
        <w:rPr>
          <w:rFonts w:ascii="Calibri" w:hAnsi="Calibri"/>
        </w:rPr>
        <w:t>Netting reduces the number of settlement instructions and the value of securities/cash to be exchanged</w:t>
      </w:r>
    </w:p>
    <w:p>
      <w:pPr>
        <w:pStyle w:val="ListBullet"/>
      </w:pPr>
      <w:r>
        <w:rPr>
          <w:rFonts w:ascii="Calibri" w:hAnsi="Calibri"/>
        </w:rPr>
        <w:t>Final net positions are determined for settlement through Edaa (CSD) [unverified -- specific netting methodology details not publicly available]</w:t>
      </w:r>
    </w:p>
    <w:p>
      <w:pPr>
        <w:pStyle w:val="Heading3"/>
      </w:pPr>
      <w:r>
        <w:rPr>
          <w:rFonts w:ascii="Calibri" w:hAnsi="Calibri"/>
        </w:rPr>
        <w:t>2.4 Clearing Membership (brief)</w:t>
      </w:r>
    </w:p>
    <w:p>
      <w:r>
        <w:rPr>
          <w:rFonts w:ascii="Calibri" w:hAnsi="Calibri"/>
        </w:rPr>
        <w:t xml:space="preserve">Muqassa requires clearing members to maintain specific account structures </w:t>
      </w:r>
      <w:r>
        <w:rPr>
          <w:rFonts w:ascii="Calibri" w:hAnsi="Calibri"/>
          <w:color w:val="0563C1"/>
          <w:u w:val="single"/>
        </w:rPr>
        <w:t>Source: [Al Tamimi &amp; Company</w:t>
      </w:r>
      <w:r>
        <w:rPr>
          <w:rFonts w:ascii="Calibri" w:hAnsi="Calibri"/>
        </w:rPr>
        <w:t>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Account Type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House Account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For the Clearing Member's own proprietary trades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Omnibus Client Account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Commingled account for the Clearing Member's clients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Individual Client Account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Segregated account for each individual client</w:t>
            </w:r>
          </w:p>
        </w:tc>
      </w:tr>
    </w:tbl>
    <w:p/>
    <w:p>
      <w:pPr>
        <w:pStyle w:val="ListBullet"/>
      </w:pPr>
      <w:r>
        <w:rPr>
          <w:rFonts w:ascii="Calibri" w:hAnsi="Calibri"/>
        </w:rPr>
        <w:t>Clearing members include major Saudi financial institutions (e.g., SNB Capital, other licensed broker-dealers)</w:t>
      </w:r>
    </w:p>
    <w:p>
      <w:pPr>
        <w:pStyle w:val="ListBullet"/>
      </w:pPr>
      <w:r>
        <w:rPr>
          <w:rFonts w:ascii="Calibri" w:hAnsi="Calibri"/>
        </w:rPr>
        <w:t>Membership requires CMA licensing and meeting Muqassa's financial and operational requirements [unverified -- specific capital thresholds not confirmed]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**KRX/KSD Comparison:** KRX also requires clearing member account segregation between house and client positions. The Saudi model of Individual Client Accounts provides stronger client asset protection than omnibus-only models, aligning with international best practices that KRX also follows.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3. Risk Management</w:t>
      </w:r>
    </w:p>
    <w:p>
      <w:pPr>
        <w:pStyle w:val="Heading3"/>
      </w:pPr>
      <w:r>
        <w:rPr>
          <w:rFonts w:ascii="Calibri" w:hAnsi="Calibri"/>
        </w:rPr>
        <w:t>3.1 Margin Framework (brief)</w:t>
      </w:r>
    </w:p>
    <w:p>
      <w:r>
        <w:rPr>
          <w:rFonts w:ascii="Calibri" w:hAnsi="Calibri"/>
        </w:rPr>
        <w:t xml:space="preserve">Muqassa's margin framework is risk-based rather than credit-based </w:t>
      </w:r>
      <w:r>
        <w:rPr>
          <w:rFonts w:ascii="Calibri" w:hAnsi="Calibri"/>
          <w:color w:val="0563C1"/>
          <w:u w:val="single"/>
        </w:rPr>
        <w:t>Source: [Muqassa Risk Management</w:t>
      </w:r>
      <w:r>
        <w:rPr>
          <w:rFonts w:ascii="Calibri" w:hAnsi="Calibri"/>
        </w:rPr>
        <w:t>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Initial Margin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Collected from clearing members based on portfolio risk (market risk, liquidity risk); not based on clearing member credit risk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Variation Margin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Calculated daily for all open positions using Daily Settlement Price or Final Settlement Price determined by Saudi Exchange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Clearing Member Trading Limit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Risk-based limit on trading activity; utilization percentage under periodic review</w:t>
            </w:r>
          </w:p>
        </w:tc>
      </w:tr>
    </w:tbl>
    <w:p/>
    <w:p>
      <w:r>
        <w:rPr>
          <w:rFonts w:ascii="Calibri" w:hAnsi="Calibri"/>
          <w:b/>
        </w:rPr>
        <w:t>Acceptable Collateral:</w:t>
      </w:r>
    </w:p>
    <w:p>
      <w:pPr>
        <w:pStyle w:val="ListBullet"/>
      </w:pPr>
      <w:r>
        <w:rPr>
          <w:rFonts w:ascii="Calibri" w:hAnsi="Calibri"/>
        </w:rPr>
        <w:t>SAR cash and non-SAR currencies</w:t>
      </w:r>
    </w:p>
    <w:p>
      <w:pPr>
        <w:pStyle w:val="ListBullet"/>
      </w:pPr>
      <w:r>
        <w:rPr>
          <w:rFonts w:ascii="Calibri" w:hAnsi="Calibri"/>
        </w:rPr>
        <w:t>Saudi Arabian Government Sukuk and bonds denominated in SAR (Sharia-compliant collateral)</w:t>
      </w:r>
    </w:p>
    <w:p>
      <w:pPr>
        <w:pStyle w:val="ListBullet"/>
      </w:pPr>
      <w:r>
        <w:rPr>
          <w:rFonts w:ascii="Calibri" w:hAnsi="Calibri"/>
        </w:rPr>
        <w:t>Non-cash collateral subject to haircuts for market risk</w:t>
      </w:r>
    </w:p>
    <w:p>
      <w:pPr>
        <w:pStyle w:val="ListBullet"/>
      </w:pPr>
      <w:r>
        <w:rPr>
          <w:rFonts w:ascii="Calibri" w:hAnsi="Calibri"/>
        </w:rPr>
        <w:t xml:space="preserve">For </w:t>
      </w:r>
      <w:r>
        <w:rPr>
          <w:rFonts w:ascii="Calibri" w:hAnsi="Calibri"/>
          <w:b/>
        </w:rPr>
        <w:t>Default Fund contributions:</w:t>
      </w:r>
      <w:r>
        <w:rPr>
          <w:rFonts w:ascii="Calibri" w:hAnsi="Calibri"/>
        </w:rPr>
        <w:t xml:space="preserve"> SAR cash only </w:t>
      </w:r>
      <w:r>
        <w:rPr>
          <w:rFonts w:ascii="Calibri" w:hAnsi="Calibri"/>
          <w:color w:val="0563C1"/>
          <w:u w:val="single"/>
        </w:rPr>
        <w:t>Source: [Muqassa Risk Management</w:t>
      </w:r>
      <w:r>
        <w:rPr>
          <w:rFonts w:ascii="Calibri" w:hAnsi="Calibri"/>
        </w:rPr>
        <w:t>]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**Sharia-Compliant Features:** The acceptance of government sukuk as collateral (rather than only conventional bonds) is a distinctive feature reflecting Saudi Arabia's Islamic finance framework. This allows market participants to maintain Sharia compliance throughout the clearing process.</w:t>
      </w:r>
    </w:p>
    <w:p>
      <w:pPr>
        <w:pStyle w:val="Heading3"/>
      </w:pPr>
      <w:r>
        <w:rPr>
          <w:rFonts w:ascii="Calibri" w:hAnsi="Calibri"/>
        </w:rPr>
        <w:t>3.3 Default Waterfall (brief)</w:t>
      </w:r>
    </w:p>
    <w:p>
      <w:r>
        <w:rPr>
          <w:rFonts w:ascii="Calibri" w:hAnsi="Calibri"/>
        </w:rPr>
        <w:t>Muqassa maintains a default waterfall consistent with international CCP standards [unverified -- specific layer sizes not publicly available]: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Layer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Defaulting member's margin</w:t>
            </w:r>
            <w:r>
              <w:rPr>
                <w:rFonts w:ascii="Calibri" w:hAnsi="Calibri"/>
              </w:rPr>
              <w:t xml:space="preserve"> (initial margin and variation margin)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Defaulting member's Default Fund contribution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3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Muqassa's own capital</w:t>
            </w:r>
            <w:r>
              <w:rPr>
                <w:rFonts w:ascii="Calibri" w:hAnsi="Calibri"/>
              </w:rPr>
              <w:t xml:space="preserve"> (Skin-in-the-Game)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4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Non-defaulting members' Default Fund contributions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Additional assessment powers</w:t>
            </w:r>
            <w:r>
              <w:rPr>
                <w:rFonts w:ascii="Calibri" w:hAnsi="Calibri"/>
              </w:rPr>
              <w:t xml:space="preserve"> [unverified]</w:t>
            </w:r>
          </w:p>
        </w:tc>
      </w:tr>
    </w:tbl>
    <w:p/>
    <w:p>
      <w:pPr>
        <w:pStyle w:val="ListBullet"/>
      </w:pPr>
      <w:r>
        <w:rPr>
          <w:rFonts w:ascii="Calibri" w:hAnsi="Calibri"/>
        </w:rPr>
        <w:t>Default Fund contribution: SAR cash only</w:t>
      </w:r>
    </w:p>
    <w:p>
      <w:pPr>
        <w:pStyle w:val="ListBullet"/>
      </w:pPr>
      <w:r>
        <w:rPr>
          <w:rFonts w:ascii="Calibri" w:hAnsi="Calibri"/>
        </w:rPr>
        <w:t xml:space="preserve">The CMA's Securities Central Counterparties Regulation specifies the framework for default management </w:t>
      </w:r>
      <w:r>
        <w:rPr>
          <w:rFonts w:ascii="Calibri" w:hAnsi="Calibri"/>
          <w:color w:val="0563C1"/>
          <w:u w:val="single"/>
        </w:rPr>
        <w:t>Source: [Al Tamimi &amp; Company</w:t>
      </w:r>
      <w:r>
        <w:rPr>
          <w:rFonts w:ascii="Calibri" w:hAnsi="Calibri"/>
        </w:rPr>
        <w:t>]</w:t>
      </w:r>
    </w:p>
    <w:p>
      <w:pPr>
        <w:pStyle w:val="Heading3"/>
      </w:pPr>
      <w:r>
        <w:rPr>
          <w:rFonts w:ascii="Calibri" w:hAnsi="Calibri"/>
        </w:rPr>
        <w:t>3.6 Recovery &amp; Resolution (brief)</w:t>
      </w:r>
    </w:p>
    <w:p>
      <w:pPr>
        <w:pStyle w:val="ListBullet"/>
      </w:pPr>
      <w:r>
        <w:rPr>
          <w:rFonts w:ascii="Calibri" w:hAnsi="Calibri"/>
          <w:b/>
        </w:rPr>
        <w:t>Resolution Authority:</w:t>
      </w:r>
      <w:r>
        <w:rPr>
          <w:rFonts w:ascii="Calibri" w:hAnsi="Calibri"/>
        </w:rPr>
        <w:t xml:space="preserve"> Capital Market Authority (CMA) of Saudi Arabia</w:t>
      </w:r>
    </w:p>
    <w:p>
      <w:pPr>
        <w:pStyle w:val="ListBullet"/>
      </w:pPr>
      <w:r>
        <w:rPr>
          <w:rFonts w:ascii="Calibri" w:hAnsi="Calibri"/>
        </w:rPr>
        <w:t>CMA's Securities Central Counterparties Regulation provides the legal framework for CCP oversight, including recovery and resolution provisions</w:t>
      </w:r>
    </w:p>
    <w:p>
      <w:pPr>
        <w:pStyle w:val="ListBullet"/>
      </w:pPr>
      <w:r>
        <w:rPr>
          <w:rFonts w:ascii="Calibri" w:hAnsi="Calibri"/>
        </w:rPr>
        <w:t xml:space="preserve">Muqassa's QCCP designation confirms that it meets CMA's regulatory standards for risk management </w:t>
      </w:r>
      <w:r>
        <w:rPr>
          <w:rFonts w:ascii="Calibri" w:hAnsi="Calibri"/>
          <w:color w:val="0563C1"/>
          <w:u w:val="single"/>
        </w:rPr>
        <w:t>Source: [CMA</w:t>
      </w:r>
      <w:r>
        <w:rPr>
          <w:rFonts w:ascii="Calibri" w:hAnsi="Calibri"/>
        </w:rPr>
        <w:t>]</w:t>
      </w:r>
    </w:p>
    <w:p>
      <w:pPr>
        <w:pStyle w:val="ListBullet"/>
      </w:pPr>
      <w:r>
        <w:rPr>
          <w:rFonts w:ascii="Calibri" w:hAnsi="Calibri"/>
        </w:rPr>
        <w:t>Specific recovery tools (e.g., VMGH, tear-up, assessment powers) are governed by Muqassa's rules and CMA regulations [unverified -- detailed recovery plan not publicly available]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4. Settlement</w:t>
      </w:r>
    </w:p>
    <w:p>
      <w:pPr>
        <w:pStyle w:val="Heading3"/>
      </w:pPr>
      <w:r>
        <w:rPr>
          <w:rFonts w:ascii="Calibri" w:hAnsi="Calibri"/>
        </w:rPr>
        <w:t>4.1 Settlement Cycle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Product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Settlement Cycle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Equities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Standard for Saudi Exchange cash market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ETFs / REITs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Same as equities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Sukuk &amp; Bonds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[unverified -- may vary by instrument]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Derivatives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Daily mark-to-market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Variation margin settled daily; final settlement varies by contract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Repo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Varies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OTC repo clearing since April 2022</w:t>
            </w:r>
          </w:p>
        </w:tc>
      </w:tr>
    </w:tbl>
    <w:p/>
    <w:p>
      <w:pPr>
        <w:pStyle w:val="ListBullet"/>
      </w:pPr>
      <w:r>
        <w:rPr>
          <w:rFonts w:ascii="Calibri" w:hAnsi="Calibri"/>
        </w:rPr>
        <w:t xml:space="preserve">The T+2 cycle was introduced as part of the post-trade infrastructure overhaul when Muqassa commenced operations in 2020 </w:t>
      </w:r>
      <w:r>
        <w:rPr>
          <w:rFonts w:ascii="Calibri" w:hAnsi="Calibri"/>
          <w:color w:val="0563C1"/>
          <w:u w:val="single"/>
        </w:rPr>
        <w:t>Source: [Tadawul 200 Listed Securities</w:t>
      </w:r>
      <w:r>
        <w:rPr>
          <w:rFonts w:ascii="Calibri" w:hAnsi="Calibri"/>
        </w:rPr>
        <w:t>]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**KRX/KSD Comparison:** Both Saudi Exchange and KRX operate on T+2 for equities. Neither has yet moved to T+1, unlike the US and Canada (May 2024). Any future Saudi T+1 transition would require coordination between Muqassa, Edaa, and market participants.</w:t>
      </w:r>
    </w:p>
    <w:p>
      <w:pPr>
        <w:pStyle w:val="Heading3"/>
      </w:pPr>
      <w:r>
        <w:rPr>
          <w:rFonts w:ascii="Calibri" w:hAnsi="Calibri"/>
        </w:rPr>
        <w:t>4.2 DVP Model</w:t>
      </w:r>
    </w:p>
    <w:p>
      <w:pPr>
        <w:pStyle w:val="ListBullet"/>
      </w:pPr>
      <w:r>
        <w:rPr>
          <w:rFonts w:ascii="Calibri" w:hAnsi="Calibri"/>
        </w:rPr>
        <w:t xml:space="preserve">Saudi Exchange operates a </w:t>
      </w:r>
      <w:r>
        <w:rPr>
          <w:rFonts w:ascii="Calibri" w:hAnsi="Calibri"/>
          <w:b/>
        </w:rPr>
        <w:t>Delivery versus Payment (DVP)</w:t>
      </w:r>
      <w:r>
        <w:rPr>
          <w:rFonts w:ascii="Calibri" w:hAnsi="Calibri"/>
        </w:rPr>
        <w:t xml:space="preserve"> model implemented alongside Muqassa's CCP launch in 2020 </w:t>
      </w:r>
      <w:r>
        <w:rPr>
          <w:rFonts w:ascii="Calibri" w:hAnsi="Calibri"/>
          <w:color w:val="0563C1"/>
          <w:u w:val="single"/>
        </w:rPr>
        <w:t>Source: [Tadawul 200 Listed Securities</w:t>
      </w:r>
      <w:r>
        <w:rPr>
          <w:rFonts w:ascii="Calibri" w:hAnsi="Calibri"/>
        </w:rPr>
        <w:t>]</w:t>
      </w:r>
    </w:p>
    <w:p>
      <w:pPr>
        <w:pStyle w:val="ListBullet"/>
      </w:pPr>
      <w:r>
        <w:rPr>
          <w:rFonts w:ascii="Calibri" w:hAnsi="Calibri"/>
        </w:rPr>
        <w:t xml:space="preserve">Securities settlement is handled by </w:t>
      </w:r>
      <w:r>
        <w:rPr>
          <w:rFonts w:ascii="Calibri" w:hAnsi="Calibri"/>
          <w:b/>
        </w:rPr>
        <w:t>Edaa</w:t>
      </w:r>
      <w:r>
        <w:rPr>
          <w:rFonts w:ascii="Calibri" w:hAnsi="Calibri"/>
        </w:rPr>
        <w:t xml:space="preserve"> (Securities Depository Center Company), the CSD within Saudi Tadawul Group</w:t>
      </w:r>
    </w:p>
    <w:p>
      <w:pPr>
        <w:pStyle w:val="ListBullet"/>
      </w:pPr>
      <w:r>
        <w:rPr>
          <w:rFonts w:ascii="Calibri" w:hAnsi="Calibri"/>
        </w:rPr>
        <w:t>Cash settlement is facilitated through the Saudi Arabian Monetary Authority (SAMA) payment systems [unverified -- specific DVP model type (BIS Model 1/2/3) not confirmed]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5. Technology &amp; Infrastructure (brief)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Clearing System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Proprietary clearing platform (replaced NASDAQ-operated system in 2020)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CSD Partner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Edaa (Securities Depository Center Company) -- handles securities custody and settlement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Exchange Integration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Directly integrated with Saudi Exchange (Tadawul) trading platform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Derivatives Platform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Originally operated by NASDAQ; transferred to Muqassa in 2020</w:t>
            </w:r>
          </w:p>
        </w:tc>
      </w:tr>
    </w:tbl>
    <w:p/>
    <w:p>
      <w:pPr>
        <w:pStyle w:val="ListBullet"/>
      </w:pPr>
      <w:r>
        <w:rPr>
          <w:rFonts w:ascii="Calibri" w:hAnsi="Calibri"/>
        </w:rPr>
        <w:t>Muqassa is part of a fully integrated post-trade ecosystem within Saudi Tadawul Group: Trade Execution (Saudi Exchange) -&gt; Clearing (Muqassa) -&gt; Settlement &amp; Custody (Edaa)</w:t>
      </w:r>
    </w:p>
    <w:p>
      <w:pPr>
        <w:pStyle w:val="ListBullet"/>
      </w:pPr>
      <w:r>
        <w:rPr>
          <w:rFonts w:ascii="Calibri" w:hAnsi="Calibri"/>
        </w:rPr>
        <w:t>Technology modernization is ongoing as part of Saudi Vision 2030 financial sector development [unverified]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6. Regulatory Framework</w:t>
      </w:r>
    </w:p>
    <w:p>
      <w:pPr>
        <w:pStyle w:val="Heading3"/>
      </w:pPr>
      <w:r>
        <w:rPr>
          <w:rFonts w:ascii="Calibri" w:hAnsi="Calibri"/>
        </w:rPr>
        <w:t>6.1 Supervising Authority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Regulator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Role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Capital Market Authority (CMA)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Primary regulator -- licenses and supervises Muqassa; issued QCCP designation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Saudi Central Bank (SAMA)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Oversight of payment and settlement systems [unverified -- extent of SAMA role in Muqassa oversight]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6.2 Key Regulations</w:t>
      </w:r>
    </w:p>
    <w:p>
      <w:pPr>
        <w:pStyle w:val="ListBullet"/>
      </w:pPr>
      <w:r>
        <w:rPr>
          <w:rFonts w:ascii="Calibri" w:hAnsi="Calibri"/>
          <w:b/>
        </w:rPr>
        <w:t>Securities Central Counterparties Regulation (CMA):</w:t>
      </w:r>
      <w:r>
        <w:rPr>
          <w:rFonts w:ascii="Calibri" w:hAnsi="Calibri"/>
        </w:rPr>
        <w:t xml:space="preserve"> Governs CCP licensing, operations, risk management, margin requirements, default management, and member obligations </w:t>
      </w:r>
      <w:r>
        <w:rPr>
          <w:rFonts w:ascii="Calibri" w:hAnsi="Calibri"/>
          <w:color w:val="0563C1"/>
          <w:u w:val="single"/>
        </w:rPr>
        <w:t>Source: [Al Tamimi &amp; Company</w:t>
      </w:r>
      <w:r>
        <w:rPr>
          <w:rFonts w:ascii="Calibri" w:hAnsi="Calibri"/>
        </w:rPr>
        <w:t>]</w:t>
      </w:r>
    </w:p>
    <w:p>
      <w:pPr>
        <w:pStyle w:val="ListBullet"/>
      </w:pPr>
      <w:r>
        <w:rPr>
          <w:rFonts w:ascii="Calibri" w:hAnsi="Calibri"/>
          <w:b/>
        </w:rPr>
        <w:t>Capital Market Law:</w:t>
      </w:r>
      <w:r>
        <w:rPr>
          <w:rFonts w:ascii="Calibri" w:hAnsi="Calibri"/>
        </w:rPr>
        <w:t xml:space="preserve"> Overarching securities legislation in Saudi Arabia</w:t>
      </w:r>
    </w:p>
    <w:p>
      <w:pPr>
        <w:pStyle w:val="ListBullet"/>
      </w:pPr>
      <w:r>
        <w:rPr>
          <w:rFonts w:ascii="Calibri" w:hAnsi="Calibri"/>
        </w:rPr>
        <w:t>CMA regulations require the CCP to specify margin requirements, including models and parameters, proportional to the risks and attributes of cleared products</w:t>
      </w:r>
    </w:p>
    <w:p>
      <w:pPr>
        <w:pStyle w:val="Heading3"/>
      </w:pPr>
      <w:r>
        <w:rPr>
          <w:rFonts w:ascii="Calibri" w:hAnsi="Calibri"/>
        </w:rPr>
        <w:t>6.3 PFMI Compliance</w:t>
      </w:r>
    </w:p>
    <w:p>
      <w:pPr>
        <w:pStyle w:val="ListBullet"/>
      </w:pPr>
      <w:r>
        <w:rPr>
          <w:rFonts w:ascii="Calibri" w:hAnsi="Calibri"/>
        </w:rPr>
        <w:t>Muqassa's QCCP designation indicates alignment with international standards</w:t>
      </w:r>
    </w:p>
    <w:p>
      <w:pPr>
        <w:pStyle w:val="ListBullet"/>
      </w:pPr>
      <w:r>
        <w:rPr>
          <w:rFonts w:ascii="Calibri" w:hAnsi="Calibri"/>
        </w:rPr>
        <w:t>CMA regulations incorporate principles consistent with CPMI-IOSCO PFMIs</w:t>
      </w:r>
    </w:p>
    <w:p>
      <w:pPr>
        <w:pStyle w:val="ListBullet"/>
      </w:pPr>
      <w:r>
        <w:rPr>
          <w:rFonts w:ascii="Calibri" w:hAnsi="Calibri"/>
        </w:rPr>
        <w:t>No publicly available PFMI self-assessment or CPMI-IOSCO PQD disclosures found [unverified -- Muqassa may publish these through CMA or other channels]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7. Interoperability</w:t>
      </w:r>
    </w:p>
    <w:p>
      <w:pPr>
        <w:pStyle w:val="Heading3"/>
      </w:pPr>
      <w:r>
        <w:rPr>
          <w:rFonts w:ascii="Calibri" w:hAnsi="Calibri"/>
        </w:rPr>
        <w:t>7.1 Cross-border Arrangements</w:t>
      </w:r>
    </w:p>
    <w:p>
      <w:pPr>
        <w:pStyle w:val="ListBullet"/>
      </w:pPr>
      <w:r>
        <w:rPr>
          <w:rFonts w:ascii="Calibri" w:hAnsi="Calibri"/>
        </w:rPr>
        <w:t xml:space="preserve">Muqassa currently operates as a </w:t>
      </w:r>
      <w:r>
        <w:rPr>
          <w:rFonts w:ascii="Calibri" w:hAnsi="Calibri"/>
          <w:b/>
        </w:rPr>
        <w:t>domestic-only CCP</w:t>
      </w:r>
      <w:r>
        <w:rPr>
          <w:rFonts w:ascii="Calibri" w:hAnsi="Calibri"/>
        </w:rPr>
        <w:t xml:space="preserve"> clearing products traded on the Saudi Exchange</w:t>
      </w:r>
    </w:p>
    <w:p>
      <w:pPr>
        <w:pStyle w:val="ListBullet"/>
      </w:pPr>
      <w:r>
        <w:rPr>
          <w:rFonts w:ascii="Calibri" w:hAnsi="Calibri"/>
        </w:rPr>
        <w:t>No known CCP interoperability arrangements with foreign CCPs [unverified]</w:t>
      </w:r>
    </w:p>
    <w:p>
      <w:pPr>
        <w:pStyle w:val="ListBullet"/>
      </w:pPr>
      <w:r>
        <w:rPr>
          <w:rFonts w:ascii="Calibri" w:hAnsi="Calibri"/>
        </w:rPr>
        <w:t>Cross-border access to Saudi markets is facilitated through the Qualified Foreign Investor (QFI) framework and Saudi Exchange's swap agreements rather than through CCP-level interoperability</w:t>
      </w:r>
    </w:p>
    <w:p>
      <w:pPr>
        <w:pStyle w:val="Heading3"/>
      </w:pPr>
      <w:r>
        <w:rPr>
          <w:rFonts w:ascii="Calibri" w:hAnsi="Calibri"/>
        </w:rPr>
        <w:t>7.2 Relationship with Edaa (CSD)</w:t>
      </w:r>
    </w:p>
    <w:p>
      <w:pPr>
        <w:pStyle w:val="ListBullet"/>
      </w:pPr>
      <w:r>
        <w:rPr>
          <w:rFonts w:ascii="Calibri" w:hAnsi="Calibri"/>
          <w:b/>
        </w:rPr>
        <w:t>Edaa</w:t>
      </w:r>
      <w:r>
        <w:rPr>
          <w:rFonts w:ascii="Calibri" w:hAnsi="Calibri"/>
        </w:rPr>
        <w:t xml:space="preserve"> (Securities Depository Center Company) serves as the CSD for all securities cleared by Muqassa</w:t>
      </w:r>
    </w:p>
    <w:p>
      <w:pPr>
        <w:pStyle w:val="ListBullet"/>
      </w:pPr>
      <w:r>
        <w:rPr>
          <w:rFonts w:ascii="Calibri" w:hAnsi="Calibri"/>
        </w:rPr>
        <w:t>Edaa handles securities custody, ownership registration, settlement, and corporate actions</w:t>
      </w:r>
    </w:p>
    <w:p>
      <w:pPr>
        <w:pStyle w:val="ListBullet"/>
      </w:pPr>
      <w:r>
        <w:rPr>
          <w:rFonts w:ascii="Calibri" w:hAnsi="Calibri"/>
        </w:rPr>
        <w:t>Together, Muqassa (CCP) and Edaa (CSD) form the complete post-trade infrastructure for the Saudi capital market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**KRX/KSD Comparison:** The Muqassa-Edaa relationship closely mirrors the KRX-KSD relationship in Korea. Both are organized as separate entities within the same exchange group, with clear functional separation between CCP clearing and CSD settlement/custody.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9. Recent Developments</w:t>
      </w:r>
    </w:p>
    <w:p>
      <w:pPr>
        <w:pStyle w:val="Heading3"/>
      </w:pPr>
      <w:r>
        <w:rPr>
          <w:rFonts w:ascii="Calibri" w:hAnsi="Calibri"/>
        </w:rPr>
        <w:t>QCCP Designation (2023)</w:t>
      </w:r>
    </w:p>
    <w:p>
      <w:pPr>
        <w:pStyle w:val="ListBullet"/>
      </w:pPr>
      <w:r>
        <w:rPr>
          <w:rFonts w:ascii="Calibri" w:hAnsi="Calibri"/>
        </w:rPr>
        <w:t xml:space="preserve">CMA designated Muqassa as a Qualified Central Counterparty, confirming it meets international standards for risk management and operations </w:t>
      </w:r>
      <w:r>
        <w:rPr>
          <w:rFonts w:ascii="Calibri" w:hAnsi="Calibri"/>
          <w:color w:val="0563C1"/>
          <w:u w:val="single"/>
        </w:rPr>
        <w:t>Source: [CMA</w:t>
      </w:r>
      <w:r>
        <w:rPr>
          <w:rFonts w:ascii="Calibri" w:hAnsi="Calibri"/>
        </w:rPr>
        <w:t>]</w:t>
      </w:r>
    </w:p>
    <w:p>
      <w:pPr>
        <w:pStyle w:val="Heading3"/>
      </w:pPr>
      <w:r>
        <w:rPr>
          <w:rFonts w:ascii="Calibri" w:hAnsi="Calibri"/>
        </w:rPr>
        <w:t>Expansion of Clearing Services (2022-2024)</w:t>
      </w:r>
    </w:p>
    <w:p>
      <w:pPr>
        <w:pStyle w:val="ListBullet"/>
      </w:pPr>
      <w:r>
        <w:rPr>
          <w:rFonts w:ascii="Calibri" w:hAnsi="Calibri"/>
        </w:rPr>
        <w:t>April 2022: Clearing services expanded to all exchange-traded products and OTC repo</w:t>
      </w:r>
    </w:p>
    <w:p>
      <w:pPr>
        <w:pStyle w:val="ListBullet"/>
      </w:pPr>
      <w:r>
        <w:rPr>
          <w:rFonts w:ascii="Calibri" w:hAnsi="Calibri"/>
        </w:rPr>
        <w:t>Introduction of government sukuk and bonds as acceptable collateral</w:t>
      </w:r>
    </w:p>
    <w:p>
      <w:pPr>
        <w:pStyle w:val="ListBullet"/>
      </w:pPr>
      <w:r>
        <w:rPr>
          <w:rFonts w:ascii="Calibri" w:hAnsi="Calibri"/>
        </w:rPr>
        <w:t xml:space="preserve">Covered short-selling facilitated through the DVP model </w:t>
      </w:r>
      <w:r>
        <w:rPr>
          <w:rFonts w:ascii="Calibri" w:hAnsi="Calibri"/>
          <w:color w:val="0563C1"/>
          <w:u w:val="single"/>
        </w:rPr>
        <w:t>Source: [Tadawul Group 2022 AR</w:t>
      </w:r>
      <w:r>
        <w:rPr>
          <w:rFonts w:ascii="Calibri" w:hAnsi="Calibri"/>
        </w:rPr>
        <w:t>]</w:t>
      </w:r>
    </w:p>
    <w:p>
      <w:pPr>
        <w:pStyle w:val="Heading3"/>
      </w:pPr>
      <w:r>
        <w:rPr>
          <w:rFonts w:ascii="Calibri" w:hAnsi="Calibri"/>
        </w:rPr>
        <w:t>Growing Membership Base (2024-2025)</w:t>
      </w:r>
    </w:p>
    <w:p>
      <w:pPr>
        <w:pStyle w:val="ListBullet"/>
      </w:pPr>
      <w:r>
        <w:rPr>
          <w:rFonts w:ascii="Calibri" w:hAnsi="Calibri"/>
        </w:rPr>
        <w:t xml:space="preserve">Continued onboarding of clearing members (e.g., SNB Capital) </w:t>
      </w:r>
      <w:r>
        <w:rPr>
          <w:rFonts w:ascii="Calibri" w:hAnsi="Calibri"/>
          <w:color w:val="0563C1"/>
          <w:u w:val="single"/>
        </w:rPr>
        <w:t>Source: [Securities Finance Times</w:t>
      </w:r>
      <w:r>
        <w:rPr>
          <w:rFonts w:ascii="Calibri" w:hAnsi="Calibri"/>
        </w:rPr>
        <w:t>]</w:t>
      </w:r>
    </w:p>
    <w:p>
      <w:pPr>
        <w:pStyle w:val="ListBullet"/>
      </w:pPr>
      <w:r>
        <w:rPr>
          <w:rFonts w:ascii="Calibri" w:hAnsi="Calibri"/>
        </w:rPr>
        <w:t>Muqassa updating margin parameters and risk percentages for Clearing Member Trading Limit, effective August 2025</w:t>
      </w:r>
    </w:p>
    <w:p>
      <w:pPr>
        <w:pStyle w:val="Heading3"/>
      </w:pPr>
      <w:r>
        <w:rPr>
          <w:rFonts w:ascii="Calibri" w:hAnsi="Calibri"/>
        </w:rPr>
        <w:t>Vision 2030 Alignment</w:t>
      </w:r>
    </w:p>
    <w:p>
      <w:pPr>
        <w:pStyle w:val="ListBullet"/>
      </w:pPr>
      <w:r>
        <w:rPr>
          <w:rFonts w:ascii="Calibri" w:hAnsi="Calibri"/>
        </w:rPr>
        <w:t>Muqassa is a key pillar of Saudi Arabia's Financial Sector Development Program (FSDP) under Vision 2030</w:t>
      </w:r>
    </w:p>
    <w:p>
      <w:pPr>
        <w:pStyle w:val="ListBullet"/>
      </w:pPr>
      <w:r>
        <w:rPr>
          <w:rFonts w:ascii="Calibri" w:hAnsi="Calibri"/>
        </w:rPr>
        <w:t xml:space="preserve">Supports goals of deepening capital markets, attracting foreign investment, and aligning with international best practices </w:t>
      </w:r>
      <w:r>
        <w:rPr>
          <w:rFonts w:ascii="Calibri" w:hAnsi="Calibri"/>
          <w:color w:val="0563C1"/>
          <w:u w:val="single"/>
        </w:rPr>
        <w:t>Source: [Tadawul Group 2024 AR</w:t>
      </w:r>
      <w:r>
        <w:rPr>
          <w:rFonts w:ascii="Calibri" w:hAnsi="Calibri"/>
        </w:rPr>
        <w:t>]</w:t>
      </w:r>
    </w:p>
    <w:p>
      <w:pPr>
        <w:pStyle w:val="Heading3"/>
      </w:pPr>
      <w:r>
        <w:rPr>
          <w:rFonts w:ascii="Calibri" w:hAnsi="Calibri"/>
        </w:rPr>
        <w:t>Sharia-Compliant Infrastructure</w:t>
      </w:r>
    </w:p>
    <w:p>
      <w:pPr>
        <w:pStyle w:val="ListBullet"/>
      </w:pPr>
      <w:r>
        <w:rPr>
          <w:rFonts w:ascii="Calibri" w:hAnsi="Calibri"/>
        </w:rPr>
        <w:t>Ongoing development of Sharia-compliant clearing features, including sukuk-based collateral and repo clearing</w:t>
      </w:r>
    </w:p>
    <w:p>
      <w:pPr>
        <w:pStyle w:val="ListBullet"/>
      </w:pPr>
      <w:r>
        <w:rPr>
          <w:rFonts w:ascii="Calibri" w:hAnsi="Calibri"/>
        </w:rPr>
        <w:t xml:space="preserve">Positions Saudi market infrastructure to serve the growing global Islamic finance industry </w:t>
      </w:r>
      <w:r>
        <w:rPr>
          <w:rFonts w:ascii="Calibri" w:hAnsi="Calibri"/>
          <w:color w:val="0563C1"/>
          <w:u w:val="single"/>
        </w:rPr>
        <w:t>Source: [Chambers -- Islamic Finance 2025</w:t>
      </w:r>
      <w:r>
        <w:rPr>
          <w:rFonts w:ascii="Calibri" w:hAnsi="Calibri"/>
        </w:rPr>
        <w:t>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Sources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Muqassa Official Website</w:t>
      </w:r>
      <w:r>
        <w:rPr>
          <w:rFonts w:ascii="Calibri" w:hAnsi="Calibri"/>
        </w:rPr>
        <w:t xml:space="preserve"> -- home page and services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Muqassa -- Our Story</w:t>
      </w:r>
      <w:r>
        <w:rPr>
          <w:rFonts w:ascii="Calibri" w:hAnsi="Calibri"/>
        </w:rPr>
        <w:t xml:space="preserve"> -- history and milestones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Muqassa -- Risk Management</w:t>
      </w:r>
      <w:r>
        <w:rPr>
          <w:rFonts w:ascii="Calibri" w:hAnsi="Calibri"/>
        </w:rPr>
        <w:t xml:space="preserve"> -- margin and collateral framework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Saudi Tadawul Group -- Muqassa</w:t>
      </w:r>
      <w:r>
        <w:rPr>
          <w:rFonts w:ascii="Calibri" w:hAnsi="Calibri"/>
        </w:rPr>
        <w:t xml:space="preserve"> -- group overview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Saudi Tadawul Group -- 2022 Annual Report (Muqassa)</w:t>
      </w:r>
      <w:r>
        <w:rPr>
          <w:rFonts w:ascii="Calibri" w:hAnsi="Calibri"/>
        </w:rPr>
        <w:t xml:space="preserve"> -- operational milestones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Saudi Tadawul Group -- 2023 Annual Report (Muqassa)</w:t>
      </w:r>
      <w:r>
        <w:rPr>
          <w:rFonts w:ascii="Calibri" w:hAnsi="Calibri"/>
        </w:rPr>
        <w:t xml:space="preserve"> -- PDF report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Saudi Tadawul Group -- 2024 Annual Report (Muqassa)</w:t>
      </w:r>
      <w:r>
        <w:rPr>
          <w:rFonts w:ascii="Calibri" w:hAnsi="Calibri"/>
        </w:rPr>
        <w:t xml:space="preserve"> -- PDF report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CMA -- QCCP Designation</w:t>
      </w:r>
      <w:r>
        <w:rPr>
          <w:rFonts w:ascii="Calibri" w:hAnsi="Calibri"/>
        </w:rPr>
        <w:t xml:space="preserve"> -- regulatory announcement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Al Tamimi &amp; Company -- Securities Central Counterparties Regulation</w:t>
      </w:r>
      <w:r>
        <w:rPr>
          <w:rFonts w:ascii="Calibri" w:hAnsi="Calibri"/>
        </w:rPr>
        <w:t xml:space="preserve"> -- legal analysis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GlobalComplianceNews -- Muqassa Operations Commencement</w:t>
      </w:r>
      <w:r>
        <w:rPr>
          <w:rFonts w:ascii="Calibri" w:hAnsi="Calibri"/>
        </w:rPr>
        <w:t xml:space="preserve"> -- launch details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Tadawul 2018 Annual Report -- Post-Trade</w:t>
      </w:r>
      <w:r>
        <w:rPr>
          <w:rFonts w:ascii="Calibri" w:hAnsi="Calibri"/>
        </w:rPr>
        <w:t xml:space="preserve"> -- establishment context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Saudi Exchange -- Why CCP (PDF)</w:t>
      </w:r>
      <w:r>
        <w:rPr>
          <w:rFonts w:ascii="Calibri" w:hAnsi="Calibri"/>
        </w:rPr>
        <w:t xml:space="preserve"> -- CCP rationale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Edaa -- Muqassa Fact Sheet (PDF)</w:t>
      </w:r>
      <w:r>
        <w:rPr>
          <w:rFonts w:ascii="Calibri" w:hAnsi="Calibri"/>
        </w:rPr>
        <w:t xml:space="preserve"> -- post-trade overview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Chambers -- Islamic Finance 2025 Saudi Arabia</w:t>
      </w:r>
      <w:r>
        <w:rPr>
          <w:rFonts w:ascii="Calibri" w:hAnsi="Calibri"/>
        </w:rPr>
        <w:t xml:space="preserve"> -- Sharia-compliant clearing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Securities Finance Times -- SNB Capital Clearing Membership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Tadawul 200 Listed Securities</w:t>
      </w:r>
      <w:r>
        <w:rPr>
          <w:rFonts w:ascii="Calibri" w:hAnsi="Calibri"/>
        </w:rPr>
        <w:t xml:space="preserve"> -- market infrastructure overview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